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4B9A" w14:textId="339DD23F" w:rsidR="00D11BAC" w:rsidRPr="007A518A" w:rsidRDefault="68C01A6E" w:rsidP="007A518A">
      <w:pPr>
        <w:keepNext/>
        <w:keepLines/>
        <w:spacing w:before="480" w:after="120" w:line="276" w:lineRule="auto"/>
        <w:outlineLvl w:val="0"/>
        <w:rPr>
          <w:rFonts w:ascii="Arial" w:eastAsia="Times New Roman" w:hAnsi="Arial" w:cs="Times New Roman"/>
          <w:b/>
          <w:color w:val="008938"/>
          <w:sz w:val="44"/>
          <w:szCs w:val="28"/>
        </w:rPr>
      </w:pPr>
      <w:r w:rsidRPr="007A518A">
        <w:rPr>
          <w:rFonts w:ascii="Arial" w:eastAsia="Times New Roman" w:hAnsi="Arial" w:cs="Times New Roman"/>
          <w:b/>
          <w:color w:val="008938"/>
          <w:sz w:val="44"/>
          <w:szCs w:val="28"/>
        </w:rPr>
        <w:t>Consultation on the proposed ban of the manufacture, supply and sale of wet wipes containing plastic</w:t>
      </w:r>
      <w:r w:rsidR="0DB664E7" w:rsidRPr="007A518A">
        <w:rPr>
          <w:rFonts w:ascii="Arial" w:eastAsia="Times New Roman" w:hAnsi="Arial" w:cs="Times New Roman"/>
          <w:b/>
          <w:color w:val="008938"/>
          <w:sz w:val="44"/>
          <w:szCs w:val="28"/>
        </w:rPr>
        <w:t xml:space="preserve">: </w:t>
      </w:r>
      <w:r w:rsidR="00546220" w:rsidRPr="007A518A">
        <w:rPr>
          <w:rFonts w:ascii="Arial" w:eastAsia="Times New Roman" w:hAnsi="Arial" w:cs="Times New Roman"/>
          <w:b/>
          <w:color w:val="008938"/>
          <w:sz w:val="44"/>
          <w:szCs w:val="28"/>
        </w:rPr>
        <w:t>E</w:t>
      </w:r>
      <w:r w:rsidR="0DB664E7" w:rsidRPr="007A518A">
        <w:rPr>
          <w:rFonts w:ascii="Arial" w:eastAsia="Times New Roman" w:hAnsi="Arial" w:cs="Times New Roman"/>
          <w:b/>
          <w:color w:val="008938"/>
          <w:sz w:val="44"/>
          <w:szCs w:val="28"/>
        </w:rPr>
        <w:t xml:space="preserve">conomic </w:t>
      </w:r>
      <w:proofErr w:type="gramStart"/>
      <w:r w:rsidR="70AC128B" w:rsidRPr="007A518A">
        <w:rPr>
          <w:rFonts w:ascii="Arial" w:eastAsia="Times New Roman" w:hAnsi="Arial" w:cs="Times New Roman"/>
          <w:b/>
          <w:color w:val="008938"/>
          <w:sz w:val="44"/>
          <w:szCs w:val="28"/>
        </w:rPr>
        <w:t>a</w:t>
      </w:r>
      <w:r w:rsidR="0DB664E7" w:rsidRPr="007A518A">
        <w:rPr>
          <w:rFonts w:ascii="Arial" w:eastAsia="Times New Roman" w:hAnsi="Arial" w:cs="Times New Roman"/>
          <w:b/>
          <w:color w:val="008938"/>
          <w:sz w:val="44"/>
          <w:szCs w:val="28"/>
        </w:rPr>
        <w:t>nnex</w:t>
      </w:r>
      <w:proofErr w:type="gramEnd"/>
    </w:p>
    <w:p w14:paraId="3C6AA7D9" w14:textId="701EEE02" w:rsidR="462BB8CC" w:rsidRDefault="462BB8CC" w:rsidP="462BB8CC"/>
    <w:p w14:paraId="52DCE1D6" w14:textId="696478A5" w:rsidR="00323BAD" w:rsidRPr="007A518A" w:rsidRDefault="78A557EF" w:rsidP="007A518A">
      <w:pPr>
        <w:pStyle w:val="ListParagraph"/>
        <w:numPr>
          <w:ilvl w:val="0"/>
          <w:numId w:val="5"/>
        </w:numPr>
        <w:ind w:left="284" w:hanging="284"/>
        <w:rPr>
          <w:rFonts w:ascii="Arial" w:hAnsi="Arial" w:cs="Arial"/>
          <w:sz w:val="24"/>
          <w:szCs w:val="24"/>
        </w:rPr>
      </w:pPr>
      <w:r w:rsidRPr="007A518A">
        <w:rPr>
          <w:rFonts w:ascii="Arial" w:hAnsi="Arial" w:cs="Arial"/>
          <w:sz w:val="24"/>
          <w:szCs w:val="24"/>
        </w:rPr>
        <w:t xml:space="preserve">This economic annex accompanies </w:t>
      </w:r>
      <w:r w:rsidR="00F510BA">
        <w:rPr>
          <w:rFonts w:ascii="Arial" w:hAnsi="Arial" w:cs="Arial"/>
          <w:sz w:val="24"/>
          <w:szCs w:val="24"/>
        </w:rPr>
        <w:t>the public</w:t>
      </w:r>
      <w:r w:rsidR="00F510BA" w:rsidRPr="007A518A">
        <w:rPr>
          <w:rFonts w:ascii="Arial" w:hAnsi="Arial" w:cs="Arial"/>
          <w:sz w:val="24"/>
          <w:szCs w:val="24"/>
        </w:rPr>
        <w:t xml:space="preserve"> </w:t>
      </w:r>
      <w:r w:rsidRPr="007A518A">
        <w:rPr>
          <w:rFonts w:ascii="Arial" w:hAnsi="Arial" w:cs="Arial"/>
          <w:sz w:val="24"/>
          <w:szCs w:val="24"/>
        </w:rPr>
        <w:t>consultation on the</w:t>
      </w:r>
      <w:r w:rsidR="00B24BAA" w:rsidRPr="007A518A">
        <w:rPr>
          <w:rFonts w:ascii="Arial" w:hAnsi="Arial" w:cs="Arial"/>
          <w:sz w:val="24"/>
          <w:szCs w:val="24"/>
        </w:rPr>
        <w:t xml:space="preserve"> </w:t>
      </w:r>
      <w:r w:rsidR="00246732">
        <w:rPr>
          <w:rFonts w:ascii="Arial" w:hAnsi="Arial" w:cs="Arial"/>
          <w:sz w:val="24"/>
          <w:szCs w:val="24"/>
        </w:rPr>
        <w:t>UK-wide</w:t>
      </w:r>
      <w:r w:rsidRPr="007A518A">
        <w:rPr>
          <w:rFonts w:ascii="Arial" w:hAnsi="Arial" w:cs="Arial"/>
          <w:sz w:val="24"/>
          <w:szCs w:val="24"/>
        </w:rPr>
        <w:t xml:space="preserve"> proposal to ban the </w:t>
      </w:r>
      <w:r w:rsidR="00FF1F45">
        <w:rPr>
          <w:rFonts w:ascii="Arial" w:hAnsi="Arial" w:cs="Arial"/>
          <w:sz w:val="24"/>
          <w:szCs w:val="24"/>
        </w:rPr>
        <w:t>manufacture, supply and sale</w:t>
      </w:r>
      <w:r w:rsidRPr="007A518A">
        <w:rPr>
          <w:rFonts w:ascii="Arial" w:hAnsi="Arial" w:cs="Arial"/>
          <w:sz w:val="24"/>
          <w:szCs w:val="24"/>
        </w:rPr>
        <w:t xml:space="preserve"> of wet wipes containing plastic</w:t>
      </w:r>
      <w:r w:rsidR="00F510BA">
        <w:rPr>
          <w:rFonts w:ascii="Arial" w:hAnsi="Arial" w:cs="Arial"/>
          <w:sz w:val="24"/>
          <w:szCs w:val="24"/>
        </w:rPr>
        <w:t>,</w:t>
      </w:r>
      <w:r w:rsidR="007A6C6C">
        <w:rPr>
          <w:rFonts w:ascii="Arial" w:hAnsi="Arial" w:cs="Arial"/>
          <w:sz w:val="24"/>
          <w:szCs w:val="24"/>
        </w:rPr>
        <w:t xml:space="preserve"> published on </w:t>
      </w:r>
      <w:r w:rsidR="00250793">
        <w:rPr>
          <w:rFonts w:ascii="Arial" w:hAnsi="Arial" w:cs="Arial"/>
          <w:sz w:val="24"/>
          <w:szCs w:val="24"/>
        </w:rPr>
        <w:t>14</w:t>
      </w:r>
      <w:r w:rsidR="007A6C6C" w:rsidRPr="00CC1E88">
        <w:rPr>
          <w:rFonts w:ascii="Arial" w:hAnsi="Arial" w:cs="Arial"/>
          <w:sz w:val="24"/>
          <w:szCs w:val="24"/>
        </w:rPr>
        <w:t xml:space="preserve"> October 2023</w:t>
      </w:r>
      <w:r w:rsidRPr="007A518A">
        <w:rPr>
          <w:rFonts w:ascii="Arial" w:hAnsi="Arial" w:cs="Arial"/>
          <w:sz w:val="24"/>
          <w:szCs w:val="24"/>
        </w:rPr>
        <w:t xml:space="preserve">. </w:t>
      </w:r>
      <w:r w:rsidR="00702F1C">
        <w:rPr>
          <w:rFonts w:ascii="Arial" w:hAnsi="Arial" w:cs="Arial"/>
          <w:sz w:val="24"/>
          <w:szCs w:val="24"/>
        </w:rPr>
        <w:t>This</w:t>
      </w:r>
      <w:r w:rsidR="00AB02EA" w:rsidRPr="007A518A">
        <w:rPr>
          <w:rFonts w:ascii="Arial" w:hAnsi="Arial" w:cs="Arial"/>
          <w:sz w:val="24"/>
          <w:szCs w:val="24"/>
        </w:rPr>
        <w:t xml:space="preserve"> regulation</w:t>
      </w:r>
      <w:r w:rsidR="000B7AED" w:rsidRPr="007A518A">
        <w:rPr>
          <w:rFonts w:ascii="Arial" w:hAnsi="Arial" w:cs="Arial"/>
          <w:sz w:val="24"/>
          <w:szCs w:val="24"/>
        </w:rPr>
        <w:t xml:space="preserve"> </w:t>
      </w:r>
      <w:r w:rsidR="00702F1C">
        <w:rPr>
          <w:rFonts w:ascii="Arial" w:hAnsi="Arial" w:cs="Arial"/>
          <w:sz w:val="24"/>
          <w:szCs w:val="24"/>
        </w:rPr>
        <w:t xml:space="preserve">is being proposed </w:t>
      </w:r>
      <w:r w:rsidR="000B7AED" w:rsidRPr="007A518A">
        <w:rPr>
          <w:rFonts w:ascii="Arial" w:hAnsi="Arial" w:cs="Arial"/>
          <w:sz w:val="24"/>
          <w:szCs w:val="24"/>
        </w:rPr>
        <w:t xml:space="preserve">due to the </w:t>
      </w:r>
      <w:r w:rsidR="000308D1">
        <w:rPr>
          <w:rFonts w:ascii="Arial" w:hAnsi="Arial" w:cs="Arial"/>
          <w:sz w:val="24"/>
          <w:szCs w:val="24"/>
        </w:rPr>
        <w:t xml:space="preserve">negative </w:t>
      </w:r>
      <w:r w:rsidR="000B7AED" w:rsidRPr="007A518A">
        <w:rPr>
          <w:rFonts w:ascii="Arial" w:hAnsi="Arial" w:cs="Arial"/>
          <w:sz w:val="24"/>
          <w:szCs w:val="24"/>
        </w:rPr>
        <w:t>environmental impacts</w:t>
      </w:r>
      <w:r w:rsidR="00630E69">
        <w:rPr>
          <w:rFonts w:ascii="Arial" w:hAnsi="Arial" w:cs="Arial"/>
          <w:sz w:val="24"/>
          <w:szCs w:val="24"/>
        </w:rPr>
        <w:t xml:space="preserve"> associated with </w:t>
      </w:r>
      <w:r w:rsidR="00755AA6">
        <w:rPr>
          <w:rFonts w:ascii="Arial" w:hAnsi="Arial" w:cs="Arial"/>
          <w:sz w:val="24"/>
          <w:szCs w:val="24"/>
        </w:rPr>
        <w:t>single use plastic products</w:t>
      </w:r>
      <w:r w:rsidR="002974D5">
        <w:rPr>
          <w:rFonts w:ascii="Arial" w:hAnsi="Arial" w:cs="Arial"/>
          <w:sz w:val="24"/>
          <w:szCs w:val="24"/>
        </w:rPr>
        <w:t>, incorrect</w:t>
      </w:r>
      <w:r w:rsidR="00630E69">
        <w:rPr>
          <w:rFonts w:ascii="Arial" w:hAnsi="Arial" w:cs="Arial"/>
          <w:sz w:val="24"/>
          <w:szCs w:val="24"/>
        </w:rPr>
        <w:t xml:space="preserve"> disposal</w:t>
      </w:r>
      <w:r w:rsidR="000B7AED" w:rsidRPr="007A518A">
        <w:rPr>
          <w:rFonts w:ascii="Arial" w:hAnsi="Arial" w:cs="Arial"/>
          <w:sz w:val="24"/>
          <w:szCs w:val="24"/>
        </w:rPr>
        <w:t xml:space="preserve">, and the fact that there are already alternatives to plastic-containing wet wipes. </w:t>
      </w:r>
      <w:r w:rsidR="00AE7ACB" w:rsidRPr="007A518A">
        <w:rPr>
          <w:rFonts w:ascii="Arial" w:hAnsi="Arial" w:cs="Arial"/>
          <w:sz w:val="24"/>
          <w:szCs w:val="24"/>
        </w:rPr>
        <w:t>The</w:t>
      </w:r>
      <w:r w:rsidR="16ABA38F" w:rsidRPr="007A518A">
        <w:rPr>
          <w:rFonts w:ascii="Arial" w:hAnsi="Arial" w:cs="Arial"/>
          <w:sz w:val="24"/>
          <w:szCs w:val="24"/>
        </w:rPr>
        <w:t xml:space="preserve"> proposed ban </w:t>
      </w:r>
      <w:r w:rsidR="22DA3783" w:rsidRPr="007A518A">
        <w:rPr>
          <w:rFonts w:ascii="Arial" w:hAnsi="Arial" w:cs="Arial"/>
          <w:sz w:val="24"/>
          <w:szCs w:val="24"/>
        </w:rPr>
        <w:t>c</w:t>
      </w:r>
      <w:r w:rsidR="16ABA38F" w:rsidRPr="007A518A">
        <w:rPr>
          <w:rFonts w:ascii="Arial" w:hAnsi="Arial" w:cs="Arial"/>
          <w:sz w:val="24"/>
          <w:szCs w:val="24"/>
        </w:rPr>
        <w:t xml:space="preserve">ould cause some costs to business and </w:t>
      </w:r>
      <w:r w:rsidR="000A2504" w:rsidRPr="007A518A">
        <w:rPr>
          <w:rFonts w:ascii="Arial" w:hAnsi="Arial" w:cs="Arial"/>
          <w:sz w:val="24"/>
          <w:szCs w:val="24"/>
        </w:rPr>
        <w:t>g</w:t>
      </w:r>
      <w:r w:rsidR="16ABA38F" w:rsidRPr="007A518A">
        <w:rPr>
          <w:rFonts w:ascii="Arial" w:hAnsi="Arial" w:cs="Arial"/>
          <w:sz w:val="24"/>
          <w:szCs w:val="24"/>
        </w:rPr>
        <w:t>overnment through familiarisation and enforcement costs, as well as plastic wet wipes producers’ loss of profits</w:t>
      </w:r>
      <w:r w:rsidR="401BF91D" w:rsidRPr="007A518A">
        <w:rPr>
          <w:rFonts w:ascii="Arial" w:hAnsi="Arial" w:cs="Arial"/>
          <w:sz w:val="24"/>
          <w:szCs w:val="24"/>
        </w:rPr>
        <w:t xml:space="preserve"> </w:t>
      </w:r>
      <w:r w:rsidR="002B5B66" w:rsidRPr="007A518A">
        <w:rPr>
          <w:rFonts w:ascii="Arial" w:hAnsi="Arial" w:cs="Arial"/>
          <w:sz w:val="24"/>
          <w:szCs w:val="24"/>
        </w:rPr>
        <w:t>and a reduction</w:t>
      </w:r>
      <w:r w:rsidR="401BF91D" w:rsidRPr="007A518A">
        <w:rPr>
          <w:rFonts w:ascii="Arial" w:hAnsi="Arial" w:cs="Arial"/>
          <w:sz w:val="24"/>
          <w:szCs w:val="24"/>
        </w:rPr>
        <w:t xml:space="preserve"> in choice </w:t>
      </w:r>
      <w:r w:rsidR="00585DFF">
        <w:rPr>
          <w:rFonts w:ascii="Arial" w:hAnsi="Arial" w:cs="Arial"/>
          <w:sz w:val="24"/>
          <w:szCs w:val="24"/>
        </w:rPr>
        <w:t>for</w:t>
      </w:r>
      <w:r w:rsidR="401BF91D" w:rsidRPr="007A518A">
        <w:rPr>
          <w:rFonts w:ascii="Arial" w:hAnsi="Arial" w:cs="Arial"/>
          <w:sz w:val="24"/>
          <w:szCs w:val="24"/>
        </w:rPr>
        <w:t xml:space="preserve"> </w:t>
      </w:r>
      <w:r w:rsidR="002B5B66" w:rsidRPr="007A518A">
        <w:rPr>
          <w:rFonts w:ascii="Arial" w:hAnsi="Arial" w:cs="Arial"/>
          <w:sz w:val="24"/>
          <w:szCs w:val="24"/>
        </w:rPr>
        <w:t>consumers</w:t>
      </w:r>
      <w:r w:rsidR="16ABA38F" w:rsidRPr="007A518A">
        <w:rPr>
          <w:rFonts w:ascii="Arial" w:hAnsi="Arial" w:cs="Arial"/>
          <w:sz w:val="24"/>
          <w:szCs w:val="24"/>
        </w:rPr>
        <w:t>.</w:t>
      </w:r>
      <w:r w:rsidR="0F364CAD" w:rsidRPr="007A518A">
        <w:rPr>
          <w:rFonts w:ascii="Arial" w:hAnsi="Arial" w:cs="Arial"/>
          <w:sz w:val="24"/>
          <w:szCs w:val="24"/>
        </w:rPr>
        <w:t xml:space="preserve">  </w:t>
      </w:r>
    </w:p>
    <w:p w14:paraId="69614C57" w14:textId="6E429518" w:rsidR="00780F08" w:rsidRDefault="00780F08" w:rsidP="007A518A">
      <w:pPr>
        <w:keepNext/>
        <w:spacing w:before="480" w:after="120" w:line="240" w:lineRule="auto"/>
        <w:outlineLvl w:val="1"/>
        <w:rPr>
          <w:rFonts w:ascii="Arial" w:eastAsia="Times New Roman" w:hAnsi="Arial" w:cs="Times New Roman"/>
          <w:b/>
          <w:color w:val="008938"/>
          <w:sz w:val="28"/>
          <w:szCs w:val="28"/>
        </w:rPr>
      </w:pPr>
      <w:r w:rsidRPr="007A518A">
        <w:rPr>
          <w:rFonts w:ascii="Arial" w:eastAsia="Times New Roman" w:hAnsi="Arial" w:cs="Times New Roman"/>
          <w:b/>
          <w:color w:val="008938"/>
          <w:sz w:val="28"/>
          <w:szCs w:val="28"/>
        </w:rPr>
        <w:t>Rationale for intervention</w:t>
      </w:r>
    </w:p>
    <w:p w14:paraId="4D427A5C" w14:textId="65E7E3CE" w:rsidR="00D07A33" w:rsidRPr="00007BA2" w:rsidRDefault="00EF2014" w:rsidP="00007BA2">
      <w:pPr>
        <w:pStyle w:val="ListParagraph"/>
        <w:numPr>
          <w:ilvl w:val="0"/>
          <w:numId w:val="5"/>
        </w:numPr>
        <w:ind w:left="284" w:hanging="284"/>
        <w:rPr>
          <w:rFonts w:ascii="Arial" w:hAnsi="Arial" w:cs="Arial"/>
          <w:sz w:val="24"/>
          <w:szCs w:val="24"/>
        </w:rPr>
      </w:pPr>
      <w:r>
        <w:rPr>
          <w:rFonts w:ascii="Arial" w:hAnsi="Arial" w:cs="Arial"/>
          <w:sz w:val="24"/>
          <w:szCs w:val="24"/>
        </w:rPr>
        <w:t>Plastic-containing wet wipes contribute to plastic pollution in our waters through incorrect disposal by consumers down toilets.</w:t>
      </w:r>
      <w:r w:rsidR="002555B1">
        <w:rPr>
          <w:rFonts w:ascii="Arial" w:hAnsi="Arial" w:cs="Arial"/>
          <w:sz w:val="24"/>
          <w:szCs w:val="24"/>
        </w:rPr>
        <w:t xml:space="preserve"> </w:t>
      </w:r>
      <w:r w:rsidR="00DB44F5" w:rsidRPr="00007BA2">
        <w:rPr>
          <w:rFonts w:ascii="Arial" w:hAnsi="Arial" w:cs="Arial"/>
          <w:sz w:val="24"/>
          <w:szCs w:val="24"/>
        </w:rPr>
        <w:t>Plastic-containing wet wipes produce microplastics when they break down</w:t>
      </w:r>
      <w:r w:rsidR="00276D80" w:rsidRPr="00007BA2">
        <w:rPr>
          <w:rFonts w:ascii="Arial" w:hAnsi="Arial" w:cs="Arial"/>
          <w:sz w:val="24"/>
          <w:szCs w:val="24"/>
        </w:rPr>
        <w:t>.</w:t>
      </w:r>
      <w:r w:rsidR="00DB44F5" w:rsidRPr="00007BA2">
        <w:rPr>
          <w:rFonts w:ascii="Arial" w:hAnsi="Arial" w:cs="Arial"/>
          <w:sz w:val="24"/>
          <w:szCs w:val="24"/>
        </w:rPr>
        <w:t xml:space="preserve"> </w:t>
      </w:r>
      <w:r w:rsidR="5561F5A4" w:rsidRPr="00007BA2">
        <w:rPr>
          <w:rFonts w:ascii="Arial" w:hAnsi="Arial" w:cs="Arial"/>
          <w:sz w:val="24"/>
          <w:szCs w:val="24"/>
        </w:rPr>
        <w:t xml:space="preserve">The term ‘microplastics’ encompasses a wide range of synthetic particles of varying sizes, shapes, and composition and when released into the environment pose potential health risks to humans, wildlife, and the environment. </w:t>
      </w:r>
    </w:p>
    <w:p w14:paraId="68C1BAAF" w14:textId="77777777" w:rsidR="002555B1" w:rsidRDefault="002555B1" w:rsidP="00007BA2">
      <w:pPr>
        <w:pStyle w:val="ListParagraph"/>
        <w:ind w:left="284"/>
        <w:rPr>
          <w:rFonts w:ascii="Arial" w:hAnsi="Arial" w:cs="Arial"/>
          <w:sz w:val="24"/>
          <w:szCs w:val="24"/>
        </w:rPr>
      </w:pPr>
    </w:p>
    <w:p w14:paraId="7F9007B9" w14:textId="4EA603D5" w:rsidR="0061519A" w:rsidRPr="00007BA2" w:rsidRDefault="00D07A33" w:rsidP="00007BA2">
      <w:pPr>
        <w:pStyle w:val="ListParagraph"/>
        <w:numPr>
          <w:ilvl w:val="0"/>
          <w:numId w:val="5"/>
        </w:numPr>
        <w:ind w:left="284" w:hanging="284"/>
        <w:rPr>
          <w:rFonts w:ascii="Arial" w:hAnsi="Arial" w:cs="Arial"/>
          <w:sz w:val="24"/>
          <w:szCs w:val="24"/>
        </w:rPr>
      </w:pPr>
      <w:proofErr w:type="gramStart"/>
      <w:r>
        <w:rPr>
          <w:rFonts w:ascii="Arial" w:hAnsi="Arial" w:cs="Arial"/>
          <w:sz w:val="24"/>
          <w:szCs w:val="24"/>
        </w:rPr>
        <w:t>Both of these</w:t>
      </w:r>
      <w:proofErr w:type="gramEnd"/>
      <w:r>
        <w:rPr>
          <w:rFonts w:ascii="Arial" w:hAnsi="Arial" w:cs="Arial"/>
          <w:sz w:val="24"/>
          <w:szCs w:val="24"/>
        </w:rPr>
        <w:t xml:space="preserve"> negative outcomes associated with plastic-containing wet wipes are examples of negative externalities as the user of the wipe does not directly face the costs of their action (pollution). </w:t>
      </w:r>
    </w:p>
    <w:p w14:paraId="761785A2" w14:textId="191D89DC" w:rsidR="00975CE2" w:rsidRPr="007A518A" w:rsidRDefault="00975CE2" w:rsidP="007A518A">
      <w:pPr>
        <w:pStyle w:val="ListParagraph"/>
        <w:ind w:left="284" w:hanging="284"/>
        <w:rPr>
          <w:rFonts w:ascii="Arial" w:hAnsi="Arial" w:cs="Arial"/>
          <w:sz w:val="24"/>
          <w:szCs w:val="24"/>
        </w:rPr>
      </w:pPr>
    </w:p>
    <w:p w14:paraId="1398F18F" w14:textId="19B50B18" w:rsidR="00975CE2" w:rsidRPr="007A518A" w:rsidRDefault="15F0AAE3" w:rsidP="007A518A">
      <w:pPr>
        <w:pStyle w:val="ListParagraph"/>
        <w:numPr>
          <w:ilvl w:val="0"/>
          <w:numId w:val="5"/>
        </w:numPr>
        <w:ind w:left="284" w:hanging="284"/>
        <w:rPr>
          <w:rFonts w:ascii="Arial" w:hAnsi="Arial" w:cs="Arial"/>
          <w:sz w:val="24"/>
          <w:szCs w:val="24"/>
        </w:rPr>
      </w:pPr>
      <w:r w:rsidRPr="007A518A">
        <w:rPr>
          <w:rFonts w:ascii="Arial" w:hAnsi="Arial" w:cs="Arial"/>
          <w:sz w:val="24"/>
          <w:szCs w:val="24"/>
        </w:rPr>
        <w:t xml:space="preserve">Stakeholder engagement has highlighted that the market is moving towards reducing the </w:t>
      </w:r>
      <w:r w:rsidR="00061C1F">
        <w:rPr>
          <w:rFonts w:ascii="Arial" w:hAnsi="Arial" w:cs="Arial"/>
          <w:sz w:val="24"/>
          <w:szCs w:val="24"/>
        </w:rPr>
        <w:t>manufacture, supply and sale</w:t>
      </w:r>
      <w:r w:rsidRPr="007A518A">
        <w:rPr>
          <w:rFonts w:ascii="Arial" w:hAnsi="Arial" w:cs="Arial"/>
          <w:sz w:val="24"/>
          <w:szCs w:val="24"/>
        </w:rPr>
        <w:t xml:space="preserve"> of plastic containing wet wipes a</w:t>
      </w:r>
      <w:r w:rsidR="009E1A47" w:rsidRPr="007A518A">
        <w:rPr>
          <w:rFonts w:ascii="Arial" w:hAnsi="Arial" w:cs="Arial"/>
          <w:sz w:val="24"/>
          <w:szCs w:val="24"/>
        </w:rPr>
        <w:t>nd</w:t>
      </w:r>
      <w:r w:rsidRPr="007A518A">
        <w:rPr>
          <w:rFonts w:ascii="Arial" w:hAnsi="Arial" w:cs="Arial"/>
          <w:sz w:val="24"/>
          <w:szCs w:val="24"/>
        </w:rPr>
        <w:t xml:space="preserve"> several retailers and producers have already made voluntary commitments to stop producing or selling wet wipes that contain plastic</w:t>
      </w:r>
      <w:r w:rsidR="00404791">
        <w:rPr>
          <w:rFonts w:ascii="Arial" w:hAnsi="Arial" w:cs="Arial"/>
          <w:sz w:val="24"/>
          <w:szCs w:val="24"/>
        </w:rPr>
        <w:t>, showing that it is possible and commercially viable</w:t>
      </w:r>
      <w:r w:rsidRPr="007A518A">
        <w:rPr>
          <w:rFonts w:ascii="Arial" w:hAnsi="Arial" w:cs="Arial"/>
          <w:sz w:val="24"/>
          <w:szCs w:val="24"/>
        </w:rPr>
        <w:t xml:space="preserve">. As a result, there are suitable non-plastic wet wipe substitutes currently available, including moist toilet tissue and baby wipes.  </w:t>
      </w:r>
    </w:p>
    <w:p w14:paraId="73787829" w14:textId="77777777" w:rsidR="00404791" w:rsidRDefault="00404791" w:rsidP="00B51046">
      <w:pPr>
        <w:pStyle w:val="ListParagraph"/>
        <w:ind w:left="284"/>
        <w:rPr>
          <w:rFonts w:ascii="Arial" w:hAnsi="Arial" w:cs="Arial"/>
          <w:sz w:val="24"/>
          <w:szCs w:val="24"/>
        </w:rPr>
      </w:pPr>
    </w:p>
    <w:p w14:paraId="1EEEB7EA" w14:textId="51EDD39A" w:rsidR="000472CB" w:rsidRPr="007A518A" w:rsidRDefault="000472CB" w:rsidP="000472CB">
      <w:pPr>
        <w:pStyle w:val="ListParagraph"/>
        <w:numPr>
          <w:ilvl w:val="0"/>
          <w:numId w:val="5"/>
        </w:numPr>
        <w:ind w:left="284" w:hanging="284"/>
        <w:rPr>
          <w:rFonts w:ascii="Arial" w:hAnsi="Arial" w:cs="Arial"/>
          <w:sz w:val="24"/>
          <w:szCs w:val="24"/>
        </w:rPr>
      </w:pPr>
      <w:r>
        <w:rPr>
          <w:rFonts w:ascii="Arial" w:hAnsi="Arial" w:cs="Arial"/>
          <w:sz w:val="24"/>
          <w:szCs w:val="24"/>
        </w:rPr>
        <w:t xml:space="preserve">Whilst the market is partially addressing the problem and businesses have innovated to develop </w:t>
      </w:r>
      <w:r w:rsidR="00007BA2">
        <w:rPr>
          <w:rFonts w:ascii="Arial" w:hAnsi="Arial" w:cs="Arial"/>
          <w:sz w:val="24"/>
          <w:szCs w:val="24"/>
        </w:rPr>
        <w:t>plastic-free wet wipes</w:t>
      </w:r>
      <w:r>
        <w:rPr>
          <w:rFonts w:ascii="Arial" w:hAnsi="Arial" w:cs="Arial"/>
          <w:sz w:val="24"/>
          <w:szCs w:val="24"/>
        </w:rPr>
        <w:t xml:space="preserve">, there remains some parts of the sector who continue to produce plastic-containing wet wipes, hence the rationale for government intervention. </w:t>
      </w:r>
    </w:p>
    <w:p w14:paraId="560DF588" w14:textId="77777777" w:rsidR="00404791" w:rsidRPr="00654020" w:rsidRDefault="00404791" w:rsidP="00B51046">
      <w:pPr>
        <w:pStyle w:val="ListParagraph"/>
        <w:ind w:left="284"/>
        <w:rPr>
          <w:rFonts w:ascii="Arial" w:hAnsi="Arial" w:cs="Arial"/>
          <w:sz w:val="24"/>
          <w:szCs w:val="24"/>
        </w:rPr>
      </w:pPr>
    </w:p>
    <w:p w14:paraId="0CC7A87F" w14:textId="4915BD45" w:rsidR="0007437E" w:rsidRPr="001475D0" w:rsidRDefault="5561F5A4" w:rsidP="001475D0">
      <w:pPr>
        <w:pStyle w:val="ListParagraph"/>
        <w:numPr>
          <w:ilvl w:val="0"/>
          <w:numId w:val="5"/>
        </w:numPr>
        <w:ind w:left="284" w:hanging="284"/>
        <w:rPr>
          <w:rFonts w:ascii="Arial" w:hAnsi="Arial" w:cs="Arial"/>
          <w:sz w:val="24"/>
          <w:szCs w:val="24"/>
        </w:rPr>
      </w:pPr>
      <w:r w:rsidRPr="007A518A">
        <w:rPr>
          <w:rFonts w:ascii="Arial" w:hAnsi="Arial" w:cs="Arial"/>
          <w:sz w:val="24"/>
          <w:szCs w:val="24"/>
        </w:rPr>
        <w:lastRenderedPageBreak/>
        <w:t xml:space="preserve">In </w:t>
      </w:r>
      <w:r w:rsidR="005D2DAF">
        <w:rPr>
          <w:rFonts w:ascii="Arial" w:hAnsi="Arial" w:cs="Arial"/>
          <w:sz w:val="24"/>
          <w:szCs w:val="24"/>
        </w:rPr>
        <w:t>Defra’s</w:t>
      </w:r>
      <w:r w:rsidR="002555B1">
        <w:rPr>
          <w:rFonts w:ascii="Arial" w:hAnsi="Arial" w:cs="Arial"/>
          <w:sz w:val="24"/>
          <w:szCs w:val="24"/>
        </w:rPr>
        <w:t xml:space="preserve"> </w:t>
      </w:r>
      <w:r w:rsidR="00F34F4F">
        <w:rPr>
          <w:rFonts w:ascii="Arial" w:hAnsi="Arial" w:cs="Arial"/>
          <w:sz w:val="24"/>
          <w:szCs w:val="24"/>
        </w:rPr>
        <w:t>2021</w:t>
      </w:r>
      <w:r w:rsidRPr="007A518A">
        <w:rPr>
          <w:rFonts w:ascii="Arial" w:hAnsi="Arial" w:cs="Arial"/>
          <w:sz w:val="24"/>
          <w:szCs w:val="24"/>
        </w:rPr>
        <w:t xml:space="preserve"> public </w:t>
      </w:r>
      <w:r w:rsidR="00642D52">
        <w:rPr>
          <w:rFonts w:ascii="Arial" w:hAnsi="Arial" w:cs="Arial"/>
          <w:sz w:val="24"/>
          <w:szCs w:val="24"/>
        </w:rPr>
        <w:t>C</w:t>
      </w:r>
      <w:r w:rsidRPr="007A518A">
        <w:rPr>
          <w:rFonts w:ascii="Arial" w:hAnsi="Arial" w:cs="Arial"/>
          <w:sz w:val="24"/>
          <w:szCs w:val="24"/>
        </w:rPr>
        <w:t xml:space="preserve">all for </w:t>
      </w:r>
      <w:r w:rsidR="00642D52">
        <w:rPr>
          <w:rFonts w:ascii="Arial" w:hAnsi="Arial" w:cs="Arial"/>
          <w:sz w:val="24"/>
          <w:szCs w:val="24"/>
        </w:rPr>
        <w:t>E</w:t>
      </w:r>
      <w:r w:rsidRPr="007A518A">
        <w:rPr>
          <w:rFonts w:ascii="Arial" w:hAnsi="Arial" w:cs="Arial"/>
          <w:sz w:val="24"/>
          <w:szCs w:val="24"/>
        </w:rPr>
        <w:t xml:space="preserve">vidence on commonly littered single-use plastic items, </w:t>
      </w:r>
      <w:r w:rsidR="0077390D">
        <w:rPr>
          <w:rFonts w:ascii="Arial" w:hAnsi="Arial" w:cs="Arial"/>
          <w:sz w:val="24"/>
          <w:szCs w:val="24"/>
        </w:rPr>
        <w:t xml:space="preserve">96% of respondents supported a potential ban on wet wipes containing plastic. </w:t>
      </w:r>
      <w:r w:rsidR="007B16C7">
        <w:rPr>
          <w:rFonts w:ascii="Arial" w:hAnsi="Arial" w:cs="Arial"/>
          <w:sz w:val="24"/>
          <w:szCs w:val="24"/>
        </w:rPr>
        <w:t>Defra</w:t>
      </w:r>
      <w:r w:rsidR="00B63A00" w:rsidRPr="007A518A">
        <w:rPr>
          <w:rFonts w:ascii="Arial" w:hAnsi="Arial" w:cs="Arial"/>
          <w:sz w:val="24"/>
          <w:szCs w:val="24"/>
        </w:rPr>
        <w:t xml:space="preserve"> </w:t>
      </w:r>
      <w:r w:rsidR="00B63A00">
        <w:rPr>
          <w:rFonts w:ascii="Arial" w:hAnsi="Arial" w:cs="Arial"/>
          <w:sz w:val="24"/>
          <w:szCs w:val="24"/>
        </w:rPr>
        <w:t xml:space="preserve">published a response to the Call for Evidence </w:t>
      </w:r>
      <w:r w:rsidR="00B63A00" w:rsidRPr="007A518A">
        <w:rPr>
          <w:rFonts w:ascii="Arial" w:hAnsi="Arial" w:cs="Arial"/>
          <w:sz w:val="24"/>
          <w:szCs w:val="24"/>
        </w:rPr>
        <w:t xml:space="preserve">in </w:t>
      </w:r>
      <w:r w:rsidR="6BED0E7A" w:rsidRPr="007A518A">
        <w:rPr>
          <w:rFonts w:ascii="Arial" w:hAnsi="Arial" w:cs="Arial"/>
          <w:sz w:val="24"/>
          <w:szCs w:val="24"/>
        </w:rPr>
        <w:t>January</w:t>
      </w:r>
      <w:r w:rsidR="00B63A00" w:rsidRPr="007A518A">
        <w:rPr>
          <w:rFonts w:ascii="Arial" w:hAnsi="Arial" w:cs="Arial"/>
          <w:sz w:val="24"/>
          <w:szCs w:val="24"/>
        </w:rPr>
        <w:t xml:space="preserve"> 2023</w:t>
      </w:r>
      <w:r w:rsidR="00B63A00">
        <w:rPr>
          <w:rFonts w:ascii="Arial" w:hAnsi="Arial" w:cs="Arial"/>
          <w:sz w:val="24"/>
          <w:szCs w:val="24"/>
        </w:rPr>
        <w:t>.</w:t>
      </w:r>
      <w:r w:rsidR="00F526CA" w:rsidRPr="277D4FA6">
        <w:rPr>
          <w:rStyle w:val="FootnoteReference"/>
          <w:rFonts w:ascii="Arial" w:hAnsi="Arial" w:cs="Arial"/>
        </w:rPr>
        <w:footnoteReference w:id="2"/>
      </w:r>
    </w:p>
    <w:p w14:paraId="4E28C2D8" w14:textId="77777777" w:rsidR="00457EE8" w:rsidRDefault="00457EE8" w:rsidP="00B51046">
      <w:pPr>
        <w:pStyle w:val="ListParagraph"/>
        <w:ind w:left="284"/>
        <w:rPr>
          <w:rFonts w:ascii="Arial" w:hAnsi="Arial" w:cs="Arial"/>
          <w:sz w:val="24"/>
          <w:szCs w:val="24"/>
        </w:rPr>
      </w:pPr>
    </w:p>
    <w:p w14:paraId="388F6CBA" w14:textId="1FDEE0FC" w:rsidR="005D2DAF" w:rsidRPr="00CC1E88" w:rsidRDefault="00457EE8" w:rsidP="00007BA2">
      <w:pPr>
        <w:pStyle w:val="ListParagraph"/>
        <w:numPr>
          <w:ilvl w:val="0"/>
          <w:numId w:val="5"/>
        </w:numPr>
        <w:ind w:left="284" w:hanging="284"/>
        <w:rPr>
          <w:rFonts w:ascii="Arial" w:hAnsi="Arial" w:cs="Arial"/>
          <w:sz w:val="24"/>
          <w:szCs w:val="24"/>
        </w:rPr>
      </w:pPr>
      <w:r w:rsidRPr="00CC1E88">
        <w:rPr>
          <w:rFonts w:ascii="Arial" w:hAnsi="Arial" w:cs="Arial"/>
          <w:sz w:val="24"/>
          <w:szCs w:val="24"/>
        </w:rPr>
        <w:t>The Welsh Government also received a large</w:t>
      </w:r>
      <w:r w:rsidR="00007BA2" w:rsidRPr="00CC1E88">
        <w:rPr>
          <w:rFonts w:ascii="Arial" w:hAnsi="Arial" w:cs="Arial"/>
          <w:sz w:val="24"/>
          <w:szCs w:val="24"/>
        </w:rPr>
        <w:t>, positive</w:t>
      </w:r>
      <w:r w:rsidRPr="00CC1E88">
        <w:rPr>
          <w:rFonts w:ascii="Arial" w:hAnsi="Arial" w:cs="Arial"/>
          <w:sz w:val="24"/>
          <w:szCs w:val="24"/>
        </w:rPr>
        <w:t xml:space="preserve"> response to the consultation question on </w:t>
      </w:r>
      <w:r w:rsidR="00007BA2" w:rsidRPr="00CC1E88">
        <w:rPr>
          <w:rFonts w:ascii="Arial" w:hAnsi="Arial" w:cs="Arial"/>
          <w:sz w:val="24"/>
          <w:szCs w:val="24"/>
        </w:rPr>
        <w:t xml:space="preserve">future action on </w:t>
      </w:r>
      <w:r w:rsidRPr="00CC1E88">
        <w:rPr>
          <w:rFonts w:ascii="Arial" w:hAnsi="Arial" w:cs="Arial"/>
          <w:sz w:val="24"/>
          <w:szCs w:val="24"/>
        </w:rPr>
        <w:t xml:space="preserve">wet wipes included in the 2020 consultation, </w:t>
      </w:r>
      <w:r w:rsidR="00007BA2" w:rsidRPr="00CC1E88">
        <w:rPr>
          <w:rFonts w:ascii="Arial" w:hAnsi="Arial" w:cs="Arial"/>
          <w:sz w:val="24"/>
          <w:szCs w:val="24"/>
        </w:rPr>
        <w:t>R</w:t>
      </w:r>
      <w:r w:rsidRPr="00CC1E88">
        <w:rPr>
          <w:rFonts w:ascii="Arial" w:hAnsi="Arial" w:cs="Arial"/>
          <w:sz w:val="24"/>
          <w:szCs w:val="24"/>
        </w:rPr>
        <w:t>educing Single-Use Plastic</w:t>
      </w:r>
      <w:r w:rsidR="00007BA2" w:rsidRPr="00CC1E88">
        <w:rPr>
          <w:rStyle w:val="FootnoteReference"/>
          <w:rFonts w:ascii="Arial" w:hAnsi="Arial" w:cs="Arial"/>
          <w:szCs w:val="24"/>
        </w:rPr>
        <w:footnoteReference w:id="3"/>
      </w:r>
      <w:r w:rsidRPr="00CC1E88">
        <w:rPr>
          <w:rFonts w:ascii="Arial" w:hAnsi="Arial" w:cs="Arial"/>
          <w:sz w:val="24"/>
          <w:szCs w:val="24"/>
        </w:rPr>
        <w:t>.</w:t>
      </w:r>
    </w:p>
    <w:p w14:paraId="116D82D6" w14:textId="191D89DC" w:rsidR="00C75B72" w:rsidRPr="007A518A" w:rsidRDefault="00C75B72" w:rsidP="007A518A">
      <w:pPr>
        <w:pStyle w:val="ListParagraph"/>
        <w:ind w:left="284"/>
        <w:rPr>
          <w:rFonts w:ascii="Arial" w:hAnsi="Arial" w:cs="Arial"/>
          <w:sz w:val="24"/>
          <w:szCs w:val="24"/>
        </w:rPr>
      </w:pPr>
    </w:p>
    <w:p w14:paraId="47BD0BDE" w14:textId="2AFED05C" w:rsidR="00BB37A8" w:rsidRPr="00CC1E88" w:rsidRDefault="7F1FA894" w:rsidP="007A518A">
      <w:pPr>
        <w:pStyle w:val="ListParagraph"/>
        <w:numPr>
          <w:ilvl w:val="0"/>
          <w:numId w:val="5"/>
        </w:numPr>
        <w:ind w:left="284" w:hanging="284"/>
        <w:rPr>
          <w:rFonts w:ascii="Arial" w:eastAsia="Arial" w:hAnsi="Arial" w:cs="Arial"/>
          <w:sz w:val="24"/>
          <w:szCs w:val="24"/>
        </w:rPr>
      </w:pPr>
      <w:r w:rsidRPr="002072EF">
        <w:rPr>
          <w:rFonts w:ascii="Arial" w:hAnsi="Arial" w:cs="Arial"/>
          <w:sz w:val="24"/>
          <w:szCs w:val="24"/>
        </w:rPr>
        <w:t>T</w:t>
      </w:r>
      <w:r w:rsidRPr="007A518A">
        <w:rPr>
          <w:rFonts w:ascii="Arial" w:hAnsi="Arial" w:cs="Arial"/>
          <w:sz w:val="24"/>
          <w:szCs w:val="24"/>
        </w:rPr>
        <w:t>he</w:t>
      </w:r>
      <w:r w:rsidRPr="007A518A" w:rsidDel="0044144F">
        <w:rPr>
          <w:rFonts w:ascii="Arial" w:hAnsi="Arial" w:cs="Arial"/>
          <w:sz w:val="24"/>
          <w:szCs w:val="24"/>
        </w:rPr>
        <w:t xml:space="preserve"> </w:t>
      </w:r>
      <w:r w:rsidR="00B06C36">
        <w:rPr>
          <w:rFonts w:ascii="Arial" w:hAnsi="Arial" w:cs="Arial"/>
          <w:sz w:val="24"/>
          <w:szCs w:val="24"/>
        </w:rPr>
        <w:t>UK public</w:t>
      </w:r>
      <w:r w:rsidR="0044144F" w:rsidRPr="007A518A">
        <w:rPr>
          <w:rFonts w:ascii="Arial" w:hAnsi="Arial" w:cs="Arial"/>
          <w:sz w:val="24"/>
          <w:szCs w:val="24"/>
        </w:rPr>
        <w:t xml:space="preserve"> </w:t>
      </w:r>
      <w:r w:rsidRPr="007A518A">
        <w:rPr>
          <w:rFonts w:ascii="Arial" w:hAnsi="Arial" w:cs="Arial"/>
          <w:sz w:val="24"/>
          <w:szCs w:val="24"/>
        </w:rPr>
        <w:t>consultation proposes ban</w:t>
      </w:r>
      <w:r w:rsidR="426E7445" w:rsidRPr="007A518A">
        <w:rPr>
          <w:rFonts w:ascii="Arial" w:hAnsi="Arial" w:cs="Arial"/>
          <w:sz w:val="24"/>
          <w:szCs w:val="24"/>
        </w:rPr>
        <w:t>n</w:t>
      </w:r>
      <w:r w:rsidRPr="007A518A">
        <w:rPr>
          <w:rFonts w:ascii="Arial" w:hAnsi="Arial" w:cs="Arial"/>
          <w:sz w:val="24"/>
          <w:szCs w:val="24"/>
        </w:rPr>
        <w:t xml:space="preserve">ing </w:t>
      </w:r>
      <w:r w:rsidR="5E645782" w:rsidRPr="007A518A">
        <w:rPr>
          <w:rFonts w:ascii="Arial" w:hAnsi="Arial" w:cs="Arial"/>
          <w:sz w:val="24"/>
          <w:szCs w:val="24"/>
        </w:rPr>
        <w:t xml:space="preserve">the </w:t>
      </w:r>
      <w:r w:rsidR="003114A2">
        <w:rPr>
          <w:rFonts w:ascii="Arial" w:hAnsi="Arial" w:cs="Arial"/>
          <w:sz w:val="24"/>
          <w:szCs w:val="24"/>
        </w:rPr>
        <w:t>manufacture</w:t>
      </w:r>
      <w:r w:rsidR="003114A2" w:rsidRPr="00091E62">
        <w:rPr>
          <w:rFonts w:ascii="Arial" w:eastAsia="Arial" w:hAnsi="Arial" w:cs="Arial"/>
          <w:sz w:val="24"/>
          <w:szCs w:val="24"/>
        </w:rPr>
        <w:t>, supply and sale</w:t>
      </w:r>
      <w:r w:rsidR="7C6232FE" w:rsidRPr="007A518A">
        <w:rPr>
          <w:rFonts w:ascii="Arial" w:hAnsi="Arial" w:cs="Arial"/>
          <w:sz w:val="24"/>
          <w:szCs w:val="24"/>
        </w:rPr>
        <w:t xml:space="preserve"> of </w:t>
      </w:r>
      <w:r w:rsidR="31911598" w:rsidRPr="007A518A">
        <w:rPr>
          <w:rFonts w:ascii="Arial" w:hAnsi="Arial" w:cs="Arial"/>
          <w:sz w:val="24"/>
          <w:szCs w:val="24"/>
        </w:rPr>
        <w:t xml:space="preserve">wet wipes containing plastic. </w:t>
      </w:r>
      <w:r w:rsidR="152CF2B8" w:rsidRPr="007A518A">
        <w:rPr>
          <w:rFonts w:ascii="Arial" w:hAnsi="Arial" w:cs="Arial"/>
          <w:sz w:val="24"/>
          <w:szCs w:val="24"/>
        </w:rPr>
        <w:t>Th</w:t>
      </w:r>
      <w:r w:rsidR="00917AAA">
        <w:rPr>
          <w:rFonts w:ascii="Arial" w:hAnsi="Arial" w:cs="Arial"/>
          <w:sz w:val="24"/>
          <w:szCs w:val="24"/>
        </w:rPr>
        <w:t>ese</w:t>
      </w:r>
      <w:r w:rsidR="152CF2B8" w:rsidRPr="007A518A">
        <w:rPr>
          <w:rFonts w:ascii="Arial" w:hAnsi="Arial" w:cs="Arial"/>
          <w:sz w:val="24"/>
          <w:szCs w:val="24"/>
        </w:rPr>
        <w:t xml:space="preserve"> </w:t>
      </w:r>
      <w:r w:rsidR="00917AAA">
        <w:rPr>
          <w:rFonts w:ascii="Arial" w:hAnsi="Arial" w:cs="Arial"/>
          <w:sz w:val="24"/>
          <w:szCs w:val="24"/>
        </w:rPr>
        <w:t xml:space="preserve">are </w:t>
      </w:r>
      <w:r w:rsidR="152CF2B8" w:rsidRPr="007A518A">
        <w:rPr>
          <w:rFonts w:ascii="Arial" w:hAnsi="Arial" w:cs="Arial"/>
          <w:sz w:val="24"/>
          <w:szCs w:val="24"/>
        </w:rPr>
        <w:t>action</w:t>
      </w:r>
      <w:r w:rsidR="00917AAA">
        <w:rPr>
          <w:rFonts w:ascii="Arial" w:hAnsi="Arial" w:cs="Arial"/>
          <w:sz w:val="24"/>
          <w:szCs w:val="24"/>
        </w:rPr>
        <w:t>s</w:t>
      </w:r>
      <w:r w:rsidR="152CF2B8" w:rsidRPr="007A518A">
        <w:rPr>
          <w:rFonts w:ascii="Arial" w:hAnsi="Arial" w:cs="Arial"/>
          <w:sz w:val="24"/>
          <w:szCs w:val="24"/>
        </w:rPr>
        <w:t xml:space="preserve"> in a set of actions to reduce </w:t>
      </w:r>
      <w:r w:rsidR="6D1FB8B2" w:rsidRPr="007A518A">
        <w:rPr>
          <w:rFonts w:ascii="Arial" w:hAnsi="Arial" w:cs="Arial"/>
          <w:sz w:val="24"/>
          <w:szCs w:val="24"/>
        </w:rPr>
        <w:t xml:space="preserve">single use </w:t>
      </w:r>
      <w:r w:rsidR="152CF2B8" w:rsidRPr="007A518A">
        <w:rPr>
          <w:rFonts w:ascii="Arial" w:hAnsi="Arial" w:cs="Arial"/>
          <w:sz w:val="24"/>
          <w:szCs w:val="24"/>
        </w:rPr>
        <w:t xml:space="preserve">plastics and ensure that </w:t>
      </w:r>
      <w:r w:rsidR="5E2DFA51" w:rsidRPr="007A518A">
        <w:rPr>
          <w:rFonts w:ascii="Arial" w:hAnsi="Arial" w:cs="Arial"/>
          <w:sz w:val="24"/>
          <w:szCs w:val="24"/>
        </w:rPr>
        <w:t>w</w:t>
      </w:r>
      <w:r w:rsidR="60397C04" w:rsidRPr="007A518A">
        <w:rPr>
          <w:rFonts w:ascii="Arial" w:hAnsi="Arial" w:cs="Arial"/>
          <w:sz w:val="24"/>
          <w:szCs w:val="24"/>
        </w:rPr>
        <w:t xml:space="preserve">et wipes are disposed of in a safe way. </w:t>
      </w:r>
      <w:r w:rsidR="00E90882" w:rsidRPr="007A518A">
        <w:rPr>
          <w:rFonts w:ascii="Arial" w:hAnsi="Arial" w:cs="Arial"/>
          <w:sz w:val="24"/>
          <w:szCs w:val="24"/>
        </w:rPr>
        <w:t>To tackle plastic waste</w:t>
      </w:r>
      <w:r w:rsidR="00900A90" w:rsidRPr="007A518A">
        <w:rPr>
          <w:rFonts w:ascii="Arial" w:hAnsi="Arial" w:cs="Arial"/>
          <w:sz w:val="24"/>
          <w:szCs w:val="24"/>
        </w:rPr>
        <w:t xml:space="preserve">, </w:t>
      </w:r>
      <w:r w:rsidR="001D4691">
        <w:rPr>
          <w:rFonts w:ascii="Arial" w:hAnsi="Arial" w:cs="Arial"/>
          <w:sz w:val="24"/>
          <w:szCs w:val="24"/>
        </w:rPr>
        <w:t>the UK</w:t>
      </w:r>
      <w:r w:rsidR="002F71B3">
        <w:rPr>
          <w:rFonts w:ascii="Arial" w:hAnsi="Arial" w:cs="Arial"/>
          <w:sz w:val="24"/>
          <w:szCs w:val="24"/>
        </w:rPr>
        <w:t xml:space="preserve"> and Devolved Governments</w:t>
      </w:r>
      <w:r w:rsidR="001D4691" w:rsidRPr="007A518A">
        <w:rPr>
          <w:rFonts w:ascii="Arial" w:hAnsi="Arial" w:cs="Arial"/>
          <w:sz w:val="24"/>
          <w:szCs w:val="24"/>
        </w:rPr>
        <w:t xml:space="preserve"> </w:t>
      </w:r>
      <w:r w:rsidR="00E90882" w:rsidRPr="007A518A">
        <w:rPr>
          <w:rFonts w:ascii="Arial" w:hAnsi="Arial" w:cs="Arial"/>
          <w:sz w:val="24"/>
          <w:szCs w:val="24"/>
        </w:rPr>
        <w:t xml:space="preserve">have </w:t>
      </w:r>
      <w:r w:rsidR="00900A90" w:rsidRPr="007A518A">
        <w:rPr>
          <w:rFonts w:ascii="Arial" w:hAnsi="Arial" w:cs="Arial"/>
          <w:sz w:val="24"/>
          <w:szCs w:val="24"/>
        </w:rPr>
        <w:t>already banned microbeads in rinse-off personal care products</w:t>
      </w:r>
      <w:r w:rsidR="00A879A1">
        <w:rPr>
          <w:rFonts w:ascii="Arial" w:hAnsi="Arial" w:cs="Arial"/>
          <w:sz w:val="24"/>
          <w:szCs w:val="24"/>
        </w:rPr>
        <w:t xml:space="preserve">. </w:t>
      </w:r>
      <w:r w:rsidR="00A879A1" w:rsidRPr="00CC1E88">
        <w:rPr>
          <w:rFonts w:ascii="Arial" w:hAnsi="Arial" w:cs="Arial"/>
          <w:sz w:val="24"/>
          <w:szCs w:val="24"/>
        </w:rPr>
        <w:t>Additionally, the UK government, Scottish Government and Welsh government are legislating</w:t>
      </w:r>
      <w:r w:rsidR="006A16B1" w:rsidRPr="00CC1E88">
        <w:rPr>
          <w:rFonts w:ascii="Arial" w:hAnsi="Arial" w:cs="Arial"/>
          <w:sz w:val="24"/>
          <w:szCs w:val="24"/>
        </w:rPr>
        <w:t xml:space="preserve"> or have legislate</w:t>
      </w:r>
      <w:r w:rsidR="0041788F" w:rsidRPr="00CC1E88">
        <w:rPr>
          <w:rFonts w:ascii="Arial" w:hAnsi="Arial" w:cs="Arial"/>
          <w:sz w:val="24"/>
          <w:szCs w:val="24"/>
        </w:rPr>
        <w:t>d</w:t>
      </w:r>
      <w:r w:rsidR="006A16B1" w:rsidRPr="00CC1E88">
        <w:rPr>
          <w:rFonts w:ascii="Arial" w:hAnsi="Arial" w:cs="Arial"/>
          <w:sz w:val="24"/>
          <w:szCs w:val="24"/>
        </w:rPr>
        <w:t xml:space="preserve"> to</w:t>
      </w:r>
      <w:r w:rsidR="001D4691" w:rsidRPr="00CC1E88">
        <w:rPr>
          <w:rFonts w:ascii="Arial" w:hAnsi="Arial" w:cs="Arial"/>
          <w:sz w:val="24"/>
          <w:szCs w:val="24"/>
        </w:rPr>
        <w:t xml:space="preserve"> </w:t>
      </w:r>
      <w:r w:rsidR="00900A90" w:rsidRPr="00CC1E88">
        <w:rPr>
          <w:rFonts w:ascii="Arial" w:hAnsi="Arial" w:cs="Arial"/>
          <w:sz w:val="24"/>
          <w:szCs w:val="24"/>
        </w:rPr>
        <w:t xml:space="preserve">restrict the supply of single-use plastic </w:t>
      </w:r>
      <w:r w:rsidR="001B094B" w:rsidRPr="00CC1E88">
        <w:rPr>
          <w:rFonts w:ascii="Arial" w:hAnsi="Arial" w:cs="Arial"/>
          <w:sz w:val="24"/>
          <w:szCs w:val="24"/>
        </w:rPr>
        <w:t>products</w:t>
      </w:r>
      <w:r w:rsidR="009C27AE">
        <w:rPr>
          <w:rFonts w:ascii="Arial" w:hAnsi="Arial" w:cs="Arial"/>
          <w:sz w:val="24"/>
          <w:szCs w:val="24"/>
        </w:rPr>
        <w:t>.</w:t>
      </w:r>
      <w:r w:rsidR="001B094B" w:rsidRPr="00CC1E88">
        <w:rPr>
          <w:rFonts w:ascii="Arial" w:hAnsi="Arial" w:cs="Arial"/>
          <w:sz w:val="24"/>
          <w:szCs w:val="24"/>
        </w:rPr>
        <w:t xml:space="preserve"> </w:t>
      </w:r>
      <w:r w:rsidR="00DD04E4" w:rsidRPr="00CC1E88">
        <w:rPr>
          <w:rFonts w:ascii="Arial" w:hAnsi="Arial" w:cs="Arial"/>
          <w:sz w:val="24"/>
          <w:szCs w:val="24"/>
        </w:rPr>
        <w:t xml:space="preserve">In </w:t>
      </w:r>
      <w:r w:rsidR="00A22F86" w:rsidRPr="00CC1E88">
        <w:rPr>
          <w:rFonts w:ascii="Arial" w:hAnsi="Arial" w:cs="Arial"/>
          <w:sz w:val="24"/>
          <w:szCs w:val="24"/>
        </w:rPr>
        <w:t>Scotland</w:t>
      </w:r>
      <w:r w:rsidR="00F440D3" w:rsidRPr="00CC1E88">
        <w:rPr>
          <w:rFonts w:ascii="Arial" w:hAnsi="Arial" w:cs="Arial"/>
          <w:sz w:val="24"/>
          <w:szCs w:val="24"/>
        </w:rPr>
        <w:t xml:space="preserve">, in June 2022, it became an offence to manufacture </w:t>
      </w:r>
      <w:r w:rsidR="008D22FC" w:rsidRPr="00CC1E88">
        <w:rPr>
          <w:rFonts w:ascii="Arial" w:hAnsi="Arial" w:cs="Arial"/>
          <w:sz w:val="24"/>
          <w:szCs w:val="24"/>
        </w:rPr>
        <w:t>and supply single use cutl</w:t>
      </w:r>
      <w:r w:rsidR="00B72A0F" w:rsidRPr="00CC1E88">
        <w:rPr>
          <w:rFonts w:ascii="Arial" w:hAnsi="Arial" w:cs="Arial"/>
          <w:sz w:val="24"/>
          <w:szCs w:val="24"/>
        </w:rPr>
        <w:t>ery, d</w:t>
      </w:r>
      <w:r w:rsidR="00E32977" w:rsidRPr="00CC1E88">
        <w:rPr>
          <w:rFonts w:ascii="Arial" w:hAnsi="Arial" w:cs="Arial"/>
          <w:sz w:val="24"/>
          <w:szCs w:val="24"/>
        </w:rPr>
        <w:t xml:space="preserve">rink stirrers, </w:t>
      </w:r>
      <w:r w:rsidR="001552C1" w:rsidRPr="00CC1E88">
        <w:rPr>
          <w:rFonts w:ascii="Arial" w:hAnsi="Arial" w:cs="Arial"/>
          <w:sz w:val="24"/>
          <w:szCs w:val="24"/>
        </w:rPr>
        <w:t xml:space="preserve">plates, and </w:t>
      </w:r>
      <w:r w:rsidR="00953A64" w:rsidRPr="00CC1E88">
        <w:rPr>
          <w:rFonts w:ascii="Arial" w:hAnsi="Arial" w:cs="Arial"/>
          <w:sz w:val="24"/>
          <w:szCs w:val="24"/>
        </w:rPr>
        <w:t xml:space="preserve">polystyrene </w:t>
      </w:r>
      <w:r w:rsidR="00E32977" w:rsidRPr="00CC1E88">
        <w:rPr>
          <w:rFonts w:ascii="Arial" w:hAnsi="Arial" w:cs="Arial"/>
          <w:sz w:val="24"/>
          <w:szCs w:val="24"/>
        </w:rPr>
        <w:t>cups</w:t>
      </w:r>
      <w:r w:rsidR="00953A64" w:rsidRPr="00CC1E88">
        <w:rPr>
          <w:rFonts w:ascii="Arial" w:hAnsi="Arial" w:cs="Arial"/>
          <w:sz w:val="24"/>
          <w:szCs w:val="24"/>
        </w:rPr>
        <w:t xml:space="preserve"> and food containers</w:t>
      </w:r>
      <w:r w:rsidR="00A22F86" w:rsidRPr="69BA51AD">
        <w:rPr>
          <w:rStyle w:val="FootnoteReference"/>
          <w:rFonts w:ascii="Arial" w:hAnsi="Arial" w:cs="Arial"/>
        </w:rPr>
        <w:footnoteReference w:id="4"/>
      </w:r>
      <w:r w:rsidR="00814A6E" w:rsidRPr="00CC1E88">
        <w:rPr>
          <w:rFonts w:ascii="Arial" w:hAnsi="Arial" w:cs="Arial"/>
          <w:sz w:val="24"/>
          <w:szCs w:val="24"/>
        </w:rPr>
        <w:t>.</w:t>
      </w:r>
      <w:r w:rsidR="001552C1" w:rsidRPr="00CC1E88">
        <w:rPr>
          <w:rFonts w:ascii="Arial" w:hAnsi="Arial" w:cs="Arial"/>
          <w:sz w:val="24"/>
          <w:szCs w:val="24"/>
        </w:rPr>
        <w:t xml:space="preserve"> In England, </w:t>
      </w:r>
      <w:r w:rsidR="000B1FEF" w:rsidRPr="00CC1E88">
        <w:rPr>
          <w:rFonts w:ascii="Arial" w:hAnsi="Arial" w:cs="Arial"/>
          <w:sz w:val="24"/>
          <w:szCs w:val="24"/>
        </w:rPr>
        <w:t xml:space="preserve">there is an intention to </w:t>
      </w:r>
      <w:r w:rsidR="00434520" w:rsidRPr="00CC1E88">
        <w:rPr>
          <w:rFonts w:ascii="Arial" w:hAnsi="Arial" w:cs="Arial"/>
          <w:sz w:val="24"/>
          <w:szCs w:val="24"/>
        </w:rPr>
        <w:t>ban single-use plastic plates, trays, bowls, cutlery, balloon sticks and certain types of polystyrene cups and food containers in England by October 2023</w:t>
      </w:r>
      <w:r w:rsidR="00CD30ED" w:rsidRPr="00CC1E88">
        <w:rPr>
          <w:rStyle w:val="FootnoteReference"/>
          <w:rFonts w:ascii="Arial" w:hAnsi="Arial" w:cs="Arial"/>
          <w:sz w:val="24"/>
          <w:szCs w:val="24"/>
          <w:shd w:val="clear" w:color="auto" w:fill="FFFFFF" w:themeFill="background1"/>
        </w:rPr>
        <w:footnoteReference w:id="5"/>
      </w:r>
      <w:r w:rsidR="00814A6E" w:rsidRPr="00CC1E88">
        <w:rPr>
          <w:rStyle w:val="Mention"/>
          <w:rFonts w:ascii="Arial" w:hAnsi="Arial" w:cs="Arial"/>
          <w:color w:val="auto"/>
          <w:sz w:val="24"/>
          <w:szCs w:val="24"/>
          <w:shd w:val="clear" w:color="auto" w:fill="FFFFFF" w:themeFill="background1"/>
        </w:rPr>
        <w:t xml:space="preserve">. </w:t>
      </w:r>
      <w:r w:rsidR="00DE694A" w:rsidRPr="00CC1E88">
        <w:rPr>
          <w:rStyle w:val="Mention"/>
          <w:rFonts w:ascii="Arial" w:hAnsi="Arial" w:cs="Arial"/>
          <w:color w:val="auto"/>
          <w:sz w:val="24"/>
          <w:szCs w:val="24"/>
          <w:shd w:val="clear" w:color="auto" w:fill="FFFFFF" w:themeFill="background1"/>
        </w:rPr>
        <w:t>In Wales</w:t>
      </w:r>
      <w:r w:rsidR="00D72925" w:rsidRPr="00CC1E88">
        <w:rPr>
          <w:rStyle w:val="Mention"/>
          <w:rFonts w:ascii="Arial" w:hAnsi="Arial" w:cs="Arial"/>
          <w:color w:val="auto"/>
          <w:sz w:val="24"/>
          <w:szCs w:val="24"/>
          <w:shd w:val="clear" w:color="auto" w:fill="FFFFFF" w:themeFill="background1"/>
        </w:rPr>
        <w:t xml:space="preserve">, it will </w:t>
      </w:r>
      <w:r w:rsidR="00595DE6" w:rsidRPr="00CC1E88">
        <w:rPr>
          <w:rStyle w:val="Mention"/>
          <w:rFonts w:ascii="Arial" w:hAnsi="Arial" w:cs="Arial"/>
          <w:color w:val="auto"/>
          <w:sz w:val="24"/>
          <w:szCs w:val="24"/>
          <w:shd w:val="clear" w:color="auto" w:fill="FFFFFF" w:themeFill="background1"/>
        </w:rPr>
        <w:t xml:space="preserve">shortly </w:t>
      </w:r>
      <w:r w:rsidR="00D72925" w:rsidRPr="00CC1E88">
        <w:rPr>
          <w:rStyle w:val="Mention"/>
          <w:rFonts w:ascii="Arial" w:hAnsi="Arial" w:cs="Arial"/>
          <w:color w:val="auto"/>
          <w:sz w:val="24"/>
          <w:szCs w:val="24"/>
          <w:shd w:val="clear" w:color="auto" w:fill="FFFFFF" w:themeFill="background1"/>
        </w:rPr>
        <w:t xml:space="preserve">be a criminal offence to </w:t>
      </w:r>
      <w:r w:rsidR="00896D5D" w:rsidRPr="00CC1E88">
        <w:rPr>
          <w:rStyle w:val="Mention"/>
          <w:rFonts w:ascii="Arial" w:hAnsi="Arial" w:cs="Arial"/>
          <w:color w:val="auto"/>
          <w:sz w:val="24"/>
          <w:szCs w:val="24"/>
          <w:shd w:val="clear" w:color="auto" w:fill="FFFFFF" w:themeFill="background1"/>
        </w:rPr>
        <w:t xml:space="preserve">supply or offer to supply </w:t>
      </w:r>
      <w:r w:rsidR="00595DE6" w:rsidRPr="00CC1E88">
        <w:rPr>
          <w:rStyle w:val="Mention"/>
          <w:rFonts w:ascii="Arial" w:hAnsi="Arial" w:cs="Arial"/>
          <w:color w:val="auto"/>
          <w:sz w:val="24"/>
          <w:szCs w:val="24"/>
          <w:shd w:val="clear" w:color="auto" w:fill="FFFFFF" w:themeFill="background1"/>
        </w:rPr>
        <w:t xml:space="preserve">single-use </w:t>
      </w:r>
      <w:r w:rsidR="00896D5D" w:rsidRPr="00CC1E88">
        <w:rPr>
          <w:rStyle w:val="Mention"/>
          <w:rFonts w:ascii="Arial" w:hAnsi="Arial" w:cs="Arial"/>
          <w:color w:val="auto"/>
          <w:sz w:val="24"/>
          <w:szCs w:val="24"/>
          <w:shd w:val="clear" w:color="auto" w:fill="FFFFFF" w:themeFill="background1"/>
        </w:rPr>
        <w:t>plastic plates</w:t>
      </w:r>
      <w:r w:rsidR="000C6E1D" w:rsidRPr="00CC1E88">
        <w:rPr>
          <w:rStyle w:val="Mention"/>
          <w:rFonts w:ascii="Arial" w:hAnsi="Arial" w:cs="Arial"/>
          <w:color w:val="auto"/>
          <w:sz w:val="24"/>
          <w:szCs w:val="24"/>
          <w:shd w:val="clear" w:color="auto" w:fill="FFFFFF" w:themeFill="background1"/>
        </w:rPr>
        <w:t>, cutlery, drink stirrers</w:t>
      </w:r>
      <w:r w:rsidR="006C2028" w:rsidRPr="00CC1E88">
        <w:rPr>
          <w:rStyle w:val="Mention"/>
          <w:rFonts w:ascii="Arial" w:hAnsi="Arial" w:cs="Arial"/>
          <w:color w:val="auto"/>
          <w:sz w:val="24"/>
          <w:szCs w:val="24"/>
          <w:shd w:val="clear" w:color="auto" w:fill="FFFFFF" w:themeFill="background1"/>
        </w:rPr>
        <w:t>, balloon sticks</w:t>
      </w:r>
      <w:r w:rsidR="00E15A94" w:rsidRPr="00CC1E88">
        <w:rPr>
          <w:rStyle w:val="Mention"/>
          <w:rFonts w:ascii="Arial" w:hAnsi="Arial" w:cs="Arial"/>
          <w:color w:val="auto"/>
          <w:sz w:val="24"/>
          <w:szCs w:val="24"/>
          <w:shd w:val="clear" w:color="auto" w:fill="FFFFFF" w:themeFill="background1"/>
        </w:rPr>
        <w:t xml:space="preserve">, </w:t>
      </w:r>
      <w:r w:rsidR="006C2028" w:rsidRPr="00CC1E88">
        <w:rPr>
          <w:rStyle w:val="Mention"/>
          <w:rFonts w:ascii="Arial" w:hAnsi="Arial" w:cs="Arial"/>
          <w:color w:val="auto"/>
          <w:sz w:val="24"/>
          <w:szCs w:val="24"/>
          <w:shd w:val="clear" w:color="auto" w:fill="FFFFFF" w:themeFill="background1"/>
        </w:rPr>
        <w:t>drinking straws</w:t>
      </w:r>
      <w:r w:rsidR="00E15A94" w:rsidRPr="00CC1E88">
        <w:rPr>
          <w:rStyle w:val="Mention"/>
          <w:rFonts w:ascii="Arial" w:hAnsi="Arial" w:cs="Arial"/>
          <w:color w:val="auto"/>
          <w:sz w:val="24"/>
          <w:szCs w:val="24"/>
          <w:shd w:val="clear" w:color="auto" w:fill="FFFFFF" w:themeFill="background1"/>
        </w:rPr>
        <w:t xml:space="preserve"> </w:t>
      </w:r>
      <w:r w:rsidR="00E15A94" w:rsidRPr="00CC1E88">
        <w:rPr>
          <w:rFonts w:ascii="Arial" w:hAnsi="Arial" w:cs="Arial"/>
          <w:sz w:val="24"/>
          <w:szCs w:val="24"/>
        </w:rPr>
        <w:t>expanded polystyrene cups and expanded polystyrene takeaway food containers</w:t>
      </w:r>
      <w:r w:rsidR="006C2028" w:rsidRPr="69BA51AD">
        <w:rPr>
          <w:rStyle w:val="FootnoteReference"/>
          <w:rFonts w:ascii="Arial" w:hAnsi="Arial" w:cs="Arial"/>
          <w:shd w:val="clear" w:color="auto" w:fill="FFFFFF" w:themeFill="background1"/>
        </w:rPr>
        <w:footnoteReference w:id="6"/>
      </w:r>
      <w:r w:rsidR="00814A6E" w:rsidRPr="00CC1E88">
        <w:rPr>
          <w:rStyle w:val="Mention"/>
          <w:rFonts w:ascii="Arial" w:hAnsi="Arial" w:cs="Arial"/>
          <w:color w:val="auto"/>
          <w:sz w:val="24"/>
          <w:szCs w:val="24"/>
          <w:shd w:val="clear" w:color="auto" w:fill="FFFFFF" w:themeFill="background1"/>
        </w:rPr>
        <w:t>.</w:t>
      </w:r>
      <w:r w:rsidR="006C2028" w:rsidRPr="00CC1E88">
        <w:rPr>
          <w:rStyle w:val="Mention"/>
          <w:rFonts w:ascii="Arial" w:hAnsi="Arial" w:cs="Arial"/>
          <w:sz w:val="24"/>
          <w:szCs w:val="24"/>
        </w:rPr>
        <w:t xml:space="preserve"> </w:t>
      </w:r>
    </w:p>
    <w:p w14:paraId="1DEA3B4E" w14:textId="5FB1B221" w:rsidR="00840925" w:rsidRPr="007A518A" w:rsidRDefault="00FC1CE9" w:rsidP="007A518A">
      <w:pPr>
        <w:pStyle w:val="ListParagraph"/>
        <w:numPr>
          <w:ilvl w:val="0"/>
          <w:numId w:val="5"/>
        </w:numPr>
        <w:ind w:left="284" w:hanging="284"/>
        <w:rPr>
          <w:rFonts w:ascii="Arial" w:hAnsi="Arial" w:cs="Arial"/>
          <w:sz w:val="24"/>
          <w:szCs w:val="24"/>
        </w:rPr>
      </w:pPr>
      <w:r>
        <w:rPr>
          <w:rFonts w:ascii="Arial" w:hAnsi="Arial" w:cs="Arial"/>
          <w:sz w:val="24"/>
          <w:szCs w:val="24"/>
        </w:rPr>
        <w:t xml:space="preserve">Defra </w:t>
      </w:r>
      <w:r w:rsidR="00840925" w:rsidRPr="007A518A">
        <w:rPr>
          <w:rFonts w:ascii="Arial" w:hAnsi="Arial" w:cs="Arial"/>
          <w:sz w:val="24"/>
          <w:szCs w:val="24"/>
        </w:rPr>
        <w:t xml:space="preserve">also support the Water UK communications campaign to ‘Bin the Wipe’ and </w:t>
      </w:r>
      <w:r w:rsidR="00C22CD0">
        <w:rPr>
          <w:rFonts w:ascii="Arial" w:eastAsia="Arial" w:hAnsi="Arial" w:cs="Arial"/>
          <w:sz w:val="24"/>
          <w:szCs w:val="24"/>
        </w:rPr>
        <w:t>have written</w:t>
      </w:r>
      <w:r w:rsidR="00840925" w:rsidRPr="007A518A">
        <w:rPr>
          <w:rFonts w:ascii="Arial" w:hAnsi="Arial" w:cs="Arial"/>
          <w:sz w:val="24"/>
          <w:szCs w:val="24"/>
        </w:rPr>
        <w:t xml:space="preserve"> to the relevant producers and advertising authorities regarding the labelling of wet wipes as ‘flushable’. </w:t>
      </w:r>
    </w:p>
    <w:p w14:paraId="180A044B" w14:textId="33B13AF0" w:rsidR="005A2227" w:rsidRPr="007A518A" w:rsidRDefault="001B4385" w:rsidP="007A518A">
      <w:pPr>
        <w:keepNext/>
        <w:spacing w:before="480" w:after="120" w:line="240" w:lineRule="auto"/>
        <w:outlineLvl w:val="1"/>
        <w:rPr>
          <w:rFonts w:ascii="Arial" w:eastAsia="Times New Roman" w:hAnsi="Arial" w:cs="Times New Roman"/>
          <w:b/>
          <w:color w:val="008938"/>
          <w:sz w:val="28"/>
          <w:szCs w:val="28"/>
        </w:rPr>
      </w:pPr>
      <w:r w:rsidRPr="007A518A">
        <w:rPr>
          <w:rFonts w:ascii="Arial" w:eastAsia="Times New Roman" w:hAnsi="Arial" w:cs="Times New Roman"/>
          <w:b/>
          <w:color w:val="008938"/>
          <w:sz w:val="28"/>
          <w:szCs w:val="28"/>
        </w:rPr>
        <w:t xml:space="preserve">Market </w:t>
      </w:r>
      <w:r w:rsidRPr="007A518A">
        <w:rPr>
          <w:rFonts w:ascii="Arial" w:eastAsia="Times New Roman" w:hAnsi="Arial" w:cs="Times New Roman"/>
          <w:b/>
          <w:bCs/>
          <w:iCs/>
          <w:color w:val="008938"/>
          <w:sz w:val="28"/>
          <w:szCs w:val="28"/>
        </w:rPr>
        <w:t>Overvie</w:t>
      </w:r>
      <w:r w:rsidR="005A2227">
        <w:rPr>
          <w:rFonts w:ascii="Arial" w:eastAsia="Times New Roman" w:hAnsi="Arial" w:cs="Times New Roman"/>
          <w:b/>
          <w:bCs/>
          <w:iCs/>
          <w:color w:val="008938"/>
          <w:sz w:val="28"/>
          <w:szCs w:val="28"/>
        </w:rPr>
        <w:t>w</w:t>
      </w:r>
    </w:p>
    <w:p w14:paraId="1760A27B" w14:textId="137C6AB6" w:rsidR="00CF2139" w:rsidRDefault="00F87F8B" w:rsidP="007A518A">
      <w:pPr>
        <w:pStyle w:val="ListParagraph"/>
        <w:numPr>
          <w:ilvl w:val="0"/>
          <w:numId w:val="5"/>
        </w:numPr>
        <w:ind w:left="284"/>
        <w:rPr>
          <w:rFonts w:ascii="Arial" w:hAnsi="Arial" w:cs="Arial"/>
          <w:sz w:val="24"/>
          <w:szCs w:val="24"/>
        </w:rPr>
      </w:pPr>
      <w:r w:rsidRPr="007A518A">
        <w:rPr>
          <w:rFonts w:ascii="Arial" w:hAnsi="Arial" w:cs="Arial"/>
          <w:sz w:val="24"/>
          <w:szCs w:val="24"/>
        </w:rPr>
        <w:t>In a Defra</w:t>
      </w:r>
      <w:r w:rsidR="15C1FF68" w:rsidRPr="5F95DE0A">
        <w:rPr>
          <w:rFonts w:ascii="Arial" w:hAnsi="Arial" w:cs="Arial"/>
          <w:sz w:val="24"/>
          <w:szCs w:val="24"/>
        </w:rPr>
        <w:t>-</w:t>
      </w:r>
      <w:r w:rsidRPr="007A518A">
        <w:rPr>
          <w:rFonts w:ascii="Arial" w:hAnsi="Arial" w:cs="Arial"/>
          <w:sz w:val="24"/>
          <w:szCs w:val="24"/>
        </w:rPr>
        <w:t>commissioned report, Valpak have given market insights using their Environment Product Information Centre (EPIC) database and through engagement with key stakeholders such as E</w:t>
      </w:r>
      <w:r w:rsidR="6DACF90C" w:rsidRPr="007A518A">
        <w:rPr>
          <w:rFonts w:ascii="Arial" w:hAnsi="Arial" w:cs="Arial"/>
          <w:sz w:val="24"/>
          <w:szCs w:val="24"/>
        </w:rPr>
        <w:t>DANA</w:t>
      </w:r>
      <w:r w:rsidRPr="007A518A">
        <w:rPr>
          <w:rFonts w:ascii="Arial" w:hAnsi="Arial" w:cs="Arial"/>
          <w:sz w:val="24"/>
          <w:szCs w:val="24"/>
        </w:rPr>
        <w:t xml:space="preserve"> </w:t>
      </w:r>
      <w:r w:rsidR="00B7043E" w:rsidRPr="007A518A">
        <w:rPr>
          <w:rFonts w:ascii="Arial" w:hAnsi="Arial" w:cs="Arial"/>
          <w:sz w:val="24"/>
          <w:szCs w:val="24"/>
        </w:rPr>
        <w:t>UK</w:t>
      </w:r>
      <w:r w:rsidRPr="007A518A">
        <w:rPr>
          <w:rFonts w:ascii="Arial" w:hAnsi="Arial" w:cs="Arial"/>
          <w:sz w:val="24"/>
          <w:szCs w:val="24"/>
        </w:rPr>
        <w:t xml:space="preserve"> and Recoup. </w:t>
      </w:r>
      <w:r w:rsidR="00CF2139" w:rsidRPr="007A518A">
        <w:rPr>
          <w:rFonts w:ascii="Arial" w:hAnsi="Arial" w:cs="Arial"/>
          <w:sz w:val="24"/>
          <w:szCs w:val="24"/>
        </w:rPr>
        <w:t>Table 1 shows the total individual wet wipes sold in the UK</w:t>
      </w:r>
      <w:r w:rsidR="00CF2139" w:rsidRPr="007A518A">
        <w:rPr>
          <w:rFonts w:ascii="Arial" w:hAnsi="Arial" w:cs="Arial"/>
          <w:sz w:val="24"/>
          <w:szCs w:val="24"/>
          <w:vertAlign w:val="superscript"/>
        </w:rPr>
        <w:footnoteReference w:id="7"/>
      </w:r>
      <w:r w:rsidR="00CF2139" w:rsidRPr="007A518A">
        <w:rPr>
          <w:rFonts w:ascii="Arial" w:hAnsi="Arial" w:cs="Arial"/>
          <w:sz w:val="24"/>
          <w:szCs w:val="24"/>
        </w:rPr>
        <w:t xml:space="preserve">. Childcare wipes make up over half of all wet wipe sales, with </w:t>
      </w:r>
      <w:r w:rsidR="00F521B3">
        <w:rPr>
          <w:rFonts w:ascii="Arial" w:hAnsi="Arial" w:cs="Arial"/>
          <w:sz w:val="24"/>
          <w:szCs w:val="24"/>
        </w:rPr>
        <w:t>just under 18.5 billion</w:t>
      </w:r>
      <w:r w:rsidR="00CF2139" w:rsidRPr="007A518A">
        <w:rPr>
          <w:rFonts w:ascii="Arial" w:hAnsi="Arial" w:cs="Arial"/>
          <w:sz w:val="24"/>
          <w:szCs w:val="24"/>
        </w:rPr>
        <w:t xml:space="preserve"> </w:t>
      </w:r>
      <w:r w:rsidR="00710D47" w:rsidRPr="007A518A">
        <w:rPr>
          <w:rFonts w:ascii="Arial" w:hAnsi="Arial" w:cs="Arial"/>
          <w:sz w:val="24"/>
          <w:szCs w:val="24"/>
        </w:rPr>
        <w:t>(60%)</w:t>
      </w:r>
      <w:r w:rsidR="00CF2139" w:rsidRPr="007A518A">
        <w:rPr>
          <w:rFonts w:ascii="Arial" w:hAnsi="Arial" w:cs="Arial"/>
          <w:sz w:val="24"/>
          <w:szCs w:val="24"/>
        </w:rPr>
        <w:t xml:space="preserve"> placed on the market in 2021.</w:t>
      </w:r>
    </w:p>
    <w:p w14:paraId="67A6CDEC" w14:textId="77777777" w:rsidR="001475D0" w:rsidRDefault="001475D0" w:rsidP="007A518A">
      <w:pPr>
        <w:keepNext/>
        <w:spacing w:after="0" w:line="276" w:lineRule="auto"/>
        <w:outlineLvl w:val="1"/>
        <w:rPr>
          <w:rFonts w:ascii="Arial" w:eastAsia="Times New Roman" w:hAnsi="Arial" w:cs="Arial"/>
          <w:color w:val="008938"/>
          <w:sz w:val="24"/>
          <w:szCs w:val="24"/>
        </w:rPr>
      </w:pPr>
    </w:p>
    <w:p w14:paraId="20B5EB55" w14:textId="77777777" w:rsidR="001475D0" w:rsidRDefault="001475D0" w:rsidP="007A518A">
      <w:pPr>
        <w:keepNext/>
        <w:spacing w:after="0" w:line="276" w:lineRule="auto"/>
        <w:outlineLvl w:val="1"/>
        <w:rPr>
          <w:rFonts w:ascii="Arial" w:eastAsia="Times New Roman" w:hAnsi="Arial" w:cs="Arial"/>
          <w:color w:val="008938"/>
          <w:sz w:val="24"/>
          <w:szCs w:val="24"/>
        </w:rPr>
      </w:pPr>
    </w:p>
    <w:p w14:paraId="71460440" w14:textId="0536C1D0" w:rsidR="00CF2139" w:rsidRDefault="00CF2139" w:rsidP="007A518A">
      <w:pPr>
        <w:keepNext/>
        <w:spacing w:after="0" w:line="276" w:lineRule="auto"/>
        <w:outlineLvl w:val="1"/>
        <w:rPr>
          <w:rFonts w:ascii="Arial" w:eastAsia="Times New Roman" w:hAnsi="Arial" w:cs="Arial"/>
          <w:color w:val="008938"/>
          <w:sz w:val="24"/>
          <w:szCs w:val="24"/>
        </w:rPr>
      </w:pPr>
      <w:r w:rsidRPr="007A518A">
        <w:rPr>
          <w:rFonts w:ascii="Arial" w:eastAsia="Times New Roman" w:hAnsi="Arial" w:cs="Arial"/>
          <w:color w:val="008938"/>
          <w:sz w:val="24"/>
          <w:szCs w:val="24"/>
        </w:rPr>
        <w:t>Table 1:</w:t>
      </w:r>
      <w:r w:rsidR="00532ADE" w:rsidRPr="007A518A">
        <w:rPr>
          <w:rFonts w:ascii="Arial" w:eastAsia="Times New Roman" w:hAnsi="Arial" w:cs="Arial"/>
          <w:color w:val="008938"/>
          <w:sz w:val="24"/>
          <w:szCs w:val="24"/>
        </w:rPr>
        <w:t xml:space="preserve"> </w:t>
      </w:r>
      <w:r w:rsidR="006A41B4" w:rsidRPr="007A518A">
        <w:rPr>
          <w:rFonts w:ascii="Arial" w:eastAsia="Times New Roman" w:hAnsi="Arial" w:cs="Arial"/>
          <w:color w:val="008938"/>
          <w:sz w:val="24"/>
          <w:szCs w:val="24"/>
        </w:rPr>
        <w:t xml:space="preserve">Total </w:t>
      </w:r>
      <w:r w:rsidR="00EF103B" w:rsidRPr="007A518A">
        <w:rPr>
          <w:rFonts w:ascii="Arial" w:eastAsia="Times New Roman" w:hAnsi="Arial" w:cs="Arial"/>
          <w:color w:val="008938"/>
          <w:sz w:val="24"/>
          <w:szCs w:val="24"/>
        </w:rPr>
        <w:t xml:space="preserve">quantity of </w:t>
      </w:r>
      <w:r w:rsidR="006A41B4" w:rsidRPr="007A518A">
        <w:rPr>
          <w:rFonts w:ascii="Arial" w:eastAsia="Times New Roman" w:hAnsi="Arial" w:cs="Arial"/>
          <w:color w:val="008938"/>
          <w:sz w:val="24"/>
          <w:szCs w:val="24"/>
        </w:rPr>
        <w:t>wet wipes placed on the</w:t>
      </w:r>
      <w:r w:rsidR="00EF103B" w:rsidRPr="007A518A">
        <w:rPr>
          <w:rFonts w:ascii="Arial" w:eastAsia="Times New Roman" w:hAnsi="Arial" w:cs="Arial"/>
          <w:color w:val="008938"/>
          <w:sz w:val="24"/>
          <w:szCs w:val="24"/>
        </w:rPr>
        <w:t xml:space="preserve"> </w:t>
      </w:r>
      <w:r w:rsidR="006A41B4" w:rsidRPr="007A518A">
        <w:rPr>
          <w:rFonts w:ascii="Arial" w:eastAsia="Times New Roman" w:hAnsi="Arial" w:cs="Arial"/>
          <w:color w:val="008938"/>
          <w:sz w:val="24"/>
          <w:szCs w:val="24"/>
        </w:rPr>
        <w:t xml:space="preserve">market in the </w:t>
      </w:r>
      <w:proofErr w:type="gramStart"/>
      <w:r w:rsidR="006A41B4" w:rsidRPr="007A518A">
        <w:rPr>
          <w:rFonts w:ascii="Arial" w:eastAsia="Times New Roman" w:hAnsi="Arial" w:cs="Arial"/>
          <w:color w:val="008938"/>
          <w:sz w:val="24"/>
          <w:szCs w:val="24"/>
        </w:rPr>
        <w:t>UK</w:t>
      </w:r>
      <w:proofErr w:type="gramEnd"/>
    </w:p>
    <w:p w14:paraId="5474954A" w14:textId="77777777" w:rsidR="00C459AB" w:rsidRPr="007A518A" w:rsidRDefault="00C459AB" w:rsidP="007A518A">
      <w:pPr>
        <w:keepNext/>
        <w:spacing w:after="0" w:line="276" w:lineRule="auto"/>
        <w:outlineLvl w:val="1"/>
        <w:rPr>
          <w:rFonts w:ascii="Arial" w:eastAsia="Times New Roman" w:hAnsi="Arial" w:cs="Arial"/>
          <w:color w:val="008938"/>
        </w:rPr>
      </w:pPr>
    </w:p>
    <w:tbl>
      <w:tblPr>
        <w:tblStyle w:val="GridTable1Light-Accent6"/>
        <w:tblW w:w="6200" w:type="dxa"/>
        <w:jc w:val="center"/>
        <w:tblLook w:val="04A0" w:firstRow="1" w:lastRow="0" w:firstColumn="1" w:lastColumn="0" w:noHBand="0" w:noVBand="1"/>
      </w:tblPr>
      <w:tblGrid>
        <w:gridCol w:w="2660"/>
        <w:gridCol w:w="1180"/>
        <w:gridCol w:w="1240"/>
        <w:gridCol w:w="1120"/>
      </w:tblGrid>
      <w:tr w:rsidR="00C459AB" w:rsidRPr="00C459AB" w14:paraId="7EEF5D42" w14:textId="77777777" w:rsidTr="00C459AB">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70AD47" w:themeColor="accent6"/>
              <w:left w:val="single" w:sz="12" w:space="0" w:color="70AD47" w:themeColor="accent6"/>
              <w:bottom w:val="single" w:sz="12" w:space="0" w:color="70AD47" w:themeColor="accent6"/>
            </w:tcBorders>
            <w:noWrap/>
            <w:hideMark/>
          </w:tcPr>
          <w:p w14:paraId="261DF49A"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Product Category (millions)</w:t>
            </w:r>
          </w:p>
        </w:tc>
        <w:tc>
          <w:tcPr>
            <w:tcW w:w="1180" w:type="dxa"/>
            <w:tcBorders>
              <w:top w:val="single" w:sz="12" w:space="0" w:color="70AD47" w:themeColor="accent6"/>
              <w:bottom w:val="single" w:sz="12" w:space="0" w:color="70AD47" w:themeColor="accent6"/>
            </w:tcBorders>
            <w:noWrap/>
            <w:hideMark/>
          </w:tcPr>
          <w:p w14:paraId="663D7A68" w14:textId="77777777" w:rsidR="00CF2139" w:rsidRPr="00C459AB" w:rsidRDefault="00CF2139" w:rsidP="00D740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2019 </w:t>
            </w:r>
          </w:p>
        </w:tc>
        <w:tc>
          <w:tcPr>
            <w:tcW w:w="1240" w:type="dxa"/>
            <w:tcBorders>
              <w:top w:val="single" w:sz="12" w:space="0" w:color="70AD47" w:themeColor="accent6"/>
              <w:bottom w:val="single" w:sz="12" w:space="0" w:color="70AD47" w:themeColor="accent6"/>
            </w:tcBorders>
            <w:noWrap/>
            <w:hideMark/>
          </w:tcPr>
          <w:p w14:paraId="5F8DC60A" w14:textId="77777777" w:rsidR="00CF2139" w:rsidRPr="00C459AB" w:rsidRDefault="00CF2139" w:rsidP="00D740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2020 </w:t>
            </w:r>
          </w:p>
        </w:tc>
        <w:tc>
          <w:tcPr>
            <w:tcW w:w="1120" w:type="dxa"/>
            <w:tcBorders>
              <w:top w:val="single" w:sz="12" w:space="0" w:color="70AD47" w:themeColor="accent6"/>
              <w:bottom w:val="single" w:sz="12" w:space="0" w:color="70AD47" w:themeColor="accent6"/>
              <w:right w:val="single" w:sz="12" w:space="0" w:color="70AD47" w:themeColor="accent6"/>
            </w:tcBorders>
            <w:noWrap/>
            <w:hideMark/>
          </w:tcPr>
          <w:p w14:paraId="5CF35ACD" w14:textId="77777777" w:rsidR="00CF2139" w:rsidRPr="00C459AB" w:rsidRDefault="00CF2139" w:rsidP="00D740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2021 </w:t>
            </w:r>
          </w:p>
        </w:tc>
      </w:tr>
      <w:tr w:rsidR="00C459AB" w:rsidRPr="00C459AB" w14:paraId="05BA4B1E"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70AD47" w:themeColor="accent6"/>
              <w:left w:val="single" w:sz="12" w:space="0" w:color="70AD47" w:themeColor="accent6"/>
            </w:tcBorders>
            <w:noWrap/>
            <w:hideMark/>
          </w:tcPr>
          <w:p w14:paraId="3FD9B7AB"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Childcare </w:t>
            </w:r>
          </w:p>
        </w:tc>
        <w:tc>
          <w:tcPr>
            <w:tcW w:w="1180" w:type="dxa"/>
            <w:tcBorders>
              <w:top w:val="single" w:sz="12" w:space="0" w:color="70AD47" w:themeColor="accent6"/>
            </w:tcBorders>
            <w:noWrap/>
            <w:hideMark/>
          </w:tcPr>
          <w:p w14:paraId="1E67FD5B"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20,462</w:t>
            </w:r>
          </w:p>
        </w:tc>
        <w:tc>
          <w:tcPr>
            <w:tcW w:w="1240" w:type="dxa"/>
            <w:tcBorders>
              <w:top w:val="single" w:sz="12" w:space="0" w:color="70AD47" w:themeColor="accent6"/>
            </w:tcBorders>
            <w:noWrap/>
            <w:hideMark/>
          </w:tcPr>
          <w:p w14:paraId="166F448F"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16,813</w:t>
            </w:r>
          </w:p>
        </w:tc>
        <w:tc>
          <w:tcPr>
            <w:tcW w:w="1120" w:type="dxa"/>
            <w:tcBorders>
              <w:top w:val="single" w:sz="12" w:space="0" w:color="70AD47" w:themeColor="accent6"/>
              <w:right w:val="single" w:sz="12" w:space="0" w:color="70AD47" w:themeColor="accent6"/>
            </w:tcBorders>
            <w:noWrap/>
            <w:hideMark/>
          </w:tcPr>
          <w:p w14:paraId="45A5D3C7"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18,477</w:t>
            </w:r>
          </w:p>
        </w:tc>
      </w:tr>
      <w:tr w:rsidR="00C459AB" w:rsidRPr="00C459AB" w14:paraId="6048CC5C"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left w:val="single" w:sz="12" w:space="0" w:color="70AD47" w:themeColor="accent6"/>
            </w:tcBorders>
            <w:noWrap/>
            <w:hideMark/>
          </w:tcPr>
          <w:p w14:paraId="56E07EDC"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Cleaning </w:t>
            </w:r>
          </w:p>
        </w:tc>
        <w:tc>
          <w:tcPr>
            <w:tcW w:w="1180" w:type="dxa"/>
            <w:noWrap/>
            <w:hideMark/>
          </w:tcPr>
          <w:p w14:paraId="7D6FAA44"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5,232</w:t>
            </w:r>
          </w:p>
        </w:tc>
        <w:tc>
          <w:tcPr>
            <w:tcW w:w="1240" w:type="dxa"/>
            <w:noWrap/>
            <w:hideMark/>
          </w:tcPr>
          <w:p w14:paraId="3FE3E592"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7,154</w:t>
            </w:r>
          </w:p>
        </w:tc>
        <w:tc>
          <w:tcPr>
            <w:tcW w:w="1120" w:type="dxa"/>
            <w:tcBorders>
              <w:right w:val="single" w:sz="12" w:space="0" w:color="70AD47" w:themeColor="accent6"/>
            </w:tcBorders>
            <w:noWrap/>
            <w:hideMark/>
          </w:tcPr>
          <w:p w14:paraId="24EAD70D"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7,190</w:t>
            </w:r>
          </w:p>
        </w:tc>
      </w:tr>
      <w:tr w:rsidR="00C459AB" w:rsidRPr="00C459AB" w14:paraId="55CA1626"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left w:val="single" w:sz="12" w:space="0" w:color="70AD47" w:themeColor="accent6"/>
            </w:tcBorders>
            <w:noWrap/>
            <w:hideMark/>
          </w:tcPr>
          <w:p w14:paraId="63D4DFEE"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Cosmetic </w:t>
            </w:r>
          </w:p>
        </w:tc>
        <w:tc>
          <w:tcPr>
            <w:tcW w:w="1180" w:type="dxa"/>
            <w:noWrap/>
            <w:hideMark/>
          </w:tcPr>
          <w:p w14:paraId="789F869F"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1,750</w:t>
            </w:r>
          </w:p>
        </w:tc>
        <w:tc>
          <w:tcPr>
            <w:tcW w:w="1240" w:type="dxa"/>
            <w:noWrap/>
            <w:hideMark/>
          </w:tcPr>
          <w:p w14:paraId="1AFC87D0"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1,197</w:t>
            </w:r>
          </w:p>
        </w:tc>
        <w:tc>
          <w:tcPr>
            <w:tcW w:w="1120" w:type="dxa"/>
            <w:tcBorders>
              <w:right w:val="single" w:sz="12" w:space="0" w:color="70AD47" w:themeColor="accent6"/>
            </w:tcBorders>
            <w:noWrap/>
            <w:hideMark/>
          </w:tcPr>
          <w:p w14:paraId="64F2E863"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1,205</w:t>
            </w:r>
          </w:p>
        </w:tc>
      </w:tr>
      <w:tr w:rsidR="00C459AB" w:rsidRPr="00C459AB" w14:paraId="611D7FD3"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left w:val="single" w:sz="12" w:space="0" w:color="70AD47" w:themeColor="accent6"/>
            </w:tcBorders>
            <w:noWrap/>
            <w:hideMark/>
          </w:tcPr>
          <w:p w14:paraId="44C09721"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Healthcare </w:t>
            </w:r>
          </w:p>
        </w:tc>
        <w:tc>
          <w:tcPr>
            <w:tcW w:w="1180" w:type="dxa"/>
            <w:noWrap/>
            <w:hideMark/>
          </w:tcPr>
          <w:p w14:paraId="2B72B956"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30</w:t>
            </w:r>
          </w:p>
        </w:tc>
        <w:tc>
          <w:tcPr>
            <w:tcW w:w="1240" w:type="dxa"/>
            <w:noWrap/>
            <w:hideMark/>
          </w:tcPr>
          <w:p w14:paraId="6B3CE4BE"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89</w:t>
            </w:r>
          </w:p>
        </w:tc>
        <w:tc>
          <w:tcPr>
            <w:tcW w:w="1120" w:type="dxa"/>
            <w:tcBorders>
              <w:right w:val="single" w:sz="12" w:space="0" w:color="70AD47" w:themeColor="accent6"/>
            </w:tcBorders>
            <w:noWrap/>
            <w:hideMark/>
          </w:tcPr>
          <w:p w14:paraId="1A203853"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59</w:t>
            </w:r>
          </w:p>
        </w:tc>
      </w:tr>
      <w:tr w:rsidR="00C459AB" w:rsidRPr="00C459AB" w14:paraId="2B3E47E5"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left w:val="single" w:sz="12" w:space="0" w:color="70AD47" w:themeColor="accent6"/>
            </w:tcBorders>
            <w:noWrap/>
            <w:hideMark/>
          </w:tcPr>
          <w:p w14:paraId="43BD99EB"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Optical Care </w:t>
            </w:r>
          </w:p>
        </w:tc>
        <w:tc>
          <w:tcPr>
            <w:tcW w:w="1180" w:type="dxa"/>
            <w:noWrap/>
            <w:hideMark/>
          </w:tcPr>
          <w:p w14:paraId="5BC6A529"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81</w:t>
            </w:r>
          </w:p>
        </w:tc>
        <w:tc>
          <w:tcPr>
            <w:tcW w:w="1240" w:type="dxa"/>
            <w:noWrap/>
            <w:hideMark/>
          </w:tcPr>
          <w:p w14:paraId="6EBAF919"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66</w:t>
            </w:r>
          </w:p>
        </w:tc>
        <w:tc>
          <w:tcPr>
            <w:tcW w:w="1120" w:type="dxa"/>
            <w:tcBorders>
              <w:right w:val="single" w:sz="12" w:space="0" w:color="70AD47" w:themeColor="accent6"/>
            </w:tcBorders>
            <w:noWrap/>
            <w:hideMark/>
          </w:tcPr>
          <w:p w14:paraId="15F320CE"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79</w:t>
            </w:r>
          </w:p>
        </w:tc>
      </w:tr>
      <w:tr w:rsidR="00C459AB" w:rsidRPr="00C459AB" w14:paraId="084E8E20"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left w:val="single" w:sz="12" w:space="0" w:color="70AD47" w:themeColor="accent6"/>
            </w:tcBorders>
            <w:noWrap/>
            <w:hideMark/>
          </w:tcPr>
          <w:p w14:paraId="0F58D37E"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Personal Hygiene </w:t>
            </w:r>
          </w:p>
        </w:tc>
        <w:tc>
          <w:tcPr>
            <w:tcW w:w="1180" w:type="dxa"/>
            <w:noWrap/>
            <w:hideMark/>
          </w:tcPr>
          <w:p w14:paraId="5DB63E32"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3,208</w:t>
            </w:r>
          </w:p>
        </w:tc>
        <w:tc>
          <w:tcPr>
            <w:tcW w:w="1240" w:type="dxa"/>
            <w:noWrap/>
            <w:hideMark/>
          </w:tcPr>
          <w:p w14:paraId="337CF18F"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3,028</w:t>
            </w:r>
          </w:p>
        </w:tc>
        <w:tc>
          <w:tcPr>
            <w:tcW w:w="1120" w:type="dxa"/>
            <w:tcBorders>
              <w:right w:val="single" w:sz="12" w:space="0" w:color="70AD47" w:themeColor="accent6"/>
            </w:tcBorders>
            <w:noWrap/>
            <w:hideMark/>
          </w:tcPr>
          <w:p w14:paraId="5B4BDC48"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3,525</w:t>
            </w:r>
          </w:p>
        </w:tc>
      </w:tr>
      <w:tr w:rsidR="00C459AB" w:rsidRPr="00C459AB" w14:paraId="4C2C0AEB"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left w:val="single" w:sz="12" w:space="0" w:color="70AD47" w:themeColor="accent6"/>
              <w:bottom w:val="single" w:sz="12" w:space="0" w:color="70AD47" w:themeColor="accent6"/>
            </w:tcBorders>
            <w:noWrap/>
            <w:hideMark/>
          </w:tcPr>
          <w:p w14:paraId="48AF1E8B" w14:textId="77777777" w:rsidR="00CF2139" w:rsidRPr="00C459AB" w:rsidRDefault="00CF2139" w:rsidP="00D740D0">
            <w:pPr>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Pet Care </w:t>
            </w:r>
          </w:p>
        </w:tc>
        <w:tc>
          <w:tcPr>
            <w:tcW w:w="1180" w:type="dxa"/>
            <w:tcBorders>
              <w:bottom w:val="single" w:sz="12" w:space="0" w:color="70AD47" w:themeColor="accent6"/>
            </w:tcBorders>
            <w:noWrap/>
            <w:hideMark/>
          </w:tcPr>
          <w:p w14:paraId="013387D4"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16</w:t>
            </w:r>
          </w:p>
        </w:tc>
        <w:tc>
          <w:tcPr>
            <w:tcW w:w="1240" w:type="dxa"/>
            <w:tcBorders>
              <w:bottom w:val="single" w:sz="12" w:space="0" w:color="70AD47" w:themeColor="accent6"/>
            </w:tcBorders>
            <w:noWrap/>
            <w:hideMark/>
          </w:tcPr>
          <w:p w14:paraId="30EE6E83"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12</w:t>
            </w:r>
          </w:p>
        </w:tc>
        <w:tc>
          <w:tcPr>
            <w:tcW w:w="1120" w:type="dxa"/>
            <w:tcBorders>
              <w:bottom w:val="single" w:sz="12" w:space="0" w:color="70AD47" w:themeColor="accent6"/>
              <w:right w:val="single" w:sz="12" w:space="0" w:color="70AD47" w:themeColor="accent6"/>
            </w:tcBorders>
            <w:noWrap/>
            <w:hideMark/>
          </w:tcPr>
          <w:p w14:paraId="46126EA8"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459AB">
              <w:rPr>
                <w:rFonts w:ascii="Arial" w:eastAsia="Times New Roman" w:hAnsi="Arial" w:cs="Arial"/>
                <w:color w:val="000000" w:themeColor="text1"/>
                <w:lang w:eastAsia="en-GB"/>
              </w:rPr>
              <w:t>14</w:t>
            </w:r>
          </w:p>
        </w:tc>
      </w:tr>
      <w:tr w:rsidR="00C459AB" w:rsidRPr="00C459AB" w14:paraId="3891402C" w14:textId="77777777" w:rsidTr="00C459AB">
        <w:trPr>
          <w:trHeight w:val="315"/>
          <w:jc w:val="center"/>
        </w:trPr>
        <w:tc>
          <w:tcPr>
            <w:cnfStyle w:val="001000000000" w:firstRow="0" w:lastRow="0" w:firstColumn="1" w:lastColumn="0" w:oddVBand="0" w:evenVBand="0" w:oddHBand="0" w:evenHBand="0" w:firstRowFirstColumn="0" w:firstRowLastColumn="0" w:lastRowFirstColumn="0" w:lastRowLastColumn="0"/>
            <w:tcW w:w="2660" w:type="dxa"/>
            <w:tcBorders>
              <w:top w:val="single" w:sz="12" w:space="0" w:color="70AD47" w:themeColor="accent6"/>
              <w:left w:val="single" w:sz="12" w:space="0" w:color="70AD47" w:themeColor="accent6"/>
              <w:bottom w:val="single" w:sz="12" w:space="0" w:color="70AD47" w:themeColor="accent6"/>
            </w:tcBorders>
            <w:noWrap/>
            <w:hideMark/>
          </w:tcPr>
          <w:p w14:paraId="50ABC079" w14:textId="77777777" w:rsidR="00CF2139" w:rsidRPr="00C459AB" w:rsidRDefault="00CF2139" w:rsidP="00D740D0">
            <w:pPr>
              <w:jc w:val="right"/>
              <w:rPr>
                <w:rFonts w:ascii="Arial" w:eastAsia="Times New Roman" w:hAnsi="Arial" w:cs="Arial"/>
                <w:b w:val="0"/>
                <w:color w:val="000000" w:themeColor="text1"/>
                <w:lang w:eastAsia="en-GB"/>
              </w:rPr>
            </w:pPr>
            <w:r w:rsidRPr="00C459AB">
              <w:rPr>
                <w:rFonts w:ascii="Arial" w:eastAsia="Times New Roman" w:hAnsi="Arial" w:cs="Arial"/>
                <w:color w:val="000000" w:themeColor="text1"/>
                <w:lang w:eastAsia="en-GB"/>
              </w:rPr>
              <w:t>TOTAL </w:t>
            </w:r>
          </w:p>
        </w:tc>
        <w:tc>
          <w:tcPr>
            <w:tcW w:w="1180" w:type="dxa"/>
            <w:tcBorders>
              <w:top w:val="single" w:sz="12" w:space="0" w:color="70AD47" w:themeColor="accent6"/>
              <w:bottom w:val="single" w:sz="12" w:space="0" w:color="70AD47" w:themeColor="accent6"/>
            </w:tcBorders>
            <w:noWrap/>
            <w:hideMark/>
          </w:tcPr>
          <w:p w14:paraId="6803B965"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459AB">
              <w:rPr>
                <w:rFonts w:ascii="Arial" w:eastAsia="Times New Roman" w:hAnsi="Arial" w:cs="Arial"/>
                <w:b/>
                <w:color w:val="000000" w:themeColor="text1"/>
                <w:lang w:eastAsia="en-GB"/>
              </w:rPr>
              <w:t>30,780</w:t>
            </w:r>
          </w:p>
        </w:tc>
        <w:tc>
          <w:tcPr>
            <w:tcW w:w="1240" w:type="dxa"/>
            <w:tcBorders>
              <w:top w:val="single" w:sz="12" w:space="0" w:color="70AD47" w:themeColor="accent6"/>
              <w:bottom w:val="single" w:sz="12" w:space="0" w:color="70AD47" w:themeColor="accent6"/>
            </w:tcBorders>
            <w:noWrap/>
            <w:hideMark/>
          </w:tcPr>
          <w:p w14:paraId="71EC56EB"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459AB">
              <w:rPr>
                <w:rFonts w:ascii="Arial" w:eastAsia="Times New Roman" w:hAnsi="Arial" w:cs="Arial"/>
                <w:b/>
                <w:color w:val="000000" w:themeColor="text1"/>
                <w:lang w:eastAsia="en-GB"/>
              </w:rPr>
              <w:t>28,359</w:t>
            </w:r>
          </w:p>
        </w:tc>
        <w:tc>
          <w:tcPr>
            <w:tcW w:w="1120" w:type="dxa"/>
            <w:tcBorders>
              <w:top w:val="single" w:sz="12" w:space="0" w:color="70AD47" w:themeColor="accent6"/>
              <w:bottom w:val="single" w:sz="12" w:space="0" w:color="70AD47" w:themeColor="accent6"/>
              <w:right w:val="single" w:sz="12" w:space="0" w:color="70AD47" w:themeColor="accent6"/>
            </w:tcBorders>
            <w:noWrap/>
            <w:hideMark/>
          </w:tcPr>
          <w:p w14:paraId="12CF5F8C" w14:textId="77777777" w:rsidR="00CF2139" w:rsidRPr="00C459AB" w:rsidRDefault="00CF2139"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459AB">
              <w:rPr>
                <w:rFonts w:ascii="Arial" w:eastAsia="Times New Roman" w:hAnsi="Arial" w:cs="Arial"/>
                <w:b/>
                <w:color w:val="000000" w:themeColor="text1"/>
                <w:lang w:eastAsia="en-GB"/>
              </w:rPr>
              <w:t>30,549</w:t>
            </w:r>
          </w:p>
        </w:tc>
      </w:tr>
    </w:tbl>
    <w:p w14:paraId="3757A84F" w14:textId="77777777" w:rsidR="00CF2139" w:rsidRDefault="00CF2139" w:rsidP="00CF2139">
      <w:pPr>
        <w:rPr>
          <w:rFonts w:cstheme="minorHAnsi"/>
        </w:rPr>
      </w:pPr>
    </w:p>
    <w:p w14:paraId="7320BB38" w14:textId="26E029A8" w:rsidR="00A77D36" w:rsidRPr="00682205" w:rsidRDefault="00CF2139" w:rsidP="00682205">
      <w:pPr>
        <w:pStyle w:val="ListParagraph"/>
        <w:numPr>
          <w:ilvl w:val="0"/>
          <w:numId w:val="5"/>
        </w:numPr>
        <w:ind w:left="426"/>
        <w:rPr>
          <w:rFonts w:ascii="Arial" w:hAnsi="Arial" w:cs="Arial"/>
          <w:sz w:val="24"/>
          <w:szCs w:val="24"/>
        </w:rPr>
      </w:pPr>
      <w:r w:rsidRPr="007A518A">
        <w:rPr>
          <w:rFonts w:ascii="Arial" w:hAnsi="Arial" w:cs="Arial"/>
          <w:sz w:val="24"/>
          <w:szCs w:val="24"/>
        </w:rPr>
        <w:t xml:space="preserve">Table 2 shows wet wipe retail unit prices by category. Cosmetic wipes are generally the most expensive whilst childcare and personal hygiene wipes are the cheapest. </w:t>
      </w:r>
    </w:p>
    <w:p w14:paraId="45CA6837" w14:textId="77777777" w:rsidR="0066510E" w:rsidRDefault="0066510E" w:rsidP="007A518A">
      <w:pPr>
        <w:keepNext/>
        <w:spacing w:after="0" w:line="276" w:lineRule="auto"/>
        <w:outlineLvl w:val="1"/>
        <w:rPr>
          <w:rFonts w:ascii="Arial" w:eastAsia="Times New Roman" w:hAnsi="Arial" w:cs="Arial"/>
          <w:color w:val="008938"/>
          <w:sz w:val="24"/>
          <w:szCs w:val="24"/>
        </w:rPr>
      </w:pPr>
    </w:p>
    <w:p w14:paraId="1E766A6E" w14:textId="38CF2E67" w:rsidR="00CF2139" w:rsidRDefault="00CF2139" w:rsidP="007A518A">
      <w:pPr>
        <w:keepNext/>
        <w:spacing w:after="0" w:line="276" w:lineRule="auto"/>
        <w:outlineLvl w:val="1"/>
      </w:pPr>
      <w:r w:rsidRPr="007A518A">
        <w:rPr>
          <w:rFonts w:ascii="Arial" w:eastAsia="Times New Roman" w:hAnsi="Arial" w:cs="Arial"/>
          <w:color w:val="008938"/>
          <w:sz w:val="24"/>
          <w:szCs w:val="24"/>
        </w:rPr>
        <w:t>Table 2:</w:t>
      </w:r>
      <w:r w:rsidR="00EF103B" w:rsidRPr="007A518A">
        <w:rPr>
          <w:rFonts w:ascii="Arial" w:eastAsia="Times New Roman" w:hAnsi="Arial" w:cs="Arial"/>
          <w:color w:val="008938"/>
          <w:sz w:val="24"/>
          <w:szCs w:val="24"/>
        </w:rPr>
        <w:t xml:space="preserve"> Unit price of </w:t>
      </w:r>
      <w:r w:rsidR="00893F6C">
        <w:rPr>
          <w:rFonts w:ascii="Arial" w:eastAsia="Times New Roman" w:hAnsi="Arial" w:cs="Arial"/>
          <w:color w:val="008938"/>
          <w:sz w:val="24"/>
          <w:szCs w:val="24"/>
        </w:rPr>
        <w:t>wet wipes</w:t>
      </w:r>
      <w:r w:rsidR="00893F6C">
        <w:rPr>
          <w:rStyle w:val="FootnoteReference"/>
          <w:rFonts w:ascii="Arial" w:eastAsia="Times New Roman" w:hAnsi="Arial" w:cs="Arial"/>
          <w:color w:val="008938"/>
          <w:szCs w:val="24"/>
        </w:rPr>
        <w:footnoteReference w:id="8"/>
      </w:r>
      <w:r w:rsidR="00893F6C">
        <w:rPr>
          <w:rFonts w:ascii="Arial" w:eastAsia="Times New Roman" w:hAnsi="Arial" w:cs="Arial"/>
          <w:color w:val="008938"/>
          <w:sz w:val="24"/>
          <w:szCs w:val="24"/>
        </w:rPr>
        <w:t xml:space="preserve"> (plastic and non-plastic)</w:t>
      </w:r>
      <w:r w:rsidR="00FF3378" w:rsidRPr="007A518A">
        <w:rPr>
          <w:rFonts w:ascii="Arial" w:eastAsia="Times New Roman" w:hAnsi="Arial" w:cs="Arial"/>
          <w:color w:val="008938"/>
          <w:sz w:val="24"/>
          <w:szCs w:val="24"/>
        </w:rPr>
        <w:t xml:space="preserve"> by category</w:t>
      </w:r>
      <w:r w:rsidR="00B44873">
        <w:rPr>
          <w:rFonts w:ascii="Arial" w:eastAsia="Times New Roman" w:hAnsi="Arial" w:cs="Arial"/>
          <w:color w:val="008938"/>
          <w:sz w:val="24"/>
          <w:szCs w:val="24"/>
        </w:rPr>
        <w:t xml:space="preserve"> in 2021</w:t>
      </w:r>
    </w:p>
    <w:tbl>
      <w:tblPr>
        <w:tblStyle w:val="GridTable1Light-Accent6"/>
        <w:tblW w:w="4899" w:type="dxa"/>
        <w:jc w:val="center"/>
        <w:tblLook w:val="04A0" w:firstRow="1" w:lastRow="0" w:firstColumn="1" w:lastColumn="0" w:noHBand="0" w:noVBand="1"/>
      </w:tblPr>
      <w:tblGrid>
        <w:gridCol w:w="2373"/>
        <w:gridCol w:w="1263"/>
        <w:gridCol w:w="1263"/>
      </w:tblGrid>
      <w:tr w:rsidR="00A0310B" w:rsidRPr="00F55C29" w14:paraId="79E8AFD9" w14:textId="77777777" w:rsidTr="00F55C29">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70AD47"/>
              <w:left w:val="single" w:sz="12" w:space="0" w:color="70AD47"/>
              <w:bottom w:val="single" w:sz="12" w:space="0" w:color="A8D08D"/>
              <w:right w:val="single" w:sz="8" w:space="0" w:color="C5E0B3"/>
            </w:tcBorders>
            <w:shd w:val="clear" w:color="auto" w:fill="auto"/>
            <w:noWrap/>
            <w:vAlign w:val="center"/>
            <w:hideMark/>
          </w:tcPr>
          <w:p w14:paraId="2930B0CF" w14:textId="629BEE09" w:rsidR="00F55C29" w:rsidRPr="00F55C29" w:rsidRDefault="00F55C29" w:rsidP="00B51046">
            <w:pPr>
              <w:jc w:val="cente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Product Category</w:t>
            </w:r>
          </w:p>
        </w:tc>
        <w:tc>
          <w:tcPr>
            <w:tcW w:w="0" w:type="dxa"/>
            <w:tcBorders>
              <w:top w:val="single" w:sz="12" w:space="0" w:color="70AD47"/>
              <w:left w:val="nil"/>
              <w:bottom w:val="single" w:sz="12" w:space="0" w:color="A8D08D"/>
              <w:right w:val="single" w:sz="8" w:space="0" w:color="C5E0B3"/>
            </w:tcBorders>
            <w:shd w:val="clear" w:color="auto" w:fill="auto"/>
            <w:noWrap/>
            <w:vAlign w:val="center"/>
            <w:hideMark/>
          </w:tcPr>
          <w:p w14:paraId="4BFBB38A" w14:textId="77777777" w:rsidR="00F55C29" w:rsidRPr="00F55C29" w:rsidRDefault="00F55C29" w:rsidP="00F55C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Min Price Per Wipe </w:t>
            </w:r>
          </w:p>
        </w:tc>
        <w:tc>
          <w:tcPr>
            <w:tcW w:w="0" w:type="dxa"/>
            <w:tcBorders>
              <w:top w:val="single" w:sz="12" w:space="0" w:color="70AD47"/>
              <w:left w:val="nil"/>
              <w:bottom w:val="single" w:sz="12" w:space="0" w:color="A8D08D"/>
              <w:right w:val="single" w:sz="12" w:space="0" w:color="70AD47"/>
            </w:tcBorders>
            <w:shd w:val="clear" w:color="auto" w:fill="auto"/>
            <w:noWrap/>
            <w:vAlign w:val="center"/>
            <w:hideMark/>
          </w:tcPr>
          <w:p w14:paraId="122393C5" w14:textId="77777777" w:rsidR="00F55C29" w:rsidRPr="00F55C29" w:rsidRDefault="00F55C29" w:rsidP="00F55C2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Max Price Per Wipe </w:t>
            </w:r>
          </w:p>
        </w:tc>
      </w:tr>
      <w:tr w:rsidR="00A0310B" w:rsidRPr="00F55C29" w14:paraId="335E314C" w14:textId="77777777" w:rsidTr="00F55C29">
        <w:trPr>
          <w:trHeight w:val="321"/>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70AD47"/>
              <w:bottom w:val="single" w:sz="8" w:space="0" w:color="C5E0B3"/>
              <w:right w:val="single" w:sz="8" w:space="0" w:color="C5E0B3"/>
            </w:tcBorders>
            <w:shd w:val="clear" w:color="auto" w:fill="auto"/>
            <w:noWrap/>
            <w:vAlign w:val="center"/>
            <w:hideMark/>
          </w:tcPr>
          <w:p w14:paraId="6EAF1C61" w14:textId="77777777" w:rsidR="00F55C29" w:rsidRPr="00F55C29" w:rsidRDefault="00F55C29" w:rsidP="00F55C29">
            <w:pP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 Cosmetic  </w:t>
            </w:r>
          </w:p>
        </w:tc>
        <w:tc>
          <w:tcPr>
            <w:tcW w:w="0" w:type="dxa"/>
            <w:tcBorders>
              <w:top w:val="nil"/>
              <w:left w:val="nil"/>
              <w:bottom w:val="single" w:sz="8" w:space="0" w:color="C5E0B3"/>
              <w:right w:val="single" w:sz="8" w:space="0" w:color="C5E0B3"/>
            </w:tcBorders>
            <w:shd w:val="clear" w:color="auto" w:fill="auto"/>
            <w:noWrap/>
            <w:vAlign w:val="center"/>
            <w:hideMark/>
          </w:tcPr>
          <w:p w14:paraId="4EE09B84"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£0.10</w:t>
            </w:r>
          </w:p>
        </w:tc>
        <w:tc>
          <w:tcPr>
            <w:tcW w:w="0" w:type="dxa"/>
            <w:tcBorders>
              <w:top w:val="nil"/>
              <w:left w:val="nil"/>
              <w:bottom w:val="single" w:sz="8" w:space="0" w:color="C5E0B3"/>
              <w:right w:val="single" w:sz="12" w:space="0" w:color="70AD47"/>
            </w:tcBorders>
            <w:shd w:val="clear" w:color="auto" w:fill="auto"/>
            <w:noWrap/>
            <w:vAlign w:val="center"/>
            <w:hideMark/>
          </w:tcPr>
          <w:p w14:paraId="19BAEE8C"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£0.16</w:t>
            </w:r>
          </w:p>
        </w:tc>
      </w:tr>
      <w:tr w:rsidR="00A0310B" w:rsidRPr="00F55C29" w14:paraId="31401DD2" w14:textId="77777777" w:rsidTr="00F55C29">
        <w:trPr>
          <w:trHeight w:val="321"/>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70AD47"/>
              <w:bottom w:val="single" w:sz="8" w:space="0" w:color="C5E0B3"/>
              <w:right w:val="single" w:sz="8" w:space="0" w:color="C5E0B3"/>
            </w:tcBorders>
            <w:shd w:val="clear" w:color="auto" w:fill="auto"/>
            <w:noWrap/>
            <w:vAlign w:val="center"/>
            <w:hideMark/>
          </w:tcPr>
          <w:p w14:paraId="3F96128A" w14:textId="77777777" w:rsidR="00F55C29" w:rsidRPr="00F55C29" w:rsidRDefault="00F55C29" w:rsidP="00F55C29">
            <w:pP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 Pet Care  </w:t>
            </w:r>
          </w:p>
        </w:tc>
        <w:tc>
          <w:tcPr>
            <w:tcW w:w="0" w:type="dxa"/>
            <w:tcBorders>
              <w:top w:val="nil"/>
              <w:left w:val="nil"/>
              <w:bottom w:val="single" w:sz="8" w:space="0" w:color="C5E0B3"/>
              <w:right w:val="single" w:sz="8" w:space="0" w:color="C5E0B3"/>
            </w:tcBorders>
            <w:shd w:val="clear" w:color="auto" w:fill="auto"/>
            <w:noWrap/>
            <w:vAlign w:val="center"/>
            <w:hideMark/>
          </w:tcPr>
          <w:p w14:paraId="7B52217B"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£0.11</w:t>
            </w:r>
          </w:p>
        </w:tc>
        <w:tc>
          <w:tcPr>
            <w:tcW w:w="0" w:type="dxa"/>
            <w:tcBorders>
              <w:top w:val="nil"/>
              <w:left w:val="nil"/>
              <w:bottom w:val="single" w:sz="8" w:space="0" w:color="C5E0B3"/>
              <w:right w:val="single" w:sz="12" w:space="0" w:color="70AD47"/>
            </w:tcBorders>
            <w:shd w:val="clear" w:color="auto" w:fill="auto"/>
            <w:noWrap/>
            <w:vAlign w:val="center"/>
            <w:hideMark/>
          </w:tcPr>
          <w:p w14:paraId="18DB545C"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£0.11</w:t>
            </w:r>
          </w:p>
        </w:tc>
      </w:tr>
      <w:tr w:rsidR="00A0310B" w:rsidRPr="00F55C29" w14:paraId="343650E8" w14:textId="77777777" w:rsidTr="00F55C29">
        <w:trPr>
          <w:trHeight w:val="321"/>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70AD47"/>
              <w:bottom w:val="single" w:sz="8" w:space="0" w:color="C5E0B3"/>
              <w:right w:val="single" w:sz="8" w:space="0" w:color="C5E0B3"/>
            </w:tcBorders>
            <w:shd w:val="clear" w:color="auto" w:fill="auto"/>
            <w:noWrap/>
            <w:vAlign w:val="center"/>
            <w:hideMark/>
          </w:tcPr>
          <w:p w14:paraId="03C4D750" w14:textId="77777777" w:rsidR="00F55C29" w:rsidRPr="00F55C29" w:rsidRDefault="00F55C29" w:rsidP="00F55C29">
            <w:pP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 Healthcare  </w:t>
            </w:r>
          </w:p>
        </w:tc>
        <w:tc>
          <w:tcPr>
            <w:tcW w:w="0" w:type="dxa"/>
            <w:tcBorders>
              <w:top w:val="nil"/>
              <w:left w:val="nil"/>
              <w:bottom w:val="single" w:sz="8" w:space="0" w:color="C5E0B3"/>
              <w:right w:val="single" w:sz="8" w:space="0" w:color="C5E0B3"/>
            </w:tcBorders>
            <w:shd w:val="clear" w:color="auto" w:fill="auto"/>
            <w:noWrap/>
            <w:vAlign w:val="center"/>
            <w:hideMark/>
          </w:tcPr>
          <w:p w14:paraId="3184B942"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£0.09</w:t>
            </w:r>
          </w:p>
        </w:tc>
        <w:tc>
          <w:tcPr>
            <w:tcW w:w="0" w:type="dxa"/>
            <w:tcBorders>
              <w:top w:val="nil"/>
              <w:left w:val="nil"/>
              <w:bottom w:val="single" w:sz="8" w:space="0" w:color="C5E0B3"/>
              <w:right w:val="single" w:sz="12" w:space="0" w:color="70AD47"/>
            </w:tcBorders>
            <w:shd w:val="clear" w:color="auto" w:fill="auto"/>
            <w:noWrap/>
            <w:vAlign w:val="center"/>
            <w:hideMark/>
          </w:tcPr>
          <w:p w14:paraId="4BC3DE5C"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£0.11</w:t>
            </w:r>
          </w:p>
        </w:tc>
      </w:tr>
      <w:tr w:rsidR="00A0310B" w:rsidRPr="00F55C29" w14:paraId="4E15E309" w14:textId="77777777" w:rsidTr="00F55C29">
        <w:trPr>
          <w:trHeight w:val="321"/>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70AD47"/>
              <w:bottom w:val="single" w:sz="8" w:space="0" w:color="C5E0B3"/>
              <w:right w:val="single" w:sz="8" w:space="0" w:color="C5E0B3"/>
            </w:tcBorders>
            <w:shd w:val="clear" w:color="auto" w:fill="auto"/>
            <w:noWrap/>
            <w:vAlign w:val="center"/>
            <w:hideMark/>
          </w:tcPr>
          <w:p w14:paraId="22CA93D3" w14:textId="77777777" w:rsidR="00F55C29" w:rsidRPr="00F55C29" w:rsidRDefault="00F55C29" w:rsidP="00F55C29">
            <w:pP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 Cleaning  </w:t>
            </w:r>
          </w:p>
        </w:tc>
        <w:tc>
          <w:tcPr>
            <w:tcW w:w="0" w:type="dxa"/>
            <w:tcBorders>
              <w:top w:val="nil"/>
              <w:left w:val="nil"/>
              <w:bottom w:val="single" w:sz="8" w:space="0" w:color="C5E0B3"/>
              <w:right w:val="single" w:sz="8" w:space="0" w:color="C5E0B3"/>
            </w:tcBorders>
            <w:shd w:val="clear" w:color="auto" w:fill="auto"/>
            <w:noWrap/>
            <w:vAlign w:val="center"/>
            <w:hideMark/>
          </w:tcPr>
          <w:p w14:paraId="5095BA54"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£0.08</w:t>
            </w:r>
          </w:p>
        </w:tc>
        <w:tc>
          <w:tcPr>
            <w:tcW w:w="0" w:type="dxa"/>
            <w:tcBorders>
              <w:top w:val="nil"/>
              <w:left w:val="nil"/>
              <w:bottom w:val="single" w:sz="8" w:space="0" w:color="C5E0B3"/>
              <w:right w:val="single" w:sz="12" w:space="0" w:color="70AD47"/>
            </w:tcBorders>
            <w:shd w:val="clear" w:color="auto" w:fill="auto"/>
            <w:noWrap/>
            <w:vAlign w:val="center"/>
            <w:hideMark/>
          </w:tcPr>
          <w:p w14:paraId="1B19F698"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£0.10</w:t>
            </w:r>
          </w:p>
        </w:tc>
      </w:tr>
      <w:tr w:rsidR="00A0310B" w:rsidRPr="00F55C29" w14:paraId="5C4DEEF0" w14:textId="77777777" w:rsidTr="00F55C29">
        <w:trPr>
          <w:trHeight w:val="321"/>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70AD47"/>
              <w:bottom w:val="single" w:sz="8" w:space="0" w:color="C5E0B3"/>
              <w:right w:val="single" w:sz="8" w:space="0" w:color="C5E0B3"/>
            </w:tcBorders>
            <w:shd w:val="clear" w:color="auto" w:fill="auto"/>
            <w:noWrap/>
            <w:vAlign w:val="center"/>
            <w:hideMark/>
          </w:tcPr>
          <w:p w14:paraId="38B3A47D" w14:textId="77777777" w:rsidR="00F55C29" w:rsidRPr="00F55C29" w:rsidRDefault="00F55C29" w:rsidP="00F55C29">
            <w:pP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 Optical Care  </w:t>
            </w:r>
          </w:p>
        </w:tc>
        <w:tc>
          <w:tcPr>
            <w:tcW w:w="0" w:type="dxa"/>
            <w:tcBorders>
              <w:top w:val="nil"/>
              <w:left w:val="nil"/>
              <w:bottom w:val="single" w:sz="8" w:space="0" w:color="C5E0B3"/>
              <w:right w:val="single" w:sz="8" w:space="0" w:color="C5E0B3"/>
            </w:tcBorders>
            <w:shd w:val="clear" w:color="auto" w:fill="auto"/>
            <w:noWrap/>
            <w:vAlign w:val="center"/>
            <w:hideMark/>
          </w:tcPr>
          <w:p w14:paraId="5EBA2F8B"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£0.07</w:t>
            </w:r>
          </w:p>
        </w:tc>
        <w:tc>
          <w:tcPr>
            <w:tcW w:w="0" w:type="dxa"/>
            <w:tcBorders>
              <w:top w:val="nil"/>
              <w:left w:val="nil"/>
              <w:bottom w:val="single" w:sz="8" w:space="0" w:color="C5E0B3"/>
              <w:right w:val="single" w:sz="12" w:space="0" w:color="70AD47"/>
            </w:tcBorders>
            <w:shd w:val="clear" w:color="auto" w:fill="auto"/>
            <w:noWrap/>
            <w:vAlign w:val="center"/>
            <w:hideMark/>
          </w:tcPr>
          <w:p w14:paraId="27BEC30F"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£0.07</w:t>
            </w:r>
          </w:p>
        </w:tc>
      </w:tr>
      <w:tr w:rsidR="00A0310B" w:rsidRPr="00F55C29" w14:paraId="7E941C77" w14:textId="77777777" w:rsidTr="00F55C29">
        <w:trPr>
          <w:trHeight w:val="321"/>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70AD47"/>
              <w:bottom w:val="single" w:sz="8" w:space="0" w:color="C5E0B3"/>
              <w:right w:val="single" w:sz="8" w:space="0" w:color="C5E0B3"/>
            </w:tcBorders>
            <w:shd w:val="clear" w:color="auto" w:fill="auto"/>
            <w:noWrap/>
            <w:vAlign w:val="center"/>
            <w:hideMark/>
          </w:tcPr>
          <w:p w14:paraId="34D45AE2" w14:textId="77777777" w:rsidR="00F55C29" w:rsidRPr="00F55C29" w:rsidRDefault="00F55C29" w:rsidP="00F55C29">
            <w:pP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 Personal Hygiene  </w:t>
            </w:r>
          </w:p>
        </w:tc>
        <w:tc>
          <w:tcPr>
            <w:tcW w:w="0" w:type="dxa"/>
            <w:tcBorders>
              <w:top w:val="nil"/>
              <w:left w:val="nil"/>
              <w:bottom w:val="single" w:sz="8" w:space="0" w:color="C5E0B3"/>
              <w:right w:val="single" w:sz="8" w:space="0" w:color="C5E0B3"/>
            </w:tcBorders>
            <w:shd w:val="clear" w:color="auto" w:fill="auto"/>
            <w:noWrap/>
            <w:vAlign w:val="center"/>
            <w:hideMark/>
          </w:tcPr>
          <w:p w14:paraId="51AF66F1"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£0.05</w:t>
            </w:r>
          </w:p>
        </w:tc>
        <w:tc>
          <w:tcPr>
            <w:tcW w:w="0" w:type="dxa"/>
            <w:tcBorders>
              <w:top w:val="nil"/>
              <w:left w:val="nil"/>
              <w:bottom w:val="single" w:sz="8" w:space="0" w:color="C5E0B3"/>
              <w:right w:val="single" w:sz="12" w:space="0" w:color="70AD47"/>
            </w:tcBorders>
            <w:shd w:val="clear" w:color="auto" w:fill="auto"/>
            <w:noWrap/>
            <w:vAlign w:val="center"/>
            <w:hideMark/>
          </w:tcPr>
          <w:p w14:paraId="510D1965"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£0.06</w:t>
            </w:r>
          </w:p>
        </w:tc>
      </w:tr>
      <w:tr w:rsidR="00A0310B" w:rsidRPr="00F55C29" w14:paraId="06FF2A9B" w14:textId="77777777" w:rsidTr="00F55C29">
        <w:trPr>
          <w:trHeight w:val="321"/>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70AD47"/>
              <w:bottom w:val="single" w:sz="12" w:space="0" w:color="70AD47"/>
              <w:right w:val="single" w:sz="8" w:space="0" w:color="C5E0B3"/>
            </w:tcBorders>
            <w:shd w:val="clear" w:color="auto" w:fill="auto"/>
            <w:noWrap/>
            <w:vAlign w:val="center"/>
            <w:hideMark/>
          </w:tcPr>
          <w:p w14:paraId="13150D33" w14:textId="77777777" w:rsidR="00F55C29" w:rsidRPr="00F55C29" w:rsidRDefault="00F55C29" w:rsidP="00F55C29">
            <w:pPr>
              <w:rPr>
                <w:rFonts w:ascii="Arial" w:eastAsia="Times New Roman" w:hAnsi="Arial" w:cs="Arial"/>
                <w:b w:val="0"/>
                <w:bCs w:val="0"/>
                <w:color w:val="000000"/>
                <w:lang w:eastAsia="en-GB"/>
              </w:rPr>
            </w:pPr>
            <w:r w:rsidRPr="00F55C29">
              <w:rPr>
                <w:rFonts w:ascii="Arial" w:eastAsia="Times New Roman" w:hAnsi="Arial" w:cs="Arial"/>
                <w:b w:val="0"/>
                <w:bCs w:val="0"/>
                <w:color w:val="000000"/>
                <w:lang w:eastAsia="en-GB"/>
              </w:rPr>
              <w:t> Childcare  </w:t>
            </w:r>
          </w:p>
        </w:tc>
        <w:tc>
          <w:tcPr>
            <w:tcW w:w="0" w:type="dxa"/>
            <w:tcBorders>
              <w:top w:val="nil"/>
              <w:left w:val="nil"/>
              <w:bottom w:val="single" w:sz="12" w:space="0" w:color="70AD47"/>
              <w:right w:val="single" w:sz="8" w:space="0" w:color="C5E0B3"/>
            </w:tcBorders>
            <w:shd w:val="clear" w:color="auto" w:fill="auto"/>
            <w:noWrap/>
            <w:vAlign w:val="center"/>
            <w:hideMark/>
          </w:tcPr>
          <w:p w14:paraId="29A81CB2"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£0.05</w:t>
            </w:r>
          </w:p>
        </w:tc>
        <w:tc>
          <w:tcPr>
            <w:tcW w:w="0" w:type="dxa"/>
            <w:tcBorders>
              <w:top w:val="nil"/>
              <w:left w:val="nil"/>
              <w:bottom w:val="single" w:sz="12" w:space="0" w:color="70AD47"/>
              <w:right w:val="single" w:sz="12" w:space="0" w:color="70AD47"/>
            </w:tcBorders>
            <w:shd w:val="clear" w:color="auto" w:fill="auto"/>
            <w:noWrap/>
            <w:vAlign w:val="center"/>
            <w:hideMark/>
          </w:tcPr>
          <w:p w14:paraId="316190DD" w14:textId="77777777" w:rsidR="00F55C29" w:rsidRPr="00F55C29" w:rsidRDefault="00F55C29" w:rsidP="00F55C2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F55C29">
              <w:rPr>
                <w:rFonts w:ascii="Arial" w:eastAsia="Times New Roman" w:hAnsi="Arial" w:cs="Arial"/>
                <w:color w:val="000000"/>
                <w:lang w:eastAsia="en-GB"/>
              </w:rPr>
              <w:t>£0.06</w:t>
            </w:r>
          </w:p>
        </w:tc>
      </w:tr>
    </w:tbl>
    <w:p w14:paraId="4CC32AE4" w14:textId="1FD5B608" w:rsidR="00C25296" w:rsidRDefault="00C25296" w:rsidP="007A518A">
      <w:pPr>
        <w:keepNext/>
        <w:spacing w:before="480" w:after="120" w:line="240" w:lineRule="auto"/>
        <w:outlineLvl w:val="1"/>
        <w:rPr>
          <w:rFonts w:ascii="Arial" w:eastAsia="Times New Roman" w:hAnsi="Arial" w:cs="Times New Roman"/>
          <w:b/>
          <w:color w:val="008938"/>
          <w:sz w:val="28"/>
          <w:szCs w:val="28"/>
        </w:rPr>
      </w:pPr>
      <w:r w:rsidRPr="007A518A">
        <w:rPr>
          <w:rFonts w:ascii="Arial" w:eastAsia="Times New Roman" w:hAnsi="Arial" w:cs="Times New Roman"/>
          <w:b/>
          <w:color w:val="008938"/>
          <w:sz w:val="28"/>
          <w:szCs w:val="28"/>
        </w:rPr>
        <w:t>P</w:t>
      </w:r>
      <w:r w:rsidR="006132C3">
        <w:rPr>
          <w:rFonts w:ascii="Arial" w:eastAsia="Times New Roman" w:hAnsi="Arial" w:cs="Times New Roman"/>
          <w:b/>
          <w:color w:val="008938"/>
          <w:sz w:val="28"/>
          <w:szCs w:val="28"/>
        </w:rPr>
        <w:t>o</w:t>
      </w:r>
      <w:r w:rsidRPr="007A518A">
        <w:rPr>
          <w:rFonts w:ascii="Arial" w:eastAsia="Times New Roman" w:hAnsi="Arial" w:cs="Times New Roman"/>
          <w:b/>
          <w:color w:val="008938"/>
          <w:sz w:val="28"/>
          <w:szCs w:val="28"/>
        </w:rPr>
        <w:t xml:space="preserve">tential </w:t>
      </w:r>
      <w:r w:rsidRPr="7CF19C3C">
        <w:rPr>
          <w:rFonts w:ascii="Arial" w:eastAsia="Times New Roman" w:hAnsi="Arial" w:cs="Times New Roman"/>
          <w:b/>
          <w:color w:val="70AD47" w:themeColor="accent6"/>
          <w:sz w:val="28"/>
          <w:szCs w:val="28"/>
        </w:rPr>
        <w:t>Impacts</w:t>
      </w:r>
    </w:p>
    <w:p w14:paraId="36DD18BF" w14:textId="7797B864" w:rsidR="00440DA5" w:rsidRDefault="00440DA5" w:rsidP="00440DA5">
      <w:pPr>
        <w:rPr>
          <w:rFonts w:ascii="Arial" w:hAnsi="Arial" w:cs="Arial"/>
          <w:b/>
          <w:sz w:val="24"/>
          <w:szCs w:val="24"/>
        </w:rPr>
      </w:pPr>
      <w:r w:rsidRPr="00CC1E88">
        <w:rPr>
          <w:rFonts w:ascii="Arial" w:hAnsi="Arial" w:cs="Arial"/>
          <w:b/>
          <w:sz w:val="24"/>
          <w:szCs w:val="24"/>
        </w:rPr>
        <w:t>Summary</w:t>
      </w:r>
      <w:r w:rsidR="00E333EC" w:rsidRPr="00CC1E88">
        <w:rPr>
          <w:rFonts w:ascii="Arial" w:hAnsi="Arial" w:cs="Arial"/>
          <w:b/>
          <w:sz w:val="24"/>
          <w:szCs w:val="24"/>
        </w:rPr>
        <w:t xml:space="preserve"> of impacts discussed</w:t>
      </w:r>
      <w:r w:rsidR="00DC7023" w:rsidRPr="00CC1E88">
        <w:rPr>
          <w:rFonts w:ascii="Arial" w:hAnsi="Arial" w:cs="Arial"/>
          <w:b/>
          <w:sz w:val="24"/>
          <w:szCs w:val="24"/>
        </w:rPr>
        <w:t xml:space="preserve"> in this </w:t>
      </w:r>
      <w:proofErr w:type="gramStart"/>
      <w:r w:rsidR="00DC7023" w:rsidRPr="00CC1E88">
        <w:rPr>
          <w:rFonts w:ascii="Arial" w:hAnsi="Arial" w:cs="Arial"/>
          <w:b/>
          <w:sz w:val="24"/>
          <w:szCs w:val="24"/>
        </w:rPr>
        <w:t>section</w:t>
      </w:r>
      <w:proofErr w:type="gramEnd"/>
    </w:p>
    <w:p w14:paraId="51365D68" w14:textId="1F5BD707" w:rsidR="00C008A1" w:rsidRPr="00CC1E88" w:rsidRDefault="00636333" w:rsidP="00440DA5">
      <w:pPr>
        <w:rPr>
          <w:rFonts w:ascii="Arial" w:hAnsi="Arial" w:cs="Arial"/>
          <w:b/>
          <w:sz w:val="24"/>
          <w:szCs w:val="24"/>
        </w:rPr>
      </w:pPr>
      <w:r w:rsidRPr="00CC1E88">
        <w:rPr>
          <w:rFonts w:ascii="Arial" w:hAnsi="Arial" w:cs="Arial"/>
          <w:b/>
          <w:sz w:val="24"/>
          <w:szCs w:val="24"/>
        </w:rPr>
        <w:t>Business impacts:</w:t>
      </w:r>
    </w:p>
    <w:p w14:paraId="37B8A2F6" w14:textId="5D3A298F" w:rsidR="00636333" w:rsidRPr="00CC1E88" w:rsidRDefault="00C008A1" w:rsidP="00C008A1">
      <w:pPr>
        <w:pStyle w:val="NoSpacing"/>
        <w:numPr>
          <w:ilvl w:val="0"/>
          <w:numId w:val="15"/>
        </w:numPr>
        <w:rPr>
          <w:rFonts w:ascii="Arial" w:hAnsi="Arial" w:cs="Arial"/>
          <w:sz w:val="24"/>
          <w:szCs w:val="24"/>
        </w:rPr>
      </w:pPr>
      <w:r w:rsidRPr="00CC1E88">
        <w:rPr>
          <w:rFonts w:ascii="Arial" w:hAnsi="Arial" w:cs="Arial"/>
          <w:sz w:val="24"/>
          <w:szCs w:val="24"/>
        </w:rPr>
        <w:t>Familiarisation</w:t>
      </w:r>
      <w:r w:rsidR="00636333" w:rsidRPr="00CC1E88">
        <w:rPr>
          <w:rFonts w:ascii="Arial" w:hAnsi="Arial" w:cs="Arial"/>
          <w:sz w:val="24"/>
          <w:szCs w:val="24"/>
        </w:rPr>
        <w:t xml:space="preserve"> costs</w:t>
      </w:r>
    </w:p>
    <w:p w14:paraId="5F077235" w14:textId="4CD7FFED" w:rsidR="00C008A1" w:rsidRPr="00CC1E88" w:rsidRDefault="000F73B2" w:rsidP="00C008A1">
      <w:pPr>
        <w:pStyle w:val="NoSpacing"/>
        <w:numPr>
          <w:ilvl w:val="0"/>
          <w:numId w:val="15"/>
        </w:numPr>
        <w:rPr>
          <w:rFonts w:ascii="Arial" w:hAnsi="Arial" w:cs="Arial"/>
          <w:sz w:val="24"/>
          <w:szCs w:val="24"/>
        </w:rPr>
      </w:pPr>
      <w:r w:rsidRPr="00CC1E88">
        <w:rPr>
          <w:rFonts w:ascii="Arial" w:hAnsi="Arial" w:cs="Arial"/>
          <w:sz w:val="24"/>
          <w:szCs w:val="24"/>
        </w:rPr>
        <w:t>Direct loss of profits</w:t>
      </w:r>
    </w:p>
    <w:p w14:paraId="77A0476B" w14:textId="05CC953D" w:rsidR="000F73B2" w:rsidRPr="00CC1E88" w:rsidRDefault="00CA073A" w:rsidP="00C008A1">
      <w:pPr>
        <w:pStyle w:val="NoSpacing"/>
        <w:numPr>
          <w:ilvl w:val="0"/>
          <w:numId w:val="15"/>
        </w:numPr>
        <w:rPr>
          <w:rFonts w:ascii="Arial" w:hAnsi="Arial" w:cs="Arial"/>
          <w:sz w:val="24"/>
          <w:szCs w:val="24"/>
        </w:rPr>
      </w:pPr>
      <w:r w:rsidRPr="00CC1E88">
        <w:rPr>
          <w:rFonts w:ascii="Arial" w:hAnsi="Arial" w:cs="Arial"/>
          <w:sz w:val="24"/>
          <w:szCs w:val="24"/>
        </w:rPr>
        <w:t xml:space="preserve">Small </w:t>
      </w:r>
      <w:r w:rsidR="001566E1" w:rsidRPr="00CC1E88">
        <w:rPr>
          <w:rFonts w:ascii="Arial" w:hAnsi="Arial" w:cs="Arial"/>
          <w:sz w:val="24"/>
          <w:szCs w:val="24"/>
        </w:rPr>
        <w:t>and micro business impact assessment</w:t>
      </w:r>
    </w:p>
    <w:p w14:paraId="111B57E8" w14:textId="62877550" w:rsidR="00E333EC" w:rsidRPr="00CC1E88" w:rsidRDefault="00E333EC" w:rsidP="00C008A1">
      <w:pPr>
        <w:pStyle w:val="NoSpacing"/>
        <w:numPr>
          <w:ilvl w:val="0"/>
          <w:numId w:val="15"/>
        </w:numPr>
        <w:rPr>
          <w:rFonts w:ascii="Arial" w:hAnsi="Arial" w:cs="Arial"/>
          <w:sz w:val="24"/>
          <w:szCs w:val="24"/>
        </w:rPr>
      </w:pPr>
      <w:r w:rsidRPr="00CC1E88">
        <w:rPr>
          <w:rFonts w:ascii="Arial" w:hAnsi="Arial" w:cs="Arial"/>
          <w:sz w:val="24"/>
          <w:szCs w:val="24"/>
        </w:rPr>
        <w:t>Medium business impact assessment</w:t>
      </w:r>
    </w:p>
    <w:p w14:paraId="36A79BCF" w14:textId="647B0072" w:rsidR="00E333EC" w:rsidRPr="00CC1E88" w:rsidRDefault="00E333EC" w:rsidP="00E333EC">
      <w:pPr>
        <w:pStyle w:val="NoSpacing"/>
        <w:numPr>
          <w:ilvl w:val="0"/>
          <w:numId w:val="15"/>
        </w:numPr>
        <w:rPr>
          <w:rFonts w:ascii="Arial" w:hAnsi="Arial" w:cs="Arial"/>
          <w:sz w:val="24"/>
          <w:szCs w:val="24"/>
        </w:rPr>
      </w:pPr>
      <w:r w:rsidRPr="00CC1E88">
        <w:rPr>
          <w:rFonts w:ascii="Arial" w:hAnsi="Arial" w:cs="Arial"/>
          <w:sz w:val="24"/>
          <w:szCs w:val="24"/>
        </w:rPr>
        <w:t>Material costs</w:t>
      </w:r>
    </w:p>
    <w:p w14:paraId="1D4AA786" w14:textId="2B6B94FF" w:rsidR="00E333EC" w:rsidRPr="00CC1E88" w:rsidRDefault="00E333EC" w:rsidP="00E333EC">
      <w:pPr>
        <w:pStyle w:val="NoSpacing"/>
        <w:numPr>
          <w:ilvl w:val="0"/>
          <w:numId w:val="15"/>
        </w:numPr>
        <w:rPr>
          <w:rFonts w:ascii="Arial" w:hAnsi="Arial" w:cs="Arial"/>
          <w:sz w:val="24"/>
          <w:szCs w:val="24"/>
        </w:rPr>
      </w:pPr>
      <w:r w:rsidRPr="00CC1E88">
        <w:rPr>
          <w:rFonts w:ascii="Arial" w:hAnsi="Arial" w:cs="Arial"/>
          <w:sz w:val="24"/>
          <w:szCs w:val="24"/>
        </w:rPr>
        <w:lastRenderedPageBreak/>
        <w:t>Enforcement costs</w:t>
      </w:r>
    </w:p>
    <w:p w14:paraId="62A10C41" w14:textId="77777777" w:rsidR="00E333EC" w:rsidRPr="00CC1E88" w:rsidRDefault="00E333EC" w:rsidP="00E333EC">
      <w:pPr>
        <w:pStyle w:val="NoSpacing"/>
        <w:rPr>
          <w:rFonts w:ascii="Arial" w:hAnsi="Arial" w:cs="Arial"/>
          <w:sz w:val="24"/>
          <w:szCs w:val="24"/>
        </w:rPr>
      </w:pPr>
    </w:p>
    <w:p w14:paraId="52C88728" w14:textId="4222C30A" w:rsidR="00E333EC" w:rsidRPr="00CC1E88" w:rsidRDefault="00E333EC" w:rsidP="00E333EC">
      <w:pPr>
        <w:pStyle w:val="NoSpacing"/>
        <w:rPr>
          <w:rFonts w:ascii="Arial" w:hAnsi="Arial" w:cs="Arial"/>
          <w:b/>
          <w:sz w:val="24"/>
          <w:szCs w:val="24"/>
        </w:rPr>
      </w:pPr>
      <w:r w:rsidRPr="00CC1E88">
        <w:rPr>
          <w:rFonts w:ascii="Arial" w:hAnsi="Arial" w:cs="Arial"/>
          <w:b/>
          <w:sz w:val="24"/>
          <w:szCs w:val="24"/>
        </w:rPr>
        <w:t>Consumer impacts:</w:t>
      </w:r>
    </w:p>
    <w:p w14:paraId="2C0F548E" w14:textId="680E6F93" w:rsidR="00E333EC" w:rsidRPr="00CC1E88" w:rsidRDefault="00E333EC" w:rsidP="00E333EC">
      <w:pPr>
        <w:pStyle w:val="NoSpacing"/>
        <w:numPr>
          <w:ilvl w:val="0"/>
          <w:numId w:val="16"/>
        </w:numPr>
        <w:rPr>
          <w:rFonts w:ascii="Arial" w:hAnsi="Arial" w:cs="Arial"/>
          <w:b/>
          <w:sz w:val="24"/>
          <w:szCs w:val="24"/>
        </w:rPr>
      </w:pPr>
      <w:r w:rsidRPr="00CC1E88">
        <w:rPr>
          <w:rFonts w:ascii="Arial" w:hAnsi="Arial" w:cs="Arial"/>
          <w:sz w:val="24"/>
          <w:szCs w:val="24"/>
        </w:rPr>
        <w:t>Choice and price impacts</w:t>
      </w:r>
    </w:p>
    <w:p w14:paraId="54B33B6B" w14:textId="77777777" w:rsidR="00E333EC" w:rsidRPr="00CC1E88" w:rsidRDefault="00E333EC" w:rsidP="00E333EC">
      <w:pPr>
        <w:pStyle w:val="NoSpacing"/>
        <w:rPr>
          <w:rFonts w:ascii="Arial" w:hAnsi="Arial" w:cs="Arial"/>
          <w:sz w:val="24"/>
          <w:szCs w:val="24"/>
        </w:rPr>
      </w:pPr>
    </w:p>
    <w:p w14:paraId="3DC84437" w14:textId="7EF9CE74" w:rsidR="00DC7023" w:rsidRPr="00CC1E88" w:rsidRDefault="00DC7023" w:rsidP="00E333EC">
      <w:pPr>
        <w:pStyle w:val="NoSpacing"/>
        <w:rPr>
          <w:rFonts w:ascii="Arial" w:hAnsi="Arial" w:cs="Arial"/>
          <w:b/>
          <w:sz w:val="24"/>
          <w:szCs w:val="24"/>
        </w:rPr>
      </w:pPr>
      <w:r w:rsidRPr="00CC1E88">
        <w:rPr>
          <w:rFonts w:ascii="Arial" w:hAnsi="Arial" w:cs="Arial"/>
          <w:b/>
          <w:sz w:val="24"/>
          <w:szCs w:val="24"/>
        </w:rPr>
        <w:t>Societal impacts:</w:t>
      </w:r>
    </w:p>
    <w:p w14:paraId="477A49A7" w14:textId="5CEFB37C" w:rsidR="00DC7023" w:rsidRPr="00CC1E88" w:rsidRDefault="00DC7023" w:rsidP="00DC7023">
      <w:pPr>
        <w:pStyle w:val="NoSpacing"/>
        <w:numPr>
          <w:ilvl w:val="0"/>
          <w:numId w:val="16"/>
        </w:numPr>
        <w:rPr>
          <w:rFonts w:ascii="Arial" w:hAnsi="Arial" w:cs="Arial"/>
          <w:sz w:val="24"/>
          <w:szCs w:val="24"/>
        </w:rPr>
      </w:pPr>
      <w:r w:rsidRPr="00CC1E88">
        <w:rPr>
          <w:rFonts w:ascii="Arial" w:hAnsi="Arial" w:cs="Arial"/>
          <w:sz w:val="24"/>
          <w:szCs w:val="24"/>
        </w:rPr>
        <w:t>Reduction in microplastics in the environment</w:t>
      </w:r>
    </w:p>
    <w:p w14:paraId="7B4F363E" w14:textId="4A09A938" w:rsidR="00DC7023" w:rsidRPr="00CC1E88" w:rsidRDefault="00DC7023" w:rsidP="00B51046">
      <w:pPr>
        <w:pStyle w:val="NoSpacing"/>
        <w:numPr>
          <w:ilvl w:val="0"/>
          <w:numId w:val="16"/>
        </w:numPr>
        <w:rPr>
          <w:rFonts w:ascii="Arial" w:hAnsi="Arial" w:cs="Arial"/>
          <w:sz w:val="24"/>
          <w:szCs w:val="24"/>
        </w:rPr>
      </w:pPr>
      <w:r w:rsidRPr="00CC1E88">
        <w:rPr>
          <w:rFonts w:ascii="Arial" w:hAnsi="Arial" w:cs="Arial"/>
          <w:sz w:val="24"/>
          <w:szCs w:val="24"/>
        </w:rPr>
        <w:t>Reduction in lifecycle greenhouse gas emissions</w:t>
      </w:r>
    </w:p>
    <w:p w14:paraId="2FCF9AEE" w14:textId="77777777" w:rsidR="00E333EC" w:rsidRPr="00B51046" w:rsidRDefault="00E333EC" w:rsidP="00E333EC">
      <w:pPr>
        <w:pStyle w:val="NoSpacing"/>
        <w:rPr>
          <w:rFonts w:ascii="Arial" w:hAnsi="Arial" w:cs="Arial"/>
          <w:b/>
          <w:bCs/>
          <w:sz w:val="24"/>
          <w:szCs w:val="24"/>
        </w:rPr>
      </w:pPr>
    </w:p>
    <w:p w14:paraId="5B222B3F" w14:textId="32AF393E" w:rsidR="00F87F8B" w:rsidRPr="007A518A" w:rsidRDefault="00F323C3" w:rsidP="00F87F8B">
      <w:pPr>
        <w:rPr>
          <w:rFonts w:ascii="Arial" w:hAnsi="Arial" w:cs="Arial"/>
          <w:b/>
          <w:sz w:val="24"/>
          <w:szCs w:val="24"/>
        </w:rPr>
      </w:pPr>
      <w:r w:rsidRPr="007A518A">
        <w:rPr>
          <w:rFonts w:ascii="Arial" w:hAnsi="Arial" w:cs="Arial"/>
          <w:b/>
          <w:sz w:val="24"/>
          <w:szCs w:val="24"/>
        </w:rPr>
        <w:t xml:space="preserve">Business </w:t>
      </w:r>
      <w:r w:rsidR="00F87F8B" w:rsidRPr="007A518A">
        <w:rPr>
          <w:rFonts w:ascii="Arial" w:hAnsi="Arial" w:cs="Arial"/>
          <w:b/>
          <w:sz w:val="24"/>
          <w:szCs w:val="24"/>
        </w:rPr>
        <w:t>impacts</w:t>
      </w:r>
    </w:p>
    <w:p w14:paraId="169C0A0F" w14:textId="146D7C32" w:rsidR="1FDDA66D" w:rsidRPr="00197193" w:rsidRDefault="00F87F8B" w:rsidP="1FDDA66D">
      <w:pPr>
        <w:pStyle w:val="ListParagraph"/>
        <w:numPr>
          <w:ilvl w:val="0"/>
          <w:numId w:val="5"/>
        </w:numPr>
        <w:ind w:left="426"/>
        <w:rPr>
          <w:rFonts w:ascii="Arial" w:hAnsi="Arial" w:cs="Arial"/>
          <w:sz w:val="24"/>
          <w:szCs w:val="24"/>
        </w:rPr>
      </w:pPr>
      <w:r w:rsidRPr="007A518A">
        <w:rPr>
          <w:rFonts w:ascii="Arial" w:hAnsi="Arial" w:cs="Arial"/>
          <w:sz w:val="24"/>
          <w:szCs w:val="24"/>
        </w:rPr>
        <w:t>In a Defra</w:t>
      </w:r>
      <w:r w:rsidR="6E9D5499" w:rsidRPr="007A518A">
        <w:rPr>
          <w:rFonts w:ascii="Arial" w:hAnsi="Arial" w:cs="Arial"/>
          <w:sz w:val="24"/>
          <w:szCs w:val="24"/>
        </w:rPr>
        <w:t>-</w:t>
      </w:r>
      <w:r w:rsidRPr="007A518A">
        <w:rPr>
          <w:rFonts w:ascii="Arial" w:hAnsi="Arial" w:cs="Arial"/>
          <w:sz w:val="24"/>
          <w:szCs w:val="24"/>
        </w:rPr>
        <w:t>commissioned research project, Valpak estimated that 99% of wet wipes placed on the market in the UK were manufactured domestically in 2019. Following the implementation of a</w:t>
      </w:r>
      <w:r w:rsidR="003802E3">
        <w:rPr>
          <w:rFonts w:ascii="Arial" w:hAnsi="Arial" w:cs="Arial"/>
          <w:sz w:val="24"/>
          <w:szCs w:val="24"/>
        </w:rPr>
        <w:t>ny</w:t>
      </w:r>
      <w:r w:rsidRPr="007A518A">
        <w:rPr>
          <w:rFonts w:ascii="Arial" w:hAnsi="Arial" w:cs="Arial"/>
          <w:sz w:val="24"/>
          <w:szCs w:val="24"/>
        </w:rPr>
        <w:t xml:space="preserve"> ban, </w:t>
      </w:r>
      <w:r w:rsidR="00752B58" w:rsidRPr="007A518A">
        <w:rPr>
          <w:rFonts w:ascii="Arial" w:hAnsi="Arial" w:cs="Arial"/>
          <w:sz w:val="24"/>
          <w:szCs w:val="24"/>
        </w:rPr>
        <w:t xml:space="preserve">Defra </w:t>
      </w:r>
      <w:r w:rsidRPr="007A518A">
        <w:rPr>
          <w:rFonts w:ascii="Arial" w:hAnsi="Arial" w:cs="Arial"/>
          <w:sz w:val="24"/>
          <w:szCs w:val="24"/>
        </w:rPr>
        <w:t xml:space="preserve">would expect businesses to choose the course of action which maximises their profit function. Though there is potential that for some producers this may mean ceasing </w:t>
      </w:r>
      <w:r w:rsidR="00936D1F" w:rsidRPr="007A518A">
        <w:rPr>
          <w:rFonts w:ascii="Arial" w:hAnsi="Arial" w:cs="Arial"/>
          <w:sz w:val="24"/>
          <w:szCs w:val="24"/>
        </w:rPr>
        <w:t>production of wet wipes</w:t>
      </w:r>
      <w:r w:rsidRPr="007A518A">
        <w:rPr>
          <w:rFonts w:ascii="Arial" w:hAnsi="Arial" w:cs="Arial"/>
          <w:sz w:val="24"/>
          <w:szCs w:val="24"/>
        </w:rPr>
        <w:t xml:space="preserve">, </w:t>
      </w:r>
      <w:r w:rsidR="00752B58" w:rsidRPr="007A518A">
        <w:rPr>
          <w:rFonts w:ascii="Arial" w:hAnsi="Arial" w:cs="Arial"/>
          <w:sz w:val="24"/>
          <w:szCs w:val="24"/>
        </w:rPr>
        <w:t xml:space="preserve">Defra </w:t>
      </w:r>
      <w:r w:rsidRPr="007A518A">
        <w:rPr>
          <w:rFonts w:ascii="Arial" w:hAnsi="Arial" w:cs="Arial"/>
          <w:sz w:val="24"/>
          <w:szCs w:val="24"/>
        </w:rPr>
        <w:t xml:space="preserve">would also expect some producers to move to production of the next most profitable alternative for their business and switch to producing non-plastic wet </w:t>
      </w:r>
      <w:r w:rsidR="00587663" w:rsidRPr="007A518A">
        <w:rPr>
          <w:rFonts w:ascii="Arial" w:hAnsi="Arial" w:cs="Arial"/>
          <w:sz w:val="24"/>
          <w:szCs w:val="24"/>
        </w:rPr>
        <w:t>wipes.</w:t>
      </w:r>
    </w:p>
    <w:p w14:paraId="60E85C66" w14:textId="191D89DC" w:rsidR="009B463B" w:rsidRPr="007A518A" w:rsidRDefault="009B463B" w:rsidP="007A518A">
      <w:pPr>
        <w:pStyle w:val="ListParagraph"/>
        <w:ind w:left="426"/>
        <w:rPr>
          <w:rFonts w:ascii="Arial" w:hAnsi="Arial" w:cs="Arial"/>
          <w:sz w:val="24"/>
          <w:szCs w:val="24"/>
        </w:rPr>
      </w:pPr>
    </w:p>
    <w:p w14:paraId="1F3A85F3" w14:textId="77A15FE5" w:rsidR="00F87F8B"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Where producers switch to producing other items, there is likely to be some</w:t>
      </w:r>
      <w:r w:rsidR="00FB7145" w:rsidRPr="007A518A">
        <w:rPr>
          <w:rFonts w:ascii="Arial" w:hAnsi="Arial" w:cs="Arial"/>
          <w:sz w:val="24"/>
          <w:szCs w:val="24"/>
        </w:rPr>
        <w:t xml:space="preserve"> one-off</w:t>
      </w:r>
      <w:r w:rsidRPr="007A518A">
        <w:rPr>
          <w:rFonts w:ascii="Arial" w:hAnsi="Arial" w:cs="Arial"/>
          <w:sz w:val="24"/>
          <w:szCs w:val="24"/>
        </w:rPr>
        <w:t xml:space="preserve"> capital investment cost associated with making this switch. In an extreme scenario, all plastic</w:t>
      </w:r>
      <w:r w:rsidR="3114F38C" w:rsidRPr="007A518A">
        <w:rPr>
          <w:rFonts w:ascii="Arial" w:hAnsi="Arial" w:cs="Arial"/>
          <w:sz w:val="24"/>
          <w:szCs w:val="24"/>
        </w:rPr>
        <w:t>-containing</w:t>
      </w:r>
      <w:r w:rsidRPr="007A518A">
        <w:rPr>
          <w:rFonts w:ascii="Arial" w:hAnsi="Arial" w:cs="Arial"/>
          <w:sz w:val="24"/>
          <w:szCs w:val="24"/>
        </w:rPr>
        <w:t xml:space="preserve"> wet wipe producers could choose to buy entirely new production capital, </w:t>
      </w:r>
      <w:proofErr w:type="gramStart"/>
      <w:r w:rsidRPr="007A518A">
        <w:rPr>
          <w:rFonts w:ascii="Arial" w:hAnsi="Arial" w:cs="Arial"/>
          <w:sz w:val="24"/>
          <w:szCs w:val="24"/>
        </w:rPr>
        <w:t>in order to</w:t>
      </w:r>
      <w:proofErr w:type="gramEnd"/>
      <w:r w:rsidRPr="007A518A">
        <w:rPr>
          <w:rFonts w:ascii="Arial" w:hAnsi="Arial" w:cs="Arial"/>
          <w:sz w:val="24"/>
          <w:szCs w:val="24"/>
        </w:rPr>
        <w:t xml:space="preserve"> produce wet wipes using alternative materials.</w:t>
      </w:r>
      <w:r w:rsidR="00832485">
        <w:rPr>
          <w:rFonts w:ascii="Arial" w:hAnsi="Arial" w:cs="Arial"/>
          <w:sz w:val="24"/>
          <w:szCs w:val="24"/>
        </w:rPr>
        <w:t xml:space="preserve"> </w:t>
      </w:r>
      <w:r w:rsidR="00832485" w:rsidRPr="00CC1E88">
        <w:rPr>
          <w:rFonts w:ascii="Arial" w:hAnsi="Arial" w:cs="Arial"/>
          <w:sz w:val="24"/>
          <w:szCs w:val="24"/>
        </w:rPr>
        <w:t>Defra are seeking views on this expectation at consultation.</w:t>
      </w:r>
    </w:p>
    <w:p w14:paraId="11C60523" w14:textId="2D8F23A3" w:rsidR="009B463B" w:rsidRPr="00CC1E88" w:rsidRDefault="005A1288" w:rsidP="005A1288">
      <w:pPr>
        <w:rPr>
          <w:rFonts w:ascii="Arial" w:hAnsi="Arial" w:cs="Arial"/>
          <w:b/>
          <w:sz w:val="24"/>
          <w:szCs w:val="24"/>
        </w:rPr>
      </w:pPr>
      <w:r w:rsidRPr="00CC1E88">
        <w:rPr>
          <w:rFonts w:ascii="Arial" w:hAnsi="Arial" w:cs="Arial"/>
          <w:b/>
          <w:sz w:val="24"/>
          <w:szCs w:val="24"/>
        </w:rPr>
        <w:t>Familiarisation costs</w:t>
      </w:r>
    </w:p>
    <w:p w14:paraId="0552D841" w14:textId="161E2D31" w:rsidR="00BA67CC" w:rsidRPr="00CC1E88" w:rsidRDefault="00F87F8B" w:rsidP="00BA67CC">
      <w:pPr>
        <w:pStyle w:val="ListParagraph"/>
        <w:numPr>
          <w:ilvl w:val="0"/>
          <w:numId w:val="5"/>
        </w:numPr>
        <w:ind w:left="426"/>
        <w:rPr>
          <w:rFonts w:ascii="Arial" w:hAnsi="Arial" w:cs="Arial"/>
          <w:sz w:val="24"/>
          <w:szCs w:val="24"/>
        </w:rPr>
      </w:pPr>
      <w:r w:rsidRPr="00CC1E88">
        <w:rPr>
          <w:rFonts w:ascii="Arial" w:hAnsi="Arial" w:cs="Arial"/>
          <w:sz w:val="24"/>
          <w:szCs w:val="24"/>
        </w:rPr>
        <w:t>Producers</w:t>
      </w:r>
      <w:r w:rsidR="003B47C2" w:rsidRPr="00CC1E88">
        <w:rPr>
          <w:rFonts w:ascii="Arial" w:hAnsi="Arial" w:cs="Arial"/>
          <w:sz w:val="24"/>
          <w:szCs w:val="24"/>
        </w:rPr>
        <w:t>, wholesalers, and retailers</w:t>
      </w:r>
      <w:r w:rsidRPr="00CC1E88">
        <w:rPr>
          <w:rFonts w:ascii="Arial" w:hAnsi="Arial" w:cs="Arial"/>
          <w:sz w:val="24"/>
          <w:szCs w:val="24"/>
        </w:rPr>
        <w:t xml:space="preserve"> of the banned items will also face </w:t>
      </w:r>
      <w:r w:rsidR="00FB7145" w:rsidRPr="00CC1E88">
        <w:rPr>
          <w:rFonts w:ascii="Arial" w:hAnsi="Arial" w:cs="Arial"/>
          <w:sz w:val="24"/>
          <w:szCs w:val="24"/>
        </w:rPr>
        <w:t xml:space="preserve">one-off </w:t>
      </w:r>
      <w:r w:rsidRPr="00CC1E88">
        <w:rPr>
          <w:rFonts w:ascii="Arial" w:hAnsi="Arial" w:cs="Arial"/>
          <w:sz w:val="24"/>
          <w:szCs w:val="24"/>
        </w:rPr>
        <w:t xml:space="preserve">familiarisation costs, from the time taken to read and understand the legislation and subsequently make business decisions relating to the ban. </w:t>
      </w:r>
      <w:r w:rsidR="004A0203" w:rsidRPr="00CC1E88">
        <w:rPr>
          <w:rFonts w:ascii="Arial" w:hAnsi="Arial" w:cs="Arial"/>
          <w:sz w:val="24"/>
          <w:szCs w:val="24"/>
        </w:rPr>
        <w:t>S</w:t>
      </w:r>
      <w:r w:rsidR="7E8178C5" w:rsidRPr="00CC1E88">
        <w:rPr>
          <w:rFonts w:ascii="Arial" w:hAnsi="Arial" w:cs="Arial"/>
          <w:sz w:val="24"/>
          <w:szCs w:val="24"/>
        </w:rPr>
        <w:t>ome</w:t>
      </w:r>
      <w:r w:rsidR="001D0517" w:rsidRPr="00CC1E88">
        <w:rPr>
          <w:rFonts w:ascii="Arial" w:hAnsi="Arial" w:cs="Arial"/>
          <w:sz w:val="24"/>
          <w:szCs w:val="24"/>
        </w:rPr>
        <w:t xml:space="preserve"> of</w:t>
      </w:r>
      <w:r w:rsidRPr="00CC1E88">
        <w:rPr>
          <w:rFonts w:ascii="Arial" w:hAnsi="Arial" w:cs="Arial"/>
          <w:sz w:val="24"/>
          <w:szCs w:val="24"/>
        </w:rPr>
        <w:t xml:space="preserve"> this could involve decisions relating to altering production processes or adjusting business plans and supply chains. Familiarisation costs are likely to be minimised by single-use plastic bans having been in the public domain for a significant amount of time and therefore many businesses would have anticipated </w:t>
      </w:r>
      <w:r w:rsidR="00BE778B" w:rsidRPr="00CC1E88">
        <w:rPr>
          <w:rFonts w:ascii="Arial" w:hAnsi="Arial" w:cs="Arial"/>
          <w:sz w:val="24"/>
          <w:szCs w:val="24"/>
        </w:rPr>
        <w:t>this ban</w:t>
      </w:r>
      <w:r w:rsidR="00511E1A" w:rsidRPr="00CC1E88">
        <w:rPr>
          <w:rFonts w:ascii="Arial" w:hAnsi="Arial" w:cs="Arial"/>
          <w:sz w:val="24"/>
          <w:szCs w:val="24"/>
        </w:rPr>
        <w:t>, however this does not negate the need to familiarise themselves with the detail</w:t>
      </w:r>
      <w:r w:rsidRPr="00CC1E88">
        <w:rPr>
          <w:rFonts w:ascii="Arial" w:hAnsi="Arial" w:cs="Arial"/>
          <w:sz w:val="24"/>
          <w:szCs w:val="24"/>
        </w:rPr>
        <w:t>. In the 25 Year Environment Plan</w:t>
      </w:r>
      <w:r w:rsidR="00B00CB1" w:rsidRPr="00CC1E88">
        <w:rPr>
          <w:rFonts w:ascii="Arial" w:hAnsi="Arial" w:cs="Arial"/>
          <w:sz w:val="24"/>
          <w:szCs w:val="24"/>
          <w:vertAlign w:val="superscript"/>
        </w:rPr>
        <w:footnoteReference w:id="9"/>
      </w:r>
      <w:r w:rsidRPr="00CC1E88">
        <w:rPr>
          <w:rFonts w:ascii="Arial" w:hAnsi="Arial" w:cs="Arial"/>
          <w:sz w:val="24"/>
          <w:szCs w:val="24"/>
        </w:rPr>
        <w:t xml:space="preserve">, published in January 2018, the government committed to eradicating avoidable plastic waste by 2042. Then, in November 2021, </w:t>
      </w:r>
      <w:r w:rsidR="00752B58" w:rsidRPr="00CC1E88">
        <w:rPr>
          <w:rFonts w:ascii="Arial" w:hAnsi="Arial" w:cs="Arial"/>
          <w:sz w:val="24"/>
          <w:szCs w:val="24"/>
        </w:rPr>
        <w:t xml:space="preserve">Defra </w:t>
      </w:r>
      <w:r w:rsidRPr="00CC1E88">
        <w:rPr>
          <w:rFonts w:ascii="Arial" w:hAnsi="Arial" w:cs="Arial"/>
          <w:sz w:val="24"/>
          <w:szCs w:val="24"/>
        </w:rPr>
        <w:t>published a call for evidence on commonly littered and problematic plastic items, where wet wipes were explicitly mentioned as an item of interest</w:t>
      </w:r>
      <w:r w:rsidR="00E72C7E" w:rsidRPr="00CC1E88">
        <w:rPr>
          <w:rFonts w:ascii="Arial" w:hAnsi="Arial" w:cs="Arial"/>
          <w:sz w:val="24"/>
          <w:szCs w:val="24"/>
          <w:vertAlign w:val="superscript"/>
        </w:rPr>
        <w:footnoteReference w:id="10"/>
      </w:r>
      <w:r w:rsidR="28F4487B" w:rsidRPr="00CC1E88">
        <w:rPr>
          <w:rFonts w:ascii="Arial" w:hAnsi="Arial" w:cs="Arial"/>
          <w:sz w:val="24"/>
          <w:szCs w:val="24"/>
        </w:rPr>
        <w:t>.</w:t>
      </w:r>
      <w:r w:rsidRPr="00CC1E88">
        <w:rPr>
          <w:rFonts w:ascii="Arial" w:hAnsi="Arial" w:cs="Arial"/>
          <w:sz w:val="24"/>
          <w:szCs w:val="24"/>
        </w:rPr>
        <w:t xml:space="preserve"> This found that 96% of respondents stated that they would support a ban on wet wipes containing plastic. </w:t>
      </w:r>
      <w:r w:rsidR="28F4487B" w:rsidRPr="00CC1E88">
        <w:rPr>
          <w:rFonts w:ascii="Arial" w:hAnsi="Arial" w:cs="Arial"/>
          <w:sz w:val="24"/>
          <w:szCs w:val="24"/>
        </w:rPr>
        <w:t xml:space="preserve">A summary of </w:t>
      </w:r>
      <w:r w:rsidR="28F4487B" w:rsidRPr="00CC1E88">
        <w:rPr>
          <w:rFonts w:ascii="Arial" w:hAnsi="Arial" w:cs="Arial"/>
          <w:sz w:val="24"/>
          <w:szCs w:val="24"/>
        </w:rPr>
        <w:lastRenderedPageBreak/>
        <w:t>responses and the government response to this call of evidence was published in January 2023</w:t>
      </w:r>
      <w:r w:rsidR="00E72C7E" w:rsidRPr="00CC1E88">
        <w:rPr>
          <w:rFonts w:ascii="Arial" w:hAnsi="Arial" w:cs="Arial"/>
          <w:sz w:val="24"/>
          <w:szCs w:val="24"/>
          <w:vertAlign w:val="superscript"/>
        </w:rPr>
        <w:footnoteReference w:id="11"/>
      </w:r>
      <w:r w:rsidR="28F4487B" w:rsidRPr="00CC1E88">
        <w:rPr>
          <w:rFonts w:ascii="Arial" w:hAnsi="Arial" w:cs="Arial"/>
          <w:sz w:val="24"/>
          <w:szCs w:val="24"/>
        </w:rPr>
        <w:t>.</w:t>
      </w:r>
    </w:p>
    <w:p w14:paraId="38BF55B1" w14:textId="77777777" w:rsidR="00A82E99" w:rsidRPr="00CC1E88" w:rsidRDefault="00A82E99" w:rsidP="00A82E99">
      <w:pPr>
        <w:pStyle w:val="ListParagraph"/>
        <w:ind w:left="426"/>
        <w:rPr>
          <w:rFonts w:ascii="Arial" w:hAnsi="Arial" w:cs="Arial"/>
          <w:sz w:val="24"/>
          <w:szCs w:val="24"/>
        </w:rPr>
      </w:pPr>
    </w:p>
    <w:p w14:paraId="5CD889F4" w14:textId="563EEA22" w:rsidR="00B12378" w:rsidRPr="00CC1E88" w:rsidRDefault="00B12378" w:rsidP="00BA67CC">
      <w:pPr>
        <w:pStyle w:val="ListParagraph"/>
        <w:numPr>
          <w:ilvl w:val="0"/>
          <w:numId w:val="5"/>
        </w:numPr>
        <w:ind w:left="426"/>
        <w:rPr>
          <w:rFonts w:ascii="Arial" w:hAnsi="Arial" w:cs="Arial"/>
          <w:sz w:val="24"/>
          <w:szCs w:val="24"/>
        </w:rPr>
      </w:pPr>
      <w:r w:rsidRPr="00CC1E88">
        <w:rPr>
          <w:rFonts w:ascii="Arial" w:hAnsi="Arial" w:cs="Arial"/>
          <w:sz w:val="24"/>
          <w:szCs w:val="24"/>
        </w:rPr>
        <w:t>Defr</w:t>
      </w:r>
      <w:r w:rsidRPr="00CC1E88">
        <w:rPr>
          <w:rFonts w:ascii="Arial" w:hAnsi="Arial" w:cs="Arial"/>
          <w:sz w:val="24"/>
          <w:szCs w:val="24"/>
          <w:lang w:eastAsia="en-GB"/>
        </w:rPr>
        <w:t>a has monetised this</w:t>
      </w:r>
      <w:r w:rsidRPr="00CC1E88">
        <w:rPr>
          <w:rFonts w:ascii="Arial" w:hAnsi="Arial" w:cs="Arial"/>
          <w:sz w:val="24"/>
          <w:szCs w:val="24"/>
        </w:rPr>
        <w:t xml:space="preserve"> cost using the following figures and assumptions:</w:t>
      </w:r>
    </w:p>
    <w:p w14:paraId="7A312FB4" w14:textId="77777777" w:rsidR="00B12378" w:rsidRPr="00CC1E88" w:rsidRDefault="00B12378" w:rsidP="00B12378">
      <w:pPr>
        <w:pStyle w:val="ListParagraph"/>
        <w:numPr>
          <w:ilvl w:val="0"/>
          <w:numId w:val="10"/>
        </w:numPr>
        <w:autoSpaceDE w:val="0"/>
        <w:autoSpaceDN w:val="0"/>
        <w:adjustRightInd w:val="0"/>
        <w:spacing w:after="0" w:line="239" w:lineRule="auto"/>
        <w:jc w:val="both"/>
        <w:rPr>
          <w:rFonts w:ascii="Arial" w:hAnsi="Arial" w:cs="Arial"/>
          <w:sz w:val="24"/>
          <w:szCs w:val="24"/>
        </w:rPr>
      </w:pPr>
      <w:r w:rsidRPr="00CC1E88">
        <w:rPr>
          <w:rFonts w:ascii="Arial" w:hAnsi="Arial" w:cs="Arial"/>
          <w:sz w:val="24"/>
          <w:szCs w:val="24"/>
        </w:rPr>
        <w:t>Categories of businesses likely to be affected by the ban were identified using Standard Industrialisation Codes</w:t>
      </w:r>
      <w:r w:rsidRPr="00CC1E88">
        <w:rPr>
          <w:rStyle w:val="FootnoteReference"/>
          <w:rFonts w:ascii="Arial" w:hAnsi="Arial" w:cs="Arial"/>
          <w:sz w:val="24"/>
          <w:szCs w:val="24"/>
        </w:rPr>
        <w:footnoteReference w:id="12"/>
      </w:r>
      <w:r w:rsidRPr="00CC1E88">
        <w:rPr>
          <w:rFonts w:ascii="Arial" w:hAnsi="Arial" w:cs="Arial"/>
          <w:sz w:val="24"/>
          <w:szCs w:val="24"/>
        </w:rPr>
        <w:t xml:space="preserve"> (SIC).</w:t>
      </w:r>
    </w:p>
    <w:p w14:paraId="4BFFF2F8" w14:textId="3F0B8F01" w:rsidR="00B12378" w:rsidRPr="00CC1E88" w:rsidRDefault="00B12378" w:rsidP="00B12378">
      <w:pPr>
        <w:pStyle w:val="ListParagraph"/>
        <w:numPr>
          <w:ilvl w:val="0"/>
          <w:numId w:val="10"/>
        </w:numPr>
        <w:autoSpaceDE w:val="0"/>
        <w:autoSpaceDN w:val="0"/>
        <w:adjustRightInd w:val="0"/>
        <w:spacing w:after="0" w:line="239" w:lineRule="auto"/>
        <w:jc w:val="both"/>
        <w:rPr>
          <w:rFonts w:ascii="Arial" w:hAnsi="Arial" w:cs="Arial"/>
          <w:sz w:val="24"/>
          <w:szCs w:val="24"/>
        </w:rPr>
      </w:pPr>
      <w:r w:rsidRPr="00CC1E88">
        <w:rPr>
          <w:rFonts w:ascii="Arial" w:hAnsi="Arial" w:cs="Arial"/>
          <w:sz w:val="24"/>
          <w:szCs w:val="24"/>
        </w:rPr>
        <w:t xml:space="preserve">It is difficult to estimate how many businesses within each SIC code currently manufacture, </w:t>
      </w:r>
      <w:proofErr w:type="gramStart"/>
      <w:r w:rsidRPr="00CC1E88">
        <w:rPr>
          <w:rFonts w:ascii="Arial" w:hAnsi="Arial" w:cs="Arial"/>
          <w:sz w:val="24"/>
          <w:szCs w:val="24"/>
        </w:rPr>
        <w:t>supply</w:t>
      </w:r>
      <w:proofErr w:type="gramEnd"/>
      <w:r w:rsidRPr="00CC1E88">
        <w:rPr>
          <w:rFonts w:ascii="Arial" w:hAnsi="Arial" w:cs="Arial"/>
          <w:sz w:val="24"/>
          <w:szCs w:val="24"/>
        </w:rPr>
        <w:t xml:space="preserve"> or sell wet wipes containing plastic. Therefore, </w:t>
      </w:r>
      <w:r w:rsidR="00736690" w:rsidRPr="00CC1E88">
        <w:rPr>
          <w:rFonts w:ascii="Arial" w:hAnsi="Arial" w:cs="Arial"/>
          <w:sz w:val="24"/>
          <w:szCs w:val="24"/>
        </w:rPr>
        <w:t>Defra has</w:t>
      </w:r>
      <w:r w:rsidRPr="00CC1E88">
        <w:rPr>
          <w:rFonts w:ascii="Arial" w:hAnsi="Arial" w:cs="Arial"/>
          <w:sz w:val="24"/>
          <w:szCs w:val="24"/>
        </w:rPr>
        <w:t xml:space="preserve"> </w:t>
      </w:r>
      <w:r w:rsidR="006D1B75" w:rsidRPr="00CC1E88">
        <w:rPr>
          <w:rFonts w:ascii="Arial" w:hAnsi="Arial" w:cs="Arial"/>
          <w:sz w:val="24"/>
          <w:szCs w:val="24"/>
        </w:rPr>
        <w:t xml:space="preserve">used a </w:t>
      </w:r>
      <w:r w:rsidR="00400236" w:rsidRPr="00CC1E88">
        <w:rPr>
          <w:rFonts w:ascii="Arial" w:hAnsi="Arial" w:cs="Arial"/>
          <w:sz w:val="24"/>
          <w:szCs w:val="24"/>
        </w:rPr>
        <w:t xml:space="preserve">conservative </w:t>
      </w:r>
      <w:r w:rsidR="006D1B75" w:rsidRPr="00CC1E88">
        <w:rPr>
          <w:rFonts w:ascii="Arial" w:hAnsi="Arial" w:cs="Arial"/>
          <w:sz w:val="24"/>
          <w:szCs w:val="24"/>
        </w:rPr>
        <w:t>assumption</w:t>
      </w:r>
      <w:r w:rsidRPr="00CC1E88">
        <w:rPr>
          <w:rFonts w:ascii="Arial" w:hAnsi="Arial" w:cs="Arial"/>
          <w:sz w:val="24"/>
          <w:szCs w:val="24"/>
        </w:rPr>
        <w:t xml:space="preserve"> that all businesses within the selected SIC codes will be impacted by this ban and will face familiarisation costs.</w:t>
      </w:r>
    </w:p>
    <w:p w14:paraId="3518E132" w14:textId="42731C53" w:rsidR="00B12378" w:rsidRPr="00CC1E88" w:rsidRDefault="00B12378" w:rsidP="00B12378">
      <w:pPr>
        <w:pStyle w:val="ListParagraph"/>
        <w:numPr>
          <w:ilvl w:val="0"/>
          <w:numId w:val="10"/>
        </w:numPr>
        <w:autoSpaceDE w:val="0"/>
        <w:autoSpaceDN w:val="0"/>
        <w:adjustRightInd w:val="0"/>
        <w:spacing w:after="0" w:line="239" w:lineRule="auto"/>
        <w:jc w:val="both"/>
        <w:rPr>
          <w:rFonts w:ascii="Arial" w:hAnsi="Arial" w:cs="Arial"/>
          <w:sz w:val="24"/>
          <w:szCs w:val="24"/>
        </w:rPr>
      </w:pPr>
      <w:r w:rsidRPr="00CC1E88">
        <w:rPr>
          <w:rFonts w:ascii="Arial" w:hAnsi="Arial" w:cs="Arial"/>
          <w:sz w:val="24"/>
          <w:szCs w:val="24"/>
        </w:rPr>
        <w:t>It is estimated that familiarisation would take 30 minutes of one full time employee’s time</w:t>
      </w:r>
      <w:r w:rsidR="00BB1E64" w:rsidRPr="00CC1E88">
        <w:rPr>
          <w:rFonts w:ascii="Arial" w:hAnsi="Arial" w:cs="Arial"/>
          <w:sz w:val="24"/>
          <w:szCs w:val="24"/>
        </w:rPr>
        <w:t xml:space="preserve"> per </w:t>
      </w:r>
      <w:r w:rsidR="006F5790" w:rsidRPr="00CC1E88">
        <w:rPr>
          <w:rFonts w:ascii="Arial" w:hAnsi="Arial" w:cs="Arial"/>
          <w:sz w:val="24"/>
          <w:szCs w:val="24"/>
        </w:rPr>
        <w:t>enterprise</w:t>
      </w:r>
      <w:r w:rsidRPr="00CC1E88">
        <w:rPr>
          <w:rFonts w:ascii="Arial" w:hAnsi="Arial" w:cs="Arial"/>
          <w:sz w:val="24"/>
          <w:szCs w:val="24"/>
        </w:rPr>
        <w:t xml:space="preserve"> under the central sensitivity. However, Defra has also undertaken sensitivity analysis where the low scenario assumes 15 minutes and the high scenario assumes one hour to account for uncertainty. This was costed at the median average hourly wage for each businesses category</w:t>
      </w:r>
      <w:r w:rsidRPr="00CC1E88">
        <w:rPr>
          <w:rStyle w:val="FootnoteReference"/>
          <w:rFonts w:ascii="Arial" w:hAnsi="Arial" w:cs="Arial"/>
          <w:sz w:val="24"/>
          <w:szCs w:val="24"/>
        </w:rPr>
        <w:footnoteReference w:id="13"/>
      </w:r>
      <w:r w:rsidRPr="00CC1E88">
        <w:rPr>
          <w:rFonts w:ascii="Arial" w:hAnsi="Arial" w:cs="Arial"/>
          <w:sz w:val="24"/>
          <w:szCs w:val="24"/>
        </w:rPr>
        <w:t xml:space="preserve"> plus 22% non-wage labour costs</w:t>
      </w:r>
      <w:r w:rsidRPr="00CC1E88">
        <w:rPr>
          <w:rStyle w:val="FootnoteReference"/>
          <w:rFonts w:ascii="Arial" w:hAnsi="Arial" w:cs="Arial"/>
          <w:sz w:val="24"/>
          <w:szCs w:val="24"/>
        </w:rPr>
        <w:footnoteReference w:id="14"/>
      </w:r>
      <w:r w:rsidRPr="00CC1E88">
        <w:rPr>
          <w:rFonts w:ascii="Arial" w:hAnsi="Arial" w:cs="Arial"/>
          <w:sz w:val="24"/>
          <w:szCs w:val="24"/>
        </w:rPr>
        <w:t xml:space="preserve"> which accounts for national insurance contributions, pension contributions, </w:t>
      </w:r>
      <w:proofErr w:type="gramStart"/>
      <w:r w:rsidRPr="00CC1E88">
        <w:rPr>
          <w:rFonts w:ascii="Arial" w:hAnsi="Arial" w:cs="Arial"/>
          <w:sz w:val="24"/>
          <w:szCs w:val="24"/>
        </w:rPr>
        <w:t>allowances</w:t>
      </w:r>
      <w:proofErr w:type="gramEnd"/>
      <w:r w:rsidRPr="00CC1E88">
        <w:rPr>
          <w:rFonts w:ascii="Arial" w:hAnsi="Arial" w:cs="Arial"/>
          <w:sz w:val="24"/>
          <w:szCs w:val="24"/>
        </w:rPr>
        <w:t xml:space="preserve"> and benefits on top of basic salary.</w:t>
      </w:r>
    </w:p>
    <w:p w14:paraId="0704B2EE" w14:textId="77777777" w:rsidR="00D43BF1" w:rsidRPr="00CC1E88" w:rsidRDefault="00D43BF1" w:rsidP="00B12378">
      <w:pPr>
        <w:autoSpaceDE w:val="0"/>
        <w:autoSpaceDN w:val="0"/>
        <w:adjustRightInd w:val="0"/>
        <w:spacing w:line="239" w:lineRule="auto"/>
        <w:ind w:left="360"/>
        <w:jc w:val="both"/>
        <w:rPr>
          <w:rFonts w:ascii="Arial" w:hAnsi="Arial" w:cs="Arial"/>
          <w:sz w:val="24"/>
          <w:szCs w:val="24"/>
        </w:rPr>
      </w:pPr>
    </w:p>
    <w:p w14:paraId="6F6C9137" w14:textId="391B0D25" w:rsidR="00B12378" w:rsidRPr="00F413CB" w:rsidRDefault="00B12378" w:rsidP="00CD12B9">
      <w:pPr>
        <w:pStyle w:val="ListParagraph"/>
        <w:numPr>
          <w:ilvl w:val="0"/>
          <w:numId w:val="5"/>
        </w:numPr>
        <w:autoSpaceDE w:val="0"/>
        <w:autoSpaceDN w:val="0"/>
        <w:adjustRightInd w:val="0"/>
        <w:spacing w:line="239" w:lineRule="auto"/>
      </w:pPr>
      <w:r w:rsidRPr="00CC1E88">
        <w:rPr>
          <w:rFonts w:ascii="Arial" w:hAnsi="Arial" w:cs="Arial"/>
          <w:sz w:val="24"/>
          <w:szCs w:val="24"/>
        </w:rPr>
        <w:t>Under the central scenario, it is estimated that the one-off familiarisation costs are £382</w:t>
      </w:r>
      <w:r w:rsidR="00FA470C">
        <w:rPr>
          <w:rFonts w:ascii="Arial" w:hAnsi="Arial" w:cs="Arial"/>
          <w:sz w:val="24"/>
          <w:szCs w:val="24"/>
        </w:rPr>
        <w:t>,000</w:t>
      </w:r>
      <w:r w:rsidRPr="00CC1E88">
        <w:rPr>
          <w:rFonts w:ascii="Arial" w:hAnsi="Arial" w:cs="Arial"/>
          <w:sz w:val="24"/>
          <w:szCs w:val="24"/>
        </w:rPr>
        <w:t>. The low and the high scenarios estimate the familiarisation cost to be £191</w:t>
      </w:r>
      <w:r w:rsidR="008B1A79">
        <w:rPr>
          <w:rFonts w:ascii="Arial" w:hAnsi="Arial" w:cs="Arial"/>
          <w:sz w:val="24"/>
          <w:szCs w:val="24"/>
        </w:rPr>
        <w:t xml:space="preserve">,000 </w:t>
      </w:r>
      <w:r w:rsidRPr="00CC1E88">
        <w:rPr>
          <w:rFonts w:ascii="Arial" w:hAnsi="Arial" w:cs="Arial"/>
          <w:sz w:val="24"/>
          <w:szCs w:val="24"/>
        </w:rPr>
        <w:t>and £573</w:t>
      </w:r>
      <w:r w:rsidR="008B1A79">
        <w:rPr>
          <w:rFonts w:ascii="Arial" w:hAnsi="Arial" w:cs="Arial"/>
          <w:sz w:val="24"/>
          <w:szCs w:val="24"/>
        </w:rPr>
        <w:t>,000</w:t>
      </w:r>
      <w:r w:rsidR="00D053BF" w:rsidRPr="00CC1E88">
        <w:rPr>
          <w:rFonts w:ascii="Arial" w:hAnsi="Arial" w:cs="Arial"/>
          <w:sz w:val="24"/>
          <w:szCs w:val="24"/>
        </w:rPr>
        <w:t xml:space="preserve"> </w:t>
      </w:r>
      <w:r w:rsidRPr="00CC1E88">
        <w:rPr>
          <w:rFonts w:ascii="Arial" w:hAnsi="Arial" w:cs="Arial"/>
          <w:sz w:val="24"/>
          <w:szCs w:val="24"/>
        </w:rPr>
        <w:t>respectively</w:t>
      </w:r>
      <w:r w:rsidR="008B1A79" w:rsidRPr="31FB7BBB">
        <w:rPr>
          <w:rStyle w:val="FootnoteReference"/>
          <w:rFonts w:ascii="Arial" w:hAnsi="Arial" w:cs="Arial"/>
        </w:rPr>
        <w:footnoteReference w:id="15"/>
      </w:r>
      <w:r w:rsidRPr="00CC1E88">
        <w:rPr>
          <w:rFonts w:ascii="Arial" w:hAnsi="Arial" w:cs="Arial"/>
          <w:sz w:val="24"/>
          <w:szCs w:val="24"/>
        </w:rPr>
        <w:t>.</w:t>
      </w:r>
    </w:p>
    <w:p w14:paraId="6D5C6A06" w14:textId="77777777" w:rsidR="00F413CB" w:rsidRDefault="00F413CB" w:rsidP="1D23BE35">
      <w:pPr>
        <w:keepNext/>
        <w:spacing w:after="0" w:line="276" w:lineRule="auto"/>
        <w:outlineLvl w:val="1"/>
        <w:rPr>
          <w:rFonts w:ascii="Arial" w:eastAsia="Times New Roman" w:hAnsi="Arial" w:cs="Arial"/>
          <w:color w:val="008938"/>
          <w:sz w:val="24"/>
          <w:szCs w:val="24"/>
        </w:rPr>
      </w:pPr>
    </w:p>
    <w:p w14:paraId="281E22FA" w14:textId="2D18867C" w:rsidR="00F413CB" w:rsidRDefault="00033687" w:rsidP="1D23BE35">
      <w:pPr>
        <w:keepNext/>
        <w:spacing w:after="0" w:line="276" w:lineRule="auto"/>
        <w:outlineLvl w:val="1"/>
        <w:rPr>
          <w:rFonts w:ascii="Arial" w:eastAsia="Times New Roman" w:hAnsi="Arial" w:cs="Arial"/>
          <w:color w:val="008938"/>
          <w:sz w:val="24"/>
          <w:szCs w:val="24"/>
        </w:rPr>
      </w:pPr>
      <w:r w:rsidRPr="1D23BE35">
        <w:rPr>
          <w:rFonts w:ascii="Arial" w:eastAsia="Times New Roman" w:hAnsi="Arial" w:cs="Arial"/>
          <w:color w:val="008938"/>
          <w:sz w:val="24"/>
          <w:szCs w:val="24"/>
        </w:rPr>
        <w:t xml:space="preserve">Table </w:t>
      </w:r>
      <w:r w:rsidRPr="1D23BE35">
        <w:rPr>
          <w:rFonts w:ascii="Arial" w:eastAsia="Times New Roman" w:hAnsi="Arial" w:cs="Arial"/>
          <w:color w:val="008938"/>
          <w:sz w:val="24"/>
          <w:szCs w:val="24"/>
        </w:rPr>
        <w:fldChar w:fldCharType="begin"/>
      </w:r>
      <w:r w:rsidRPr="1D23BE35">
        <w:rPr>
          <w:rFonts w:ascii="Arial" w:eastAsia="Times New Roman" w:hAnsi="Arial" w:cs="Arial"/>
          <w:color w:val="008938"/>
          <w:sz w:val="24"/>
          <w:szCs w:val="24"/>
        </w:rPr>
        <w:instrText xml:space="preserve"> SEQ Table \* ARABIC </w:instrText>
      </w:r>
      <w:r w:rsidRPr="1D23BE35">
        <w:rPr>
          <w:rFonts w:ascii="Arial" w:eastAsia="Times New Roman" w:hAnsi="Arial" w:cs="Arial"/>
          <w:color w:val="008938"/>
          <w:sz w:val="24"/>
          <w:szCs w:val="24"/>
        </w:rPr>
        <w:fldChar w:fldCharType="separate"/>
      </w:r>
      <w:r w:rsidRPr="1D23BE35">
        <w:rPr>
          <w:rFonts w:ascii="Arial" w:eastAsia="Times New Roman" w:hAnsi="Arial" w:cs="Arial"/>
          <w:color w:val="008938"/>
          <w:sz w:val="24"/>
          <w:szCs w:val="24"/>
        </w:rPr>
        <w:t>3</w:t>
      </w:r>
      <w:r w:rsidRPr="1D23BE35">
        <w:rPr>
          <w:rFonts w:ascii="Arial" w:eastAsia="Times New Roman" w:hAnsi="Arial" w:cs="Arial"/>
          <w:color w:val="008938"/>
          <w:sz w:val="24"/>
          <w:szCs w:val="24"/>
        </w:rPr>
        <w:fldChar w:fldCharType="end"/>
      </w:r>
      <w:r w:rsidRPr="72EDC5C0">
        <w:rPr>
          <w:rFonts w:ascii="Arial" w:eastAsia="Times New Roman" w:hAnsi="Arial" w:cs="Arial"/>
          <w:color w:val="70AD47" w:themeColor="accent6"/>
          <w:sz w:val="24"/>
          <w:szCs w:val="24"/>
        </w:rPr>
        <w:t>:</w:t>
      </w:r>
      <w:r w:rsidRPr="1D23BE35">
        <w:rPr>
          <w:rFonts w:ascii="Arial" w:eastAsia="Times New Roman" w:hAnsi="Arial" w:cs="Arial"/>
          <w:color w:val="008938"/>
          <w:sz w:val="24"/>
          <w:szCs w:val="24"/>
        </w:rPr>
        <w:t xml:space="preserve"> UK Familiarisation cost monetisation</w:t>
      </w:r>
    </w:p>
    <w:tbl>
      <w:tblPr>
        <w:tblStyle w:val="GridTable1Light-Accent6"/>
        <w:tblW w:w="11284" w:type="dxa"/>
        <w:jc w:val="center"/>
        <w:tblLook w:val="04A0" w:firstRow="1" w:lastRow="0" w:firstColumn="1" w:lastColumn="0" w:noHBand="0" w:noVBand="1"/>
      </w:tblPr>
      <w:tblGrid>
        <w:gridCol w:w="3105"/>
        <w:gridCol w:w="1530"/>
        <w:gridCol w:w="1110"/>
        <w:gridCol w:w="1730"/>
        <w:gridCol w:w="1849"/>
        <w:gridCol w:w="1960"/>
      </w:tblGrid>
      <w:tr w:rsidR="00E406C5" w:rsidRPr="00475A13" w14:paraId="6491AAAD" w14:textId="77777777" w:rsidTr="51CEEE03">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3105" w:type="dxa"/>
            <w:tcBorders>
              <w:top w:val="single" w:sz="12" w:space="0" w:color="70AD47" w:themeColor="accent6"/>
              <w:left w:val="single" w:sz="12" w:space="0" w:color="70AD47" w:themeColor="accent6"/>
            </w:tcBorders>
            <w:hideMark/>
          </w:tcPr>
          <w:p w14:paraId="7AF78BE1" w14:textId="77777777" w:rsidR="00E406C5" w:rsidRPr="00CC1E88" w:rsidRDefault="00E406C5">
            <w:pPr>
              <w:rPr>
                <w:rFonts w:ascii="Arial" w:hAnsi="Arial" w:cs="Arial"/>
                <w:color w:val="000000"/>
                <w:lang w:eastAsia="en-GB"/>
              </w:rPr>
            </w:pPr>
            <w:r w:rsidRPr="00CC1E88">
              <w:rPr>
                <w:rFonts w:ascii="Arial" w:hAnsi="Arial" w:cs="Arial"/>
                <w:color w:val="000000"/>
                <w:lang w:eastAsia="en-GB"/>
              </w:rPr>
              <w:t>SIC code &amp; Industry description</w:t>
            </w:r>
          </w:p>
        </w:tc>
        <w:tc>
          <w:tcPr>
            <w:tcW w:w="1530" w:type="dxa"/>
            <w:tcBorders>
              <w:top w:val="single" w:sz="12" w:space="0" w:color="70AD47" w:themeColor="accent6"/>
            </w:tcBorders>
            <w:hideMark/>
          </w:tcPr>
          <w:p w14:paraId="05BE3585" w14:textId="77777777" w:rsidR="00E406C5" w:rsidRPr="00CC1E88" w:rsidRDefault="00E406C5">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Number of businesses</w:t>
            </w:r>
          </w:p>
        </w:tc>
        <w:tc>
          <w:tcPr>
            <w:tcW w:w="1110" w:type="dxa"/>
            <w:tcBorders>
              <w:top w:val="single" w:sz="12" w:space="0" w:color="70AD47" w:themeColor="accent6"/>
            </w:tcBorders>
            <w:hideMark/>
          </w:tcPr>
          <w:p w14:paraId="6D17EFAD" w14:textId="77777777" w:rsidR="00E406C5" w:rsidRPr="00CC1E88" w:rsidRDefault="00E406C5">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Median hourly pay (£)</w:t>
            </w:r>
          </w:p>
        </w:tc>
        <w:tc>
          <w:tcPr>
            <w:tcW w:w="1730" w:type="dxa"/>
            <w:tcBorders>
              <w:top w:val="single" w:sz="12" w:space="0" w:color="70AD47" w:themeColor="accent6"/>
            </w:tcBorders>
            <w:hideMark/>
          </w:tcPr>
          <w:p w14:paraId="4A52C12C" w14:textId="77777777" w:rsidR="00E406C5" w:rsidRPr="00CC1E88" w:rsidRDefault="00E406C5">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Assumed familiarisation time</w:t>
            </w:r>
          </w:p>
        </w:tc>
        <w:tc>
          <w:tcPr>
            <w:tcW w:w="1849" w:type="dxa"/>
            <w:tcBorders>
              <w:top w:val="single" w:sz="12" w:space="0" w:color="70AD47" w:themeColor="accent6"/>
            </w:tcBorders>
            <w:hideMark/>
          </w:tcPr>
          <w:p w14:paraId="63C9A29A" w14:textId="77777777" w:rsidR="00E406C5" w:rsidRPr="00CC1E88" w:rsidRDefault="00E406C5">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Familiarisation cost</w:t>
            </w:r>
          </w:p>
        </w:tc>
        <w:tc>
          <w:tcPr>
            <w:tcW w:w="1960" w:type="dxa"/>
            <w:tcBorders>
              <w:top w:val="single" w:sz="12" w:space="0" w:color="70AD47" w:themeColor="accent6"/>
              <w:right w:val="single" w:sz="12" w:space="0" w:color="70AD47" w:themeColor="accent6"/>
            </w:tcBorders>
            <w:hideMark/>
          </w:tcPr>
          <w:p w14:paraId="496FE42F" w14:textId="77777777" w:rsidR="00E406C5" w:rsidRPr="00CC1E88" w:rsidRDefault="00E406C5">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non-labour wage adjusted (1.22 multiplier) familiarisation cost</w:t>
            </w:r>
          </w:p>
        </w:tc>
      </w:tr>
      <w:tr w:rsidR="00E406C5" w:rsidRPr="00475A13" w14:paraId="4B523736" w14:textId="77777777" w:rsidTr="51CEEE03">
        <w:trPr>
          <w:trHeight w:val="525"/>
          <w:jc w:val="center"/>
        </w:trPr>
        <w:tc>
          <w:tcPr>
            <w:cnfStyle w:val="001000000000" w:firstRow="0" w:lastRow="0" w:firstColumn="1" w:lastColumn="0" w:oddVBand="0" w:evenVBand="0" w:oddHBand="0" w:evenHBand="0" w:firstRowFirstColumn="0" w:firstRowLastColumn="0" w:lastRowFirstColumn="0" w:lastRowLastColumn="0"/>
            <w:tcW w:w="3105" w:type="dxa"/>
            <w:tcBorders>
              <w:left w:val="single" w:sz="12" w:space="0" w:color="70AD47" w:themeColor="accent6"/>
            </w:tcBorders>
            <w:hideMark/>
          </w:tcPr>
          <w:p w14:paraId="434D9340" w14:textId="77777777" w:rsidR="00E406C5" w:rsidRPr="00CC1E88" w:rsidRDefault="00E406C5">
            <w:pPr>
              <w:rPr>
                <w:rFonts w:ascii="Arial" w:hAnsi="Arial" w:cs="Arial"/>
                <w:sz w:val="20"/>
                <w:szCs w:val="20"/>
                <w:lang w:eastAsia="en-GB"/>
              </w:rPr>
            </w:pPr>
            <w:r w:rsidRPr="00CC1E88">
              <w:rPr>
                <w:rFonts w:ascii="Arial" w:hAnsi="Arial" w:cs="Arial"/>
                <w:sz w:val="20"/>
                <w:szCs w:val="20"/>
                <w:lang w:eastAsia="en-GB"/>
              </w:rPr>
              <w:t xml:space="preserve">2229: Manufacture of other plastic products </w:t>
            </w:r>
          </w:p>
        </w:tc>
        <w:tc>
          <w:tcPr>
            <w:tcW w:w="1530" w:type="dxa"/>
            <w:noWrap/>
            <w:hideMark/>
          </w:tcPr>
          <w:p w14:paraId="1216E761"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2,425</w:t>
            </w:r>
          </w:p>
        </w:tc>
        <w:tc>
          <w:tcPr>
            <w:tcW w:w="1110" w:type="dxa"/>
            <w:noWrap/>
            <w:hideMark/>
          </w:tcPr>
          <w:p w14:paraId="13B721A6"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£13.12</w:t>
            </w:r>
          </w:p>
        </w:tc>
        <w:tc>
          <w:tcPr>
            <w:tcW w:w="1730" w:type="dxa"/>
            <w:noWrap/>
            <w:hideMark/>
          </w:tcPr>
          <w:p w14:paraId="739293A0"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30 minutes</w:t>
            </w:r>
          </w:p>
        </w:tc>
        <w:tc>
          <w:tcPr>
            <w:tcW w:w="1849" w:type="dxa"/>
            <w:noWrap/>
            <w:hideMark/>
          </w:tcPr>
          <w:p w14:paraId="5936556A"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£15,908</w:t>
            </w:r>
          </w:p>
        </w:tc>
        <w:tc>
          <w:tcPr>
            <w:tcW w:w="1960" w:type="dxa"/>
            <w:tcBorders>
              <w:right w:val="single" w:sz="12" w:space="0" w:color="70AD47" w:themeColor="accent6"/>
            </w:tcBorders>
            <w:noWrap/>
            <w:hideMark/>
          </w:tcPr>
          <w:p w14:paraId="147799C1"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£19,408</w:t>
            </w:r>
          </w:p>
        </w:tc>
      </w:tr>
      <w:tr w:rsidR="00E406C5" w:rsidRPr="00475A13" w14:paraId="26DA0B61" w14:textId="77777777" w:rsidTr="51CEEE03">
        <w:trPr>
          <w:trHeight w:val="525"/>
          <w:jc w:val="center"/>
        </w:trPr>
        <w:tc>
          <w:tcPr>
            <w:cnfStyle w:val="001000000000" w:firstRow="0" w:lastRow="0" w:firstColumn="1" w:lastColumn="0" w:oddVBand="0" w:evenVBand="0" w:oddHBand="0" w:evenHBand="0" w:firstRowFirstColumn="0" w:firstRowLastColumn="0" w:lastRowFirstColumn="0" w:lastRowLastColumn="0"/>
            <w:tcW w:w="3105" w:type="dxa"/>
            <w:tcBorders>
              <w:left w:val="single" w:sz="12" w:space="0" w:color="70AD47" w:themeColor="accent6"/>
            </w:tcBorders>
            <w:hideMark/>
          </w:tcPr>
          <w:p w14:paraId="2C1CF201" w14:textId="77777777" w:rsidR="00E406C5" w:rsidRPr="00CC1E88" w:rsidRDefault="00E406C5">
            <w:pPr>
              <w:rPr>
                <w:rFonts w:ascii="Arial" w:hAnsi="Arial" w:cs="Arial"/>
                <w:sz w:val="20"/>
                <w:szCs w:val="20"/>
                <w:lang w:eastAsia="en-GB"/>
              </w:rPr>
            </w:pPr>
            <w:r w:rsidRPr="00CC1E88">
              <w:rPr>
                <w:rFonts w:ascii="Arial" w:hAnsi="Arial" w:cs="Arial"/>
                <w:sz w:val="20"/>
                <w:szCs w:val="20"/>
                <w:lang w:eastAsia="en-GB"/>
              </w:rPr>
              <w:t xml:space="preserve">4649: Wholesale of other household goods </w:t>
            </w:r>
          </w:p>
        </w:tc>
        <w:tc>
          <w:tcPr>
            <w:tcW w:w="1530" w:type="dxa"/>
            <w:noWrap/>
            <w:hideMark/>
          </w:tcPr>
          <w:p w14:paraId="6D7CCC9A"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5,000</w:t>
            </w:r>
          </w:p>
        </w:tc>
        <w:tc>
          <w:tcPr>
            <w:tcW w:w="1110" w:type="dxa"/>
            <w:noWrap/>
            <w:hideMark/>
          </w:tcPr>
          <w:p w14:paraId="67C231A5"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£13.52</w:t>
            </w:r>
          </w:p>
        </w:tc>
        <w:tc>
          <w:tcPr>
            <w:tcW w:w="1730" w:type="dxa"/>
            <w:noWrap/>
            <w:hideMark/>
          </w:tcPr>
          <w:p w14:paraId="1FF770F8"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30 minutes</w:t>
            </w:r>
          </w:p>
        </w:tc>
        <w:tc>
          <w:tcPr>
            <w:tcW w:w="1849" w:type="dxa"/>
            <w:noWrap/>
            <w:hideMark/>
          </w:tcPr>
          <w:p w14:paraId="72B58E64"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£33,800</w:t>
            </w:r>
          </w:p>
        </w:tc>
        <w:tc>
          <w:tcPr>
            <w:tcW w:w="1960" w:type="dxa"/>
            <w:tcBorders>
              <w:right w:val="single" w:sz="12" w:space="0" w:color="70AD47" w:themeColor="accent6"/>
            </w:tcBorders>
            <w:noWrap/>
            <w:hideMark/>
          </w:tcPr>
          <w:p w14:paraId="3A248A4A"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£41,236</w:t>
            </w:r>
          </w:p>
        </w:tc>
      </w:tr>
      <w:tr w:rsidR="00E406C5" w:rsidRPr="00475A13" w14:paraId="171A9B32" w14:textId="77777777" w:rsidTr="51CEEE03">
        <w:trPr>
          <w:trHeight w:val="780"/>
          <w:jc w:val="center"/>
        </w:trPr>
        <w:tc>
          <w:tcPr>
            <w:cnfStyle w:val="001000000000" w:firstRow="0" w:lastRow="0" w:firstColumn="1" w:lastColumn="0" w:oddVBand="0" w:evenVBand="0" w:oddHBand="0" w:evenHBand="0" w:firstRowFirstColumn="0" w:firstRowLastColumn="0" w:lastRowFirstColumn="0" w:lastRowLastColumn="0"/>
            <w:tcW w:w="3105" w:type="dxa"/>
            <w:tcBorders>
              <w:left w:val="single" w:sz="12" w:space="0" w:color="70AD47" w:themeColor="accent6"/>
            </w:tcBorders>
            <w:hideMark/>
          </w:tcPr>
          <w:p w14:paraId="15F3618E" w14:textId="77777777" w:rsidR="00E406C5" w:rsidRPr="00CC1E88" w:rsidRDefault="00E406C5">
            <w:pPr>
              <w:rPr>
                <w:rFonts w:ascii="Arial" w:hAnsi="Arial" w:cs="Arial"/>
                <w:sz w:val="20"/>
                <w:szCs w:val="20"/>
                <w:lang w:eastAsia="en-GB"/>
              </w:rPr>
            </w:pPr>
            <w:r w:rsidRPr="00CC1E88">
              <w:rPr>
                <w:rFonts w:ascii="Arial" w:hAnsi="Arial" w:cs="Arial"/>
                <w:sz w:val="20"/>
                <w:szCs w:val="20"/>
                <w:lang w:eastAsia="en-GB"/>
              </w:rPr>
              <w:t xml:space="preserve">4673: Wholesale of wood, construction materials and sanitary equipment  </w:t>
            </w:r>
          </w:p>
        </w:tc>
        <w:tc>
          <w:tcPr>
            <w:tcW w:w="1530" w:type="dxa"/>
            <w:noWrap/>
            <w:hideMark/>
          </w:tcPr>
          <w:p w14:paraId="34F24BD8"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5,345</w:t>
            </w:r>
          </w:p>
        </w:tc>
        <w:tc>
          <w:tcPr>
            <w:tcW w:w="1110" w:type="dxa"/>
            <w:noWrap/>
            <w:hideMark/>
          </w:tcPr>
          <w:p w14:paraId="4E546D57"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£12.63</w:t>
            </w:r>
          </w:p>
        </w:tc>
        <w:tc>
          <w:tcPr>
            <w:tcW w:w="1730" w:type="dxa"/>
            <w:noWrap/>
            <w:hideMark/>
          </w:tcPr>
          <w:p w14:paraId="17F39493"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30 minutes</w:t>
            </w:r>
          </w:p>
        </w:tc>
        <w:tc>
          <w:tcPr>
            <w:tcW w:w="1849" w:type="dxa"/>
            <w:noWrap/>
            <w:hideMark/>
          </w:tcPr>
          <w:p w14:paraId="76978971"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£33,754</w:t>
            </w:r>
          </w:p>
        </w:tc>
        <w:tc>
          <w:tcPr>
            <w:tcW w:w="1960" w:type="dxa"/>
            <w:tcBorders>
              <w:right w:val="single" w:sz="12" w:space="0" w:color="70AD47" w:themeColor="accent6"/>
            </w:tcBorders>
            <w:noWrap/>
            <w:hideMark/>
          </w:tcPr>
          <w:p w14:paraId="2E809D2D"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£41,179</w:t>
            </w:r>
          </w:p>
        </w:tc>
      </w:tr>
      <w:tr w:rsidR="00E406C5" w:rsidRPr="00475A13" w14:paraId="509803DD" w14:textId="77777777" w:rsidTr="51CEEE03">
        <w:trPr>
          <w:trHeight w:val="780"/>
          <w:jc w:val="center"/>
        </w:trPr>
        <w:tc>
          <w:tcPr>
            <w:cnfStyle w:val="001000000000" w:firstRow="0" w:lastRow="0" w:firstColumn="1" w:lastColumn="0" w:oddVBand="0" w:evenVBand="0" w:oddHBand="0" w:evenHBand="0" w:firstRowFirstColumn="0" w:firstRowLastColumn="0" w:lastRowFirstColumn="0" w:lastRowLastColumn="0"/>
            <w:tcW w:w="3105" w:type="dxa"/>
            <w:tcBorders>
              <w:left w:val="single" w:sz="12" w:space="0" w:color="70AD47" w:themeColor="accent6"/>
            </w:tcBorders>
            <w:hideMark/>
          </w:tcPr>
          <w:p w14:paraId="72C08A74" w14:textId="77777777" w:rsidR="00E406C5" w:rsidRPr="00CC1E88" w:rsidRDefault="00E406C5">
            <w:pPr>
              <w:rPr>
                <w:rFonts w:ascii="Arial" w:hAnsi="Arial" w:cs="Arial"/>
                <w:sz w:val="20"/>
                <w:szCs w:val="20"/>
                <w:lang w:eastAsia="en-GB"/>
              </w:rPr>
            </w:pPr>
            <w:r w:rsidRPr="00CC1E88">
              <w:rPr>
                <w:rFonts w:ascii="Arial" w:hAnsi="Arial" w:cs="Arial"/>
                <w:sz w:val="20"/>
                <w:szCs w:val="20"/>
                <w:lang w:eastAsia="en-GB"/>
              </w:rPr>
              <w:t xml:space="preserve">4711: Retail sale in non-specialised stores with food, beverages or tobacco predominating </w:t>
            </w:r>
          </w:p>
        </w:tc>
        <w:tc>
          <w:tcPr>
            <w:tcW w:w="1530" w:type="dxa"/>
            <w:noWrap/>
            <w:hideMark/>
          </w:tcPr>
          <w:p w14:paraId="5F8C744F"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32,715</w:t>
            </w:r>
          </w:p>
        </w:tc>
        <w:tc>
          <w:tcPr>
            <w:tcW w:w="1110" w:type="dxa"/>
            <w:noWrap/>
            <w:hideMark/>
          </w:tcPr>
          <w:p w14:paraId="2A56D165"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£10.77</w:t>
            </w:r>
          </w:p>
        </w:tc>
        <w:tc>
          <w:tcPr>
            <w:tcW w:w="1730" w:type="dxa"/>
            <w:noWrap/>
            <w:hideMark/>
          </w:tcPr>
          <w:p w14:paraId="5FABC93C"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30 minutes</w:t>
            </w:r>
          </w:p>
        </w:tc>
        <w:tc>
          <w:tcPr>
            <w:tcW w:w="1849" w:type="dxa"/>
            <w:noWrap/>
            <w:hideMark/>
          </w:tcPr>
          <w:p w14:paraId="5C53EFD1"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£176,170</w:t>
            </w:r>
          </w:p>
        </w:tc>
        <w:tc>
          <w:tcPr>
            <w:tcW w:w="1960" w:type="dxa"/>
            <w:tcBorders>
              <w:right w:val="single" w:sz="12" w:space="0" w:color="70AD47" w:themeColor="accent6"/>
            </w:tcBorders>
            <w:noWrap/>
            <w:hideMark/>
          </w:tcPr>
          <w:p w14:paraId="1B2409C8"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£214,928</w:t>
            </w:r>
          </w:p>
        </w:tc>
      </w:tr>
      <w:tr w:rsidR="00E406C5" w:rsidRPr="00475A13" w14:paraId="30C30936" w14:textId="77777777" w:rsidTr="51CEEE03">
        <w:trPr>
          <w:trHeight w:val="525"/>
          <w:jc w:val="center"/>
        </w:trPr>
        <w:tc>
          <w:tcPr>
            <w:cnfStyle w:val="001000000000" w:firstRow="0" w:lastRow="0" w:firstColumn="1" w:lastColumn="0" w:oddVBand="0" w:evenVBand="0" w:oddHBand="0" w:evenHBand="0" w:firstRowFirstColumn="0" w:firstRowLastColumn="0" w:lastRowFirstColumn="0" w:lastRowLastColumn="0"/>
            <w:tcW w:w="3105" w:type="dxa"/>
            <w:tcBorders>
              <w:left w:val="single" w:sz="12" w:space="0" w:color="70AD47" w:themeColor="accent6"/>
            </w:tcBorders>
            <w:hideMark/>
          </w:tcPr>
          <w:p w14:paraId="72D916B0" w14:textId="77777777" w:rsidR="00E406C5" w:rsidRPr="00CC1E88" w:rsidRDefault="00E406C5">
            <w:pPr>
              <w:rPr>
                <w:rFonts w:ascii="Arial" w:hAnsi="Arial" w:cs="Arial"/>
                <w:sz w:val="20"/>
                <w:szCs w:val="20"/>
                <w:lang w:eastAsia="en-GB"/>
              </w:rPr>
            </w:pPr>
            <w:r w:rsidRPr="00CC1E88">
              <w:rPr>
                <w:rFonts w:ascii="Arial" w:hAnsi="Arial" w:cs="Arial"/>
                <w:sz w:val="20"/>
                <w:szCs w:val="20"/>
                <w:lang w:eastAsia="en-GB"/>
              </w:rPr>
              <w:lastRenderedPageBreak/>
              <w:t xml:space="preserve">4719: Other retail sale in non-specialised stores  </w:t>
            </w:r>
          </w:p>
        </w:tc>
        <w:tc>
          <w:tcPr>
            <w:tcW w:w="1530" w:type="dxa"/>
            <w:noWrap/>
            <w:hideMark/>
          </w:tcPr>
          <w:p w14:paraId="0D48633D"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7,935</w:t>
            </w:r>
          </w:p>
        </w:tc>
        <w:tc>
          <w:tcPr>
            <w:tcW w:w="1110" w:type="dxa"/>
            <w:noWrap/>
            <w:hideMark/>
          </w:tcPr>
          <w:p w14:paraId="2D13D408"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£10.50</w:t>
            </w:r>
          </w:p>
        </w:tc>
        <w:tc>
          <w:tcPr>
            <w:tcW w:w="1730" w:type="dxa"/>
            <w:noWrap/>
            <w:hideMark/>
          </w:tcPr>
          <w:p w14:paraId="6CBA0B93"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30 minutes</w:t>
            </w:r>
          </w:p>
        </w:tc>
        <w:tc>
          <w:tcPr>
            <w:tcW w:w="1849" w:type="dxa"/>
            <w:noWrap/>
            <w:hideMark/>
          </w:tcPr>
          <w:p w14:paraId="385AE9FC"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£41,659</w:t>
            </w:r>
          </w:p>
        </w:tc>
        <w:tc>
          <w:tcPr>
            <w:tcW w:w="1960" w:type="dxa"/>
            <w:tcBorders>
              <w:right w:val="single" w:sz="12" w:space="0" w:color="70AD47" w:themeColor="accent6"/>
            </w:tcBorders>
            <w:noWrap/>
            <w:hideMark/>
          </w:tcPr>
          <w:p w14:paraId="12CF2B76"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£50,824</w:t>
            </w:r>
          </w:p>
        </w:tc>
      </w:tr>
      <w:tr w:rsidR="00E406C5" w:rsidRPr="00475A13" w14:paraId="14C75E8E" w14:textId="77777777" w:rsidTr="51CEEE03">
        <w:trPr>
          <w:trHeight w:val="795"/>
          <w:jc w:val="center"/>
        </w:trPr>
        <w:tc>
          <w:tcPr>
            <w:cnfStyle w:val="001000000000" w:firstRow="0" w:lastRow="0" w:firstColumn="1" w:lastColumn="0" w:oddVBand="0" w:evenVBand="0" w:oddHBand="0" w:evenHBand="0" w:firstRowFirstColumn="0" w:firstRowLastColumn="0" w:lastRowFirstColumn="0" w:lastRowLastColumn="0"/>
            <w:tcW w:w="3105" w:type="dxa"/>
            <w:tcBorders>
              <w:left w:val="single" w:sz="12" w:space="0" w:color="70AD47" w:themeColor="accent6"/>
              <w:bottom w:val="single" w:sz="12" w:space="0" w:color="70AD47" w:themeColor="accent6"/>
            </w:tcBorders>
            <w:hideMark/>
          </w:tcPr>
          <w:p w14:paraId="45453110" w14:textId="77777777" w:rsidR="00E406C5" w:rsidRPr="00CC1E88" w:rsidRDefault="00E406C5">
            <w:pPr>
              <w:rPr>
                <w:rFonts w:ascii="Arial" w:hAnsi="Arial" w:cs="Arial"/>
                <w:sz w:val="20"/>
                <w:szCs w:val="20"/>
                <w:lang w:eastAsia="en-GB"/>
              </w:rPr>
            </w:pPr>
            <w:r w:rsidRPr="00CC1E88">
              <w:rPr>
                <w:rFonts w:ascii="Arial" w:hAnsi="Arial" w:cs="Arial"/>
                <w:sz w:val="20"/>
                <w:szCs w:val="20"/>
                <w:lang w:eastAsia="en-GB"/>
              </w:rPr>
              <w:t xml:space="preserve">4775: Retail sale of medical and orthopaedic goods in specialised stores </w:t>
            </w:r>
          </w:p>
        </w:tc>
        <w:tc>
          <w:tcPr>
            <w:tcW w:w="1530" w:type="dxa"/>
            <w:tcBorders>
              <w:bottom w:val="single" w:sz="12" w:space="0" w:color="70AD47" w:themeColor="accent6"/>
            </w:tcBorders>
            <w:noWrap/>
            <w:hideMark/>
          </w:tcPr>
          <w:p w14:paraId="0A78017E"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1,775</w:t>
            </w:r>
          </w:p>
        </w:tc>
        <w:tc>
          <w:tcPr>
            <w:tcW w:w="1110" w:type="dxa"/>
            <w:tcBorders>
              <w:bottom w:val="single" w:sz="12" w:space="0" w:color="70AD47" w:themeColor="accent6"/>
            </w:tcBorders>
            <w:noWrap/>
            <w:hideMark/>
          </w:tcPr>
          <w:p w14:paraId="38DDE79C"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£13.61</w:t>
            </w:r>
          </w:p>
        </w:tc>
        <w:tc>
          <w:tcPr>
            <w:tcW w:w="1730" w:type="dxa"/>
            <w:tcBorders>
              <w:bottom w:val="single" w:sz="12" w:space="0" w:color="70AD47" w:themeColor="accent6"/>
            </w:tcBorders>
            <w:noWrap/>
            <w:hideMark/>
          </w:tcPr>
          <w:p w14:paraId="340B254A"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30 minutes</w:t>
            </w:r>
          </w:p>
        </w:tc>
        <w:tc>
          <w:tcPr>
            <w:tcW w:w="1849" w:type="dxa"/>
            <w:tcBorders>
              <w:bottom w:val="single" w:sz="12" w:space="0" w:color="70AD47" w:themeColor="accent6"/>
            </w:tcBorders>
            <w:noWrap/>
            <w:hideMark/>
          </w:tcPr>
          <w:p w14:paraId="2AA244A7"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£12,079</w:t>
            </w:r>
          </w:p>
        </w:tc>
        <w:tc>
          <w:tcPr>
            <w:tcW w:w="1960" w:type="dxa"/>
            <w:tcBorders>
              <w:bottom w:val="single" w:sz="12" w:space="0" w:color="70AD47" w:themeColor="accent6"/>
              <w:right w:val="single" w:sz="12" w:space="0" w:color="70AD47" w:themeColor="accent6"/>
            </w:tcBorders>
            <w:noWrap/>
            <w:hideMark/>
          </w:tcPr>
          <w:p w14:paraId="2E307A0F" w14:textId="77777777" w:rsidR="00E406C5" w:rsidRPr="00CC1E8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£14,736</w:t>
            </w:r>
          </w:p>
        </w:tc>
      </w:tr>
      <w:tr w:rsidR="00E406C5" w:rsidRPr="00B12378" w14:paraId="3EFEFB8D" w14:textId="77777777" w:rsidTr="51CEEE03">
        <w:trPr>
          <w:trHeight w:val="315"/>
          <w:jc w:val="center"/>
        </w:trPr>
        <w:tc>
          <w:tcPr>
            <w:cnfStyle w:val="001000000000" w:firstRow="0" w:lastRow="0" w:firstColumn="1" w:lastColumn="0" w:oddVBand="0" w:evenVBand="0" w:oddHBand="0" w:evenHBand="0" w:firstRowFirstColumn="0" w:firstRowLastColumn="0" w:lastRowFirstColumn="0" w:lastRowLastColumn="0"/>
            <w:tcW w:w="3105" w:type="dxa"/>
            <w:tcBorders>
              <w:top w:val="single" w:sz="12" w:space="0" w:color="70AD47" w:themeColor="accent6"/>
              <w:left w:val="single" w:sz="12" w:space="0" w:color="70AD47" w:themeColor="accent6"/>
              <w:bottom w:val="single" w:sz="12" w:space="0" w:color="70AD47" w:themeColor="accent6"/>
            </w:tcBorders>
            <w:noWrap/>
            <w:hideMark/>
          </w:tcPr>
          <w:p w14:paraId="3F831D8A" w14:textId="77777777" w:rsidR="00E406C5" w:rsidRPr="00CC1E88" w:rsidRDefault="00E406C5">
            <w:pPr>
              <w:jc w:val="right"/>
              <w:rPr>
                <w:rFonts w:ascii="Arial" w:hAnsi="Arial" w:cs="Arial"/>
                <w:color w:val="000000"/>
                <w:lang w:eastAsia="en-GB"/>
              </w:rPr>
            </w:pPr>
          </w:p>
        </w:tc>
        <w:tc>
          <w:tcPr>
            <w:tcW w:w="1530" w:type="dxa"/>
            <w:tcBorders>
              <w:top w:val="single" w:sz="12" w:space="0" w:color="70AD47" w:themeColor="accent6"/>
              <w:bottom w:val="single" w:sz="12" w:space="0" w:color="70AD47" w:themeColor="accent6"/>
            </w:tcBorders>
            <w:noWrap/>
            <w:hideMark/>
          </w:tcPr>
          <w:p w14:paraId="24111A91" w14:textId="77777777" w:rsidR="00E406C5" w:rsidRPr="00CC1E88" w:rsidRDefault="00E406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c>
          <w:tcPr>
            <w:tcW w:w="1110" w:type="dxa"/>
            <w:tcBorders>
              <w:top w:val="single" w:sz="12" w:space="0" w:color="70AD47" w:themeColor="accent6"/>
              <w:bottom w:val="single" w:sz="12" w:space="0" w:color="70AD47" w:themeColor="accent6"/>
            </w:tcBorders>
            <w:noWrap/>
            <w:hideMark/>
          </w:tcPr>
          <w:p w14:paraId="3F34E193" w14:textId="77777777" w:rsidR="00E406C5" w:rsidRPr="00CC1E88" w:rsidRDefault="00E406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c>
          <w:tcPr>
            <w:tcW w:w="1730" w:type="dxa"/>
            <w:tcBorders>
              <w:top w:val="single" w:sz="12" w:space="0" w:color="70AD47" w:themeColor="accent6"/>
              <w:bottom w:val="single" w:sz="12" w:space="0" w:color="70AD47" w:themeColor="accent6"/>
            </w:tcBorders>
            <w:noWrap/>
            <w:hideMark/>
          </w:tcPr>
          <w:p w14:paraId="6ABEA761" w14:textId="77777777" w:rsidR="00E406C5" w:rsidRPr="00CC1E88" w:rsidRDefault="00E406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c>
          <w:tcPr>
            <w:tcW w:w="1849" w:type="dxa"/>
            <w:tcBorders>
              <w:top w:val="single" w:sz="12" w:space="0" w:color="70AD47" w:themeColor="accent6"/>
              <w:bottom w:val="single" w:sz="12" w:space="0" w:color="70AD47" w:themeColor="accent6"/>
            </w:tcBorders>
            <w:noWrap/>
            <w:hideMark/>
          </w:tcPr>
          <w:p w14:paraId="2F28326B" w14:textId="77777777" w:rsidR="00E406C5" w:rsidRPr="00CC1E88" w:rsidRDefault="00E406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c>
          <w:tcPr>
            <w:tcW w:w="1960" w:type="dxa"/>
            <w:tcBorders>
              <w:top w:val="single" w:sz="12" w:space="0" w:color="70AD47" w:themeColor="accent6"/>
              <w:bottom w:val="single" w:sz="12" w:space="0" w:color="70AD47" w:themeColor="accent6"/>
              <w:right w:val="single" w:sz="12" w:space="0" w:color="70AD47" w:themeColor="accent6"/>
            </w:tcBorders>
            <w:noWrap/>
            <w:hideMark/>
          </w:tcPr>
          <w:p w14:paraId="34230837" w14:textId="77777777" w:rsidR="00E406C5" w:rsidRPr="00B12378" w:rsidRDefault="00E406C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CC1E88">
              <w:rPr>
                <w:rFonts w:ascii="Arial" w:hAnsi="Arial" w:cs="Arial"/>
                <w:color w:val="000000"/>
                <w:lang w:eastAsia="en-GB"/>
              </w:rPr>
              <w:t>£382,311</w:t>
            </w:r>
          </w:p>
        </w:tc>
      </w:tr>
    </w:tbl>
    <w:p w14:paraId="2E8B121E" w14:textId="77777777" w:rsidR="006132C3" w:rsidRDefault="006132C3" w:rsidP="00A82E99">
      <w:pPr>
        <w:keepNext/>
        <w:spacing w:after="0" w:line="276" w:lineRule="auto"/>
        <w:outlineLvl w:val="1"/>
        <w:rPr>
          <w:rFonts w:ascii="Arial" w:eastAsia="Times New Roman" w:hAnsi="Arial" w:cs="Arial"/>
          <w:color w:val="008938"/>
          <w:sz w:val="24"/>
          <w:szCs w:val="24"/>
        </w:rPr>
      </w:pPr>
    </w:p>
    <w:p w14:paraId="00E1E644" w14:textId="77777777" w:rsidR="005A1288" w:rsidRPr="003B47C2" w:rsidRDefault="005A1288" w:rsidP="003B47C2">
      <w:pPr>
        <w:rPr>
          <w:rFonts w:ascii="Arial" w:hAnsi="Arial" w:cs="Arial"/>
          <w:sz w:val="24"/>
          <w:szCs w:val="24"/>
        </w:rPr>
      </w:pPr>
    </w:p>
    <w:p w14:paraId="4D37F60B" w14:textId="657103CD" w:rsidR="00F87F8B" w:rsidRPr="007A518A" w:rsidRDefault="00F87F8B" w:rsidP="00F87F8B">
      <w:pPr>
        <w:rPr>
          <w:rFonts w:ascii="Arial" w:hAnsi="Arial" w:cs="Arial"/>
          <w:b/>
          <w:sz w:val="24"/>
          <w:szCs w:val="24"/>
        </w:rPr>
      </w:pPr>
      <w:r w:rsidRPr="007A518A">
        <w:rPr>
          <w:rFonts w:ascii="Arial" w:hAnsi="Arial" w:cs="Arial"/>
          <w:b/>
          <w:sz w:val="24"/>
          <w:szCs w:val="24"/>
        </w:rPr>
        <w:t xml:space="preserve">Estimating total revenue for </w:t>
      </w:r>
      <w:r w:rsidR="0034262A">
        <w:rPr>
          <w:rFonts w:ascii="Arial" w:hAnsi="Arial" w:cs="Arial"/>
          <w:b/>
          <w:sz w:val="24"/>
          <w:szCs w:val="24"/>
        </w:rPr>
        <w:t>the UK</w:t>
      </w:r>
      <w:r w:rsidR="0034262A" w:rsidRPr="007A518A">
        <w:rPr>
          <w:rFonts w:ascii="Arial" w:hAnsi="Arial" w:cs="Arial"/>
          <w:b/>
          <w:sz w:val="24"/>
          <w:szCs w:val="24"/>
        </w:rPr>
        <w:t xml:space="preserve">’s </w:t>
      </w:r>
      <w:r w:rsidRPr="007A518A">
        <w:rPr>
          <w:rFonts w:ascii="Arial" w:hAnsi="Arial" w:cs="Arial"/>
          <w:b/>
          <w:sz w:val="24"/>
          <w:szCs w:val="24"/>
        </w:rPr>
        <w:t>wet wipe retail market</w:t>
      </w:r>
    </w:p>
    <w:p w14:paraId="1AA7AC0C" w14:textId="25041F1D" w:rsidR="004A633D" w:rsidRPr="00B51046" w:rsidRDefault="00F87F8B" w:rsidP="57BBFA1E">
      <w:pPr>
        <w:pStyle w:val="ListParagraph"/>
        <w:numPr>
          <w:ilvl w:val="0"/>
          <w:numId w:val="5"/>
        </w:numPr>
        <w:spacing w:after="0"/>
        <w:ind w:left="426"/>
        <w:rPr>
          <w:rFonts w:ascii="Arial" w:hAnsi="Arial" w:cs="Arial"/>
          <w:sz w:val="24"/>
          <w:szCs w:val="24"/>
        </w:rPr>
      </w:pPr>
      <w:r w:rsidRPr="007A518A">
        <w:rPr>
          <w:rFonts w:ascii="Arial" w:hAnsi="Arial" w:cs="Arial"/>
          <w:sz w:val="24"/>
          <w:szCs w:val="24"/>
        </w:rPr>
        <w:t xml:space="preserve">The </w:t>
      </w:r>
      <w:r w:rsidR="008D463A">
        <w:rPr>
          <w:rFonts w:ascii="Arial" w:hAnsi="Arial" w:cs="Arial"/>
          <w:sz w:val="24"/>
          <w:szCs w:val="24"/>
        </w:rPr>
        <w:t>UK retail revenue of wet wipes produced domestically</w:t>
      </w:r>
      <w:r w:rsidRPr="007A518A">
        <w:rPr>
          <w:rFonts w:ascii="Arial" w:hAnsi="Arial" w:cs="Arial"/>
          <w:sz w:val="24"/>
          <w:szCs w:val="24"/>
        </w:rPr>
        <w:t xml:space="preserve"> can be estimated using the total individual wet wipes placed on the market </w:t>
      </w:r>
      <w:r w:rsidR="004A633D">
        <w:rPr>
          <w:rFonts w:ascii="Arial" w:hAnsi="Arial" w:cs="Arial"/>
          <w:sz w:val="24"/>
          <w:szCs w:val="24"/>
        </w:rPr>
        <w:t xml:space="preserve">that were produced domestically </w:t>
      </w:r>
      <w:r w:rsidRPr="007A518A">
        <w:rPr>
          <w:rFonts w:ascii="Arial" w:hAnsi="Arial" w:cs="Arial"/>
          <w:sz w:val="24"/>
          <w:szCs w:val="24"/>
        </w:rPr>
        <w:t>multiplied by the unit price.</w:t>
      </w:r>
    </w:p>
    <w:p w14:paraId="553AC4C2" w14:textId="522E80BA" w:rsidR="004A633D" w:rsidRDefault="004A633D" w:rsidP="5EB49448">
      <w:pPr>
        <w:spacing w:after="0"/>
        <w:rPr>
          <w:rFonts w:ascii="Arial" w:hAnsi="Arial" w:cs="Arial"/>
          <w:sz w:val="24"/>
          <w:szCs w:val="24"/>
        </w:rPr>
      </w:pPr>
    </w:p>
    <w:p w14:paraId="736E38E3" w14:textId="6BAEDA93" w:rsidR="004A633D" w:rsidRPr="00B51046" w:rsidRDefault="004A633D" w:rsidP="004A633D">
      <w:pPr>
        <w:pStyle w:val="ListParagraph"/>
        <w:numPr>
          <w:ilvl w:val="0"/>
          <w:numId w:val="5"/>
        </w:numPr>
        <w:ind w:left="426"/>
        <w:rPr>
          <w:rFonts w:ascii="Arial" w:hAnsi="Arial" w:cs="Arial"/>
          <w:sz w:val="24"/>
          <w:szCs w:val="24"/>
        </w:rPr>
      </w:pPr>
      <w:r w:rsidRPr="00B51046">
        <w:rPr>
          <w:rFonts w:ascii="Arial" w:hAnsi="Arial" w:cs="Arial"/>
          <w:sz w:val="24"/>
          <w:szCs w:val="24"/>
        </w:rPr>
        <w:t>Defra has calculated the number of wet wipes placed on the market that were produced domestically in the UK by adjusting Valpak’s total wet wipes placed on the market figure by Valpak’s estimates for the UK’s net trade of wet wipes.</w:t>
      </w:r>
    </w:p>
    <w:p w14:paraId="07386530" w14:textId="042C0769" w:rsidR="009B463B" w:rsidRPr="007A518A" w:rsidRDefault="009B463B" w:rsidP="007A518A">
      <w:pPr>
        <w:pStyle w:val="ListParagraph"/>
        <w:ind w:left="426"/>
        <w:rPr>
          <w:rFonts w:ascii="Arial" w:hAnsi="Arial" w:cs="Arial"/>
          <w:sz w:val="24"/>
          <w:szCs w:val="24"/>
        </w:rPr>
      </w:pPr>
    </w:p>
    <w:p w14:paraId="37DEA257" w14:textId="77952F57" w:rsidR="00033687" w:rsidRPr="00197193" w:rsidRDefault="00F87F8B" w:rsidP="00197193">
      <w:pPr>
        <w:pStyle w:val="ListParagraph"/>
        <w:numPr>
          <w:ilvl w:val="0"/>
          <w:numId w:val="5"/>
        </w:numPr>
        <w:ind w:left="426" w:hanging="426"/>
        <w:rPr>
          <w:rFonts w:ascii="Arial" w:hAnsi="Arial" w:cs="Arial"/>
          <w:sz w:val="24"/>
          <w:szCs w:val="24"/>
        </w:rPr>
      </w:pPr>
      <w:r w:rsidRPr="007A518A">
        <w:rPr>
          <w:rFonts w:ascii="Arial" w:hAnsi="Arial" w:cs="Arial"/>
          <w:sz w:val="24"/>
          <w:szCs w:val="24"/>
        </w:rPr>
        <w:t xml:space="preserve">The total units placed on the market by category is multiplied by the price by category to estimate UK wet wipes retail revenue (table </w:t>
      </w:r>
      <w:r w:rsidR="004B20E4">
        <w:rPr>
          <w:rFonts w:ascii="Arial" w:hAnsi="Arial" w:cs="Arial"/>
          <w:sz w:val="24"/>
          <w:szCs w:val="24"/>
        </w:rPr>
        <w:t>4</w:t>
      </w:r>
      <w:r w:rsidRPr="007A518A">
        <w:rPr>
          <w:rFonts w:ascii="Arial" w:hAnsi="Arial" w:cs="Arial"/>
          <w:sz w:val="24"/>
          <w:szCs w:val="24"/>
        </w:rPr>
        <w:t xml:space="preserve">). The low and the high scenario are </w:t>
      </w:r>
      <w:r w:rsidR="004A633D" w:rsidRPr="007A518A">
        <w:rPr>
          <w:rFonts w:ascii="Arial" w:hAnsi="Arial" w:cs="Arial"/>
          <w:sz w:val="24"/>
          <w:szCs w:val="24"/>
        </w:rPr>
        <w:t>calculated</w:t>
      </w:r>
      <w:r w:rsidRPr="007A518A">
        <w:rPr>
          <w:rFonts w:ascii="Arial" w:hAnsi="Arial" w:cs="Arial"/>
          <w:sz w:val="24"/>
          <w:szCs w:val="24"/>
        </w:rPr>
        <w:t xml:space="preserve"> using the minimum and maximum price by wipe respectively. The central estimate is the midpoint of the low and high estimate. </w:t>
      </w:r>
      <w:r w:rsidR="00A7616A" w:rsidRPr="007A518A">
        <w:rPr>
          <w:rFonts w:ascii="Arial" w:hAnsi="Arial" w:cs="Arial"/>
          <w:sz w:val="24"/>
          <w:szCs w:val="24"/>
        </w:rPr>
        <w:t xml:space="preserve">Childcare </w:t>
      </w:r>
      <w:r w:rsidRPr="007A518A">
        <w:rPr>
          <w:rFonts w:ascii="Arial" w:hAnsi="Arial" w:cs="Arial"/>
          <w:sz w:val="24"/>
          <w:szCs w:val="24"/>
        </w:rPr>
        <w:t xml:space="preserve">wet wipes make up over half of the revenue market share with </w:t>
      </w:r>
      <w:r w:rsidR="00DF17D6">
        <w:rPr>
          <w:rFonts w:ascii="Arial" w:hAnsi="Arial" w:cs="Arial"/>
          <w:sz w:val="24"/>
          <w:szCs w:val="24"/>
        </w:rPr>
        <w:t xml:space="preserve">an estimated </w:t>
      </w:r>
      <w:r w:rsidRPr="007A518A">
        <w:rPr>
          <w:rFonts w:ascii="Arial" w:hAnsi="Arial" w:cs="Arial"/>
          <w:sz w:val="24"/>
          <w:szCs w:val="24"/>
        </w:rPr>
        <w:t>£</w:t>
      </w:r>
      <w:r w:rsidR="00974AAF" w:rsidRPr="007A518A">
        <w:rPr>
          <w:rFonts w:ascii="Arial" w:hAnsi="Arial" w:cs="Arial"/>
          <w:sz w:val="24"/>
          <w:szCs w:val="24"/>
        </w:rPr>
        <w:t>1,01</w:t>
      </w:r>
      <w:r w:rsidR="007B1C4C">
        <w:rPr>
          <w:rFonts w:ascii="Arial" w:hAnsi="Arial" w:cs="Arial"/>
          <w:sz w:val="24"/>
          <w:szCs w:val="24"/>
        </w:rPr>
        <w:t>1</w:t>
      </w:r>
      <w:r w:rsidR="00974AAF" w:rsidRPr="007A518A">
        <w:rPr>
          <w:rFonts w:ascii="Arial" w:hAnsi="Arial" w:cs="Arial"/>
          <w:sz w:val="24"/>
          <w:szCs w:val="24"/>
        </w:rPr>
        <w:t xml:space="preserve">m </w:t>
      </w:r>
      <w:r w:rsidRPr="007A518A">
        <w:rPr>
          <w:rFonts w:ascii="Arial" w:hAnsi="Arial" w:cs="Arial"/>
          <w:sz w:val="24"/>
          <w:szCs w:val="24"/>
        </w:rPr>
        <w:t xml:space="preserve">in 2021. </w:t>
      </w:r>
    </w:p>
    <w:p w14:paraId="05BC5416" w14:textId="1979AC0A" w:rsidR="00F87F8B" w:rsidRPr="007A518A" w:rsidRDefault="00F87F8B" w:rsidP="007A518A">
      <w:pPr>
        <w:keepNext/>
        <w:spacing w:after="0" w:line="276" w:lineRule="auto"/>
        <w:outlineLvl w:val="1"/>
        <w:rPr>
          <w:rFonts w:ascii="Arial" w:eastAsia="Times New Roman" w:hAnsi="Arial" w:cs="Arial"/>
          <w:color w:val="008938"/>
        </w:rPr>
      </w:pPr>
      <w:r w:rsidRPr="007A518A">
        <w:rPr>
          <w:rFonts w:ascii="Arial" w:eastAsia="Times New Roman" w:hAnsi="Arial" w:cs="Arial"/>
          <w:color w:val="008938"/>
          <w:sz w:val="24"/>
          <w:szCs w:val="24"/>
        </w:rPr>
        <w:t xml:space="preserve">Table </w:t>
      </w:r>
      <w:r w:rsidR="00033687">
        <w:rPr>
          <w:rFonts w:ascii="Arial" w:eastAsia="Times New Roman" w:hAnsi="Arial" w:cs="Arial"/>
          <w:color w:val="008938"/>
          <w:sz w:val="24"/>
          <w:szCs w:val="24"/>
        </w:rPr>
        <w:t>4</w:t>
      </w:r>
      <w:r w:rsidRPr="007A518A">
        <w:rPr>
          <w:rFonts w:ascii="Arial" w:eastAsia="Times New Roman" w:hAnsi="Arial" w:cs="Arial"/>
          <w:color w:val="008938"/>
          <w:sz w:val="24"/>
          <w:szCs w:val="24"/>
        </w:rPr>
        <w:t>:</w:t>
      </w:r>
      <w:r w:rsidR="00916202" w:rsidRPr="007A518A">
        <w:rPr>
          <w:rFonts w:ascii="Arial" w:eastAsia="Times New Roman" w:hAnsi="Arial" w:cs="Arial"/>
          <w:color w:val="008938"/>
          <w:sz w:val="24"/>
          <w:szCs w:val="24"/>
        </w:rPr>
        <w:t xml:space="preserve"> Estimated </w:t>
      </w:r>
      <w:r w:rsidR="00CC286F">
        <w:rPr>
          <w:rFonts w:ascii="Arial" w:eastAsia="Times New Roman" w:hAnsi="Arial" w:cs="Arial"/>
          <w:color w:val="008938"/>
          <w:sz w:val="24"/>
          <w:szCs w:val="24"/>
        </w:rPr>
        <w:t xml:space="preserve">UK retail revenue of wet wipes produced </w:t>
      </w:r>
      <w:proofErr w:type="gramStart"/>
      <w:r w:rsidR="00CC286F">
        <w:rPr>
          <w:rFonts w:ascii="Arial" w:eastAsia="Times New Roman" w:hAnsi="Arial" w:cs="Arial"/>
          <w:color w:val="008938"/>
          <w:sz w:val="24"/>
          <w:szCs w:val="24"/>
        </w:rPr>
        <w:t>domestically</w:t>
      </w:r>
      <w:proofErr w:type="gramEnd"/>
    </w:p>
    <w:tbl>
      <w:tblPr>
        <w:tblStyle w:val="GridTable1Light-Accent6"/>
        <w:tblW w:w="7884" w:type="dxa"/>
        <w:jc w:val="center"/>
        <w:tblLook w:val="04A0" w:firstRow="1" w:lastRow="0" w:firstColumn="1" w:lastColumn="0" w:noHBand="0" w:noVBand="1"/>
      </w:tblPr>
      <w:tblGrid>
        <w:gridCol w:w="2280"/>
        <w:gridCol w:w="880"/>
        <w:gridCol w:w="1083"/>
        <w:gridCol w:w="889"/>
        <w:gridCol w:w="810"/>
        <w:gridCol w:w="1053"/>
        <w:gridCol w:w="889"/>
      </w:tblGrid>
      <w:tr w:rsidR="004C61AB" w:rsidRPr="00671A36" w14:paraId="735E5E12" w14:textId="77777777" w:rsidTr="6BB9BBD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top w:val="single" w:sz="12" w:space="0" w:color="70AD47" w:themeColor="accent6"/>
              <w:left w:val="single" w:sz="12" w:space="0" w:color="70AD47" w:themeColor="accent6"/>
            </w:tcBorders>
            <w:noWrap/>
            <w:hideMark/>
          </w:tcPr>
          <w:p w14:paraId="24F28F89" w14:textId="62311DB3"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UK Retail revenue (£m)</w:t>
            </w:r>
          </w:p>
        </w:tc>
        <w:tc>
          <w:tcPr>
            <w:tcW w:w="2852" w:type="dxa"/>
            <w:gridSpan w:val="3"/>
            <w:tcBorders>
              <w:top w:val="single" w:sz="12" w:space="0" w:color="70AD47" w:themeColor="accent6"/>
            </w:tcBorders>
            <w:noWrap/>
            <w:hideMark/>
          </w:tcPr>
          <w:p w14:paraId="2C1DF67E" w14:textId="5E8AA41B" w:rsidR="004C61AB" w:rsidRPr="00671A36" w:rsidRDefault="004C61AB" w:rsidP="00D740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671A36">
              <w:rPr>
                <w:rFonts w:ascii="Arial" w:eastAsia="Times New Roman" w:hAnsi="Arial" w:cs="Arial"/>
                <w:color w:val="000000" w:themeColor="text1"/>
                <w:lang w:eastAsia="en-GB"/>
              </w:rPr>
              <w:t>2020 </w:t>
            </w:r>
          </w:p>
        </w:tc>
        <w:tc>
          <w:tcPr>
            <w:tcW w:w="2752" w:type="dxa"/>
            <w:gridSpan w:val="3"/>
            <w:tcBorders>
              <w:top w:val="single" w:sz="12" w:space="0" w:color="70AD47" w:themeColor="accent6"/>
              <w:right w:val="single" w:sz="12" w:space="0" w:color="70AD47" w:themeColor="accent6"/>
            </w:tcBorders>
            <w:noWrap/>
            <w:hideMark/>
          </w:tcPr>
          <w:p w14:paraId="1485FD98" w14:textId="66CAC93B" w:rsidR="004C61AB" w:rsidRPr="00671A36" w:rsidRDefault="004C61AB" w:rsidP="00D740D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671A36">
              <w:rPr>
                <w:rFonts w:ascii="Arial" w:eastAsia="Times New Roman" w:hAnsi="Arial" w:cs="Arial"/>
                <w:color w:val="000000" w:themeColor="text1"/>
                <w:lang w:eastAsia="en-GB"/>
              </w:rPr>
              <w:t>2021 </w:t>
            </w:r>
          </w:p>
        </w:tc>
      </w:tr>
      <w:tr w:rsidR="0039066B" w:rsidRPr="00671A36" w14:paraId="74008BC1"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tcBorders>
            <w:noWrap/>
            <w:hideMark/>
          </w:tcPr>
          <w:p w14:paraId="064BDF0A" w14:textId="6090E817"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Product Category </w:t>
            </w:r>
          </w:p>
        </w:tc>
        <w:tc>
          <w:tcPr>
            <w:tcW w:w="880" w:type="dxa"/>
            <w:noWrap/>
            <w:hideMark/>
          </w:tcPr>
          <w:p w14:paraId="3F47AF04" w14:textId="40EE6CFB" w:rsidR="004C61AB" w:rsidRPr="00671A36" w:rsidRDefault="004C61A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671A36">
              <w:rPr>
                <w:rFonts w:ascii="Arial" w:eastAsia="Times New Roman" w:hAnsi="Arial" w:cs="Arial"/>
                <w:b/>
                <w:color w:val="000000" w:themeColor="text1"/>
                <w:lang w:eastAsia="en-GB"/>
              </w:rPr>
              <w:t>Low</w:t>
            </w:r>
          </w:p>
        </w:tc>
        <w:tc>
          <w:tcPr>
            <w:tcW w:w="1083" w:type="dxa"/>
            <w:noWrap/>
            <w:hideMark/>
          </w:tcPr>
          <w:p w14:paraId="3C11F06A" w14:textId="10ADCB54" w:rsidR="004C61AB" w:rsidRPr="00671A36" w:rsidRDefault="004C61A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671A36">
              <w:rPr>
                <w:rFonts w:ascii="Arial" w:eastAsia="Times New Roman" w:hAnsi="Arial" w:cs="Arial"/>
                <w:b/>
                <w:color w:val="000000" w:themeColor="text1"/>
                <w:lang w:eastAsia="en-GB"/>
              </w:rPr>
              <w:t>Central</w:t>
            </w:r>
          </w:p>
        </w:tc>
        <w:tc>
          <w:tcPr>
            <w:tcW w:w="889" w:type="dxa"/>
            <w:noWrap/>
            <w:hideMark/>
          </w:tcPr>
          <w:p w14:paraId="1740E2AF" w14:textId="0F35B957" w:rsidR="004C61AB" w:rsidRPr="00671A36" w:rsidRDefault="004C61A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671A36">
              <w:rPr>
                <w:rFonts w:ascii="Arial" w:eastAsia="Times New Roman" w:hAnsi="Arial" w:cs="Arial"/>
                <w:b/>
                <w:color w:val="000000" w:themeColor="text1"/>
                <w:lang w:eastAsia="en-GB"/>
              </w:rPr>
              <w:t>High</w:t>
            </w:r>
          </w:p>
        </w:tc>
        <w:tc>
          <w:tcPr>
            <w:tcW w:w="810" w:type="dxa"/>
            <w:noWrap/>
            <w:hideMark/>
          </w:tcPr>
          <w:p w14:paraId="2F4514B0" w14:textId="65ED704D" w:rsidR="004C61AB" w:rsidRPr="00671A36" w:rsidRDefault="004C61A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671A36">
              <w:rPr>
                <w:rFonts w:ascii="Arial" w:eastAsia="Times New Roman" w:hAnsi="Arial" w:cs="Arial"/>
                <w:b/>
                <w:color w:val="000000" w:themeColor="text1"/>
                <w:lang w:eastAsia="en-GB"/>
              </w:rPr>
              <w:t>Low</w:t>
            </w:r>
          </w:p>
        </w:tc>
        <w:tc>
          <w:tcPr>
            <w:tcW w:w="1053" w:type="dxa"/>
            <w:noWrap/>
            <w:hideMark/>
          </w:tcPr>
          <w:p w14:paraId="083777DC" w14:textId="776C067D" w:rsidR="004C61AB" w:rsidRPr="00671A36" w:rsidRDefault="004C61A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671A36">
              <w:rPr>
                <w:rFonts w:ascii="Arial" w:eastAsia="Times New Roman" w:hAnsi="Arial" w:cs="Arial"/>
                <w:b/>
                <w:color w:val="000000" w:themeColor="text1"/>
                <w:lang w:eastAsia="en-GB"/>
              </w:rPr>
              <w:t>Central</w:t>
            </w:r>
          </w:p>
        </w:tc>
        <w:tc>
          <w:tcPr>
            <w:tcW w:w="889" w:type="dxa"/>
            <w:tcBorders>
              <w:right w:val="single" w:sz="12" w:space="0" w:color="70AD47" w:themeColor="accent6"/>
            </w:tcBorders>
            <w:noWrap/>
            <w:hideMark/>
          </w:tcPr>
          <w:p w14:paraId="52FDF72E" w14:textId="258A2D60" w:rsidR="004C61AB" w:rsidRPr="00671A36" w:rsidRDefault="004C61A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671A36">
              <w:rPr>
                <w:rFonts w:ascii="Arial" w:eastAsia="Times New Roman" w:hAnsi="Arial" w:cs="Arial"/>
                <w:b/>
                <w:color w:val="000000" w:themeColor="text1"/>
                <w:lang w:eastAsia="en-GB"/>
              </w:rPr>
              <w:t>High</w:t>
            </w:r>
          </w:p>
        </w:tc>
      </w:tr>
      <w:tr w:rsidR="007C1ADF" w:rsidRPr="00671A36" w14:paraId="51FC4E1D"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tcBorders>
            <w:noWrap/>
            <w:hideMark/>
          </w:tcPr>
          <w:p w14:paraId="53FE6878" w14:textId="3C7ED69C"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 Cleaning  </w:t>
            </w:r>
          </w:p>
        </w:tc>
        <w:tc>
          <w:tcPr>
            <w:tcW w:w="880" w:type="dxa"/>
            <w:noWrap/>
          </w:tcPr>
          <w:p w14:paraId="4243DB02" w14:textId="2102EB67" w:rsidR="004C61AB" w:rsidRPr="00671A36" w:rsidRDefault="006559A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573</w:t>
            </w:r>
          </w:p>
        </w:tc>
        <w:tc>
          <w:tcPr>
            <w:tcW w:w="1083" w:type="dxa"/>
            <w:noWrap/>
          </w:tcPr>
          <w:p w14:paraId="4035B411" w14:textId="080D86FE" w:rsidR="004C61AB" w:rsidRPr="00671A36" w:rsidRDefault="00F45A80"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645</w:t>
            </w:r>
          </w:p>
        </w:tc>
        <w:tc>
          <w:tcPr>
            <w:tcW w:w="889" w:type="dxa"/>
            <w:noWrap/>
          </w:tcPr>
          <w:p w14:paraId="6749CFEF" w14:textId="0A007713" w:rsidR="004C61AB" w:rsidRPr="00671A36" w:rsidRDefault="00933A73"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717</w:t>
            </w:r>
          </w:p>
        </w:tc>
        <w:tc>
          <w:tcPr>
            <w:tcW w:w="810" w:type="dxa"/>
            <w:noWrap/>
          </w:tcPr>
          <w:p w14:paraId="15BAE2E9" w14:textId="4EE4BB3D" w:rsidR="004C61AB" w:rsidRPr="00671A36" w:rsidRDefault="00EF3394"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572</w:t>
            </w:r>
          </w:p>
        </w:tc>
        <w:tc>
          <w:tcPr>
            <w:tcW w:w="1053" w:type="dxa"/>
            <w:noWrap/>
          </w:tcPr>
          <w:p w14:paraId="3D9FCB61" w14:textId="37EFFADD" w:rsidR="004C61AB" w:rsidRPr="00671A36" w:rsidRDefault="00E70171"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644</w:t>
            </w:r>
          </w:p>
        </w:tc>
        <w:tc>
          <w:tcPr>
            <w:tcW w:w="889" w:type="dxa"/>
            <w:tcBorders>
              <w:right w:val="single" w:sz="12" w:space="0" w:color="70AD47" w:themeColor="accent6"/>
            </w:tcBorders>
            <w:noWrap/>
          </w:tcPr>
          <w:p w14:paraId="364A0DB3" w14:textId="0C77B2C0" w:rsidR="004C61AB" w:rsidRPr="00671A36" w:rsidRDefault="0039066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715</w:t>
            </w:r>
          </w:p>
        </w:tc>
      </w:tr>
      <w:tr w:rsidR="007C1ADF" w:rsidRPr="00671A36" w14:paraId="1B98AD29"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tcBorders>
            <w:noWrap/>
            <w:hideMark/>
          </w:tcPr>
          <w:p w14:paraId="574D9051" w14:textId="15C14D26"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 Cosmetic  </w:t>
            </w:r>
          </w:p>
        </w:tc>
        <w:tc>
          <w:tcPr>
            <w:tcW w:w="880" w:type="dxa"/>
            <w:noWrap/>
          </w:tcPr>
          <w:p w14:paraId="13187230" w14:textId="671127A5" w:rsidR="004C61AB" w:rsidRPr="00671A36" w:rsidRDefault="006559A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120</w:t>
            </w:r>
          </w:p>
        </w:tc>
        <w:tc>
          <w:tcPr>
            <w:tcW w:w="1083" w:type="dxa"/>
            <w:noWrap/>
          </w:tcPr>
          <w:p w14:paraId="2BE169F7" w14:textId="182AD21D" w:rsidR="004C61AB" w:rsidRPr="00671A36" w:rsidRDefault="00F45A80"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156</w:t>
            </w:r>
          </w:p>
        </w:tc>
        <w:tc>
          <w:tcPr>
            <w:tcW w:w="889" w:type="dxa"/>
            <w:noWrap/>
          </w:tcPr>
          <w:p w14:paraId="01AAE9FF" w14:textId="3DCB6EF6" w:rsidR="004C61AB" w:rsidRPr="00671A36" w:rsidRDefault="00933A73"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192</w:t>
            </w:r>
          </w:p>
        </w:tc>
        <w:tc>
          <w:tcPr>
            <w:tcW w:w="810" w:type="dxa"/>
            <w:noWrap/>
          </w:tcPr>
          <w:p w14:paraId="14DF9722" w14:textId="406CB7B2" w:rsidR="004C61AB" w:rsidRPr="00671A36" w:rsidRDefault="00081193"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120</w:t>
            </w:r>
          </w:p>
        </w:tc>
        <w:tc>
          <w:tcPr>
            <w:tcW w:w="1053" w:type="dxa"/>
            <w:noWrap/>
          </w:tcPr>
          <w:p w14:paraId="60B5AF5F" w14:textId="25D009D2" w:rsidR="004C61AB" w:rsidRPr="00671A36" w:rsidRDefault="00CD6693"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156</w:t>
            </w:r>
          </w:p>
        </w:tc>
        <w:tc>
          <w:tcPr>
            <w:tcW w:w="889" w:type="dxa"/>
            <w:tcBorders>
              <w:right w:val="single" w:sz="12" w:space="0" w:color="70AD47" w:themeColor="accent6"/>
            </w:tcBorders>
            <w:noWrap/>
          </w:tcPr>
          <w:p w14:paraId="3515ACF3" w14:textId="3915952E" w:rsidR="004C61AB" w:rsidRPr="00671A36" w:rsidRDefault="004C382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192</w:t>
            </w:r>
          </w:p>
        </w:tc>
      </w:tr>
      <w:tr w:rsidR="007C1ADF" w:rsidRPr="00671A36" w14:paraId="3F61E129"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tcBorders>
            <w:noWrap/>
            <w:hideMark/>
          </w:tcPr>
          <w:p w14:paraId="4B37D14A" w14:textId="2D9CB3D7"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 Healthcare  </w:t>
            </w:r>
          </w:p>
        </w:tc>
        <w:tc>
          <w:tcPr>
            <w:tcW w:w="880" w:type="dxa"/>
            <w:noWrap/>
          </w:tcPr>
          <w:p w14:paraId="3C2FB973" w14:textId="0C08E207" w:rsidR="004C61AB" w:rsidRPr="00671A36" w:rsidRDefault="006559A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c>
          <w:tcPr>
            <w:tcW w:w="1083" w:type="dxa"/>
            <w:noWrap/>
          </w:tcPr>
          <w:p w14:paraId="0DEA442D" w14:textId="4BD3D1A0" w:rsidR="004C61AB" w:rsidRPr="00671A36" w:rsidRDefault="006D7958"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c>
          <w:tcPr>
            <w:tcW w:w="889" w:type="dxa"/>
            <w:noWrap/>
          </w:tcPr>
          <w:p w14:paraId="6F462C31" w14:textId="181DD1FA" w:rsidR="004C61AB" w:rsidRPr="00671A36" w:rsidRDefault="00933A73"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c>
          <w:tcPr>
            <w:tcW w:w="810" w:type="dxa"/>
            <w:noWrap/>
          </w:tcPr>
          <w:p w14:paraId="721A3654" w14:textId="4B0D180C" w:rsidR="004C61AB" w:rsidRPr="00671A36" w:rsidRDefault="00635DD2"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c>
          <w:tcPr>
            <w:tcW w:w="1053" w:type="dxa"/>
            <w:noWrap/>
          </w:tcPr>
          <w:p w14:paraId="72A32F52" w14:textId="50604EFD" w:rsidR="004C61AB" w:rsidRPr="00671A36" w:rsidRDefault="00A97A85"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c>
          <w:tcPr>
            <w:tcW w:w="889" w:type="dxa"/>
            <w:tcBorders>
              <w:right w:val="single" w:sz="12" w:space="0" w:color="70AD47" w:themeColor="accent6"/>
            </w:tcBorders>
            <w:noWrap/>
          </w:tcPr>
          <w:p w14:paraId="795B51E6" w14:textId="19C31674" w:rsidR="004C61AB" w:rsidRPr="00671A36" w:rsidRDefault="004C382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7C1ADF" w:rsidRPr="00671A36" w14:paraId="397D7F72"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tcBorders>
            <w:noWrap/>
            <w:hideMark/>
          </w:tcPr>
          <w:p w14:paraId="2907BE6F" w14:textId="74E55828"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 Personal Hygiene  </w:t>
            </w:r>
          </w:p>
        </w:tc>
        <w:tc>
          <w:tcPr>
            <w:tcW w:w="880" w:type="dxa"/>
            <w:noWrap/>
          </w:tcPr>
          <w:p w14:paraId="204B8078" w14:textId="6C41321C" w:rsidR="004C61AB" w:rsidRPr="00671A36" w:rsidRDefault="006559A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152</w:t>
            </w:r>
          </w:p>
        </w:tc>
        <w:tc>
          <w:tcPr>
            <w:tcW w:w="1083" w:type="dxa"/>
            <w:noWrap/>
          </w:tcPr>
          <w:p w14:paraId="0B8C51B1" w14:textId="1C2C5170" w:rsidR="004C61AB" w:rsidRPr="00671A36" w:rsidRDefault="006D7958"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167</w:t>
            </w:r>
          </w:p>
        </w:tc>
        <w:tc>
          <w:tcPr>
            <w:tcW w:w="889" w:type="dxa"/>
            <w:noWrap/>
          </w:tcPr>
          <w:p w14:paraId="21269B77" w14:textId="6B3CF380" w:rsidR="004C61AB" w:rsidRPr="00671A36" w:rsidRDefault="00F54BF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182</w:t>
            </w:r>
          </w:p>
        </w:tc>
        <w:tc>
          <w:tcPr>
            <w:tcW w:w="810" w:type="dxa"/>
            <w:noWrap/>
          </w:tcPr>
          <w:p w14:paraId="6126E57E" w14:textId="1C567016" w:rsidR="004C61AB" w:rsidRPr="00671A36" w:rsidRDefault="0033698C"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175</w:t>
            </w:r>
          </w:p>
        </w:tc>
        <w:tc>
          <w:tcPr>
            <w:tcW w:w="1053" w:type="dxa"/>
            <w:noWrap/>
          </w:tcPr>
          <w:p w14:paraId="2C3EF4A2" w14:textId="3B16B5C3" w:rsidR="004C61AB" w:rsidRPr="00671A36" w:rsidRDefault="00E42E04"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193</w:t>
            </w:r>
          </w:p>
        </w:tc>
        <w:tc>
          <w:tcPr>
            <w:tcW w:w="889" w:type="dxa"/>
            <w:tcBorders>
              <w:right w:val="single" w:sz="12" w:space="0" w:color="70AD47" w:themeColor="accent6"/>
            </w:tcBorders>
            <w:noWrap/>
          </w:tcPr>
          <w:p w14:paraId="063BA6DF" w14:textId="7147D566" w:rsidR="004C61AB" w:rsidRPr="00671A36" w:rsidRDefault="00215336"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210</w:t>
            </w:r>
          </w:p>
        </w:tc>
      </w:tr>
      <w:tr w:rsidR="007C1ADF" w:rsidRPr="00671A36" w14:paraId="10E802C4"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tcBorders>
            <w:noWrap/>
            <w:hideMark/>
          </w:tcPr>
          <w:p w14:paraId="1E8F085D" w14:textId="094E7271"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 Pet Care  </w:t>
            </w:r>
          </w:p>
        </w:tc>
        <w:tc>
          <w:tcPr>
            <w:tcW w:w="880" w:type="dxa"/>
            <w:noWrap/>
          </w:tcPr>
          <w:p w14:paraId="392E3001" w14:textId="6BD2A8E8" w:rsidR="004C61AB" w:rsidRPr="00671A36" w:rsidRDefault="002753A1"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p>
        </w:tc>
        <w:tc>
          <w:tcPr>
            <w:tcW w:w="1083" w:type="dxa"/>
            <w:noWrap/>
          </w:tcPr>
          <w:p w14:paraId="3BF4614B" w14:textId="0BA6BA0E" w:rsidR="004C61AB" w:rsidRPr="00671A36" w:rsidRDefault="006D7958"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p>
        </w:tc>
        <w:tc>
          <w:tcPr>
            <w:tcW w:w="889" w:type="dxa"/>
            <w:noWrap/>
          </w:tcPr>
          <w:p w14:paraId="2945464D" w14:textId="163C629C" w:rsidR="004C61AB" w:rsidRPr="00671A36" w:rsidRDefault="00F54BF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p>
        </w:tc>
        <w:tc>
          <w:tcPr>
            <w:tcW w:w="810" w:type="dxa"/>
            <w:noWrap/>
          </w:tcPr>
          <w:p w14:paraId="61A6B975" w14:textId="259FC501" w:rsidR="004C61AB" w:rsidRPr="00671A36" w:rsidRDefault="001C4FE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p>
        </w:tc>
        <w:tc>
          <w:tcPr>
            <w:tcW w:w="1053" w:type="dxa"/>
            <w:noWrap/>
          </w:tcPr>
          <w:p w14:paraId="5425B444" w14:textId="7D557207" w:rsidR="004C61AB" w:rsidRPr="00671A36" w:rsidRDefault="00776A12"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p>
        </w:tc>
        <w:tc>
          <w:tcPr>
            <w:tcW w:w="889" w:type="dxa"/>
            <w:tcBorders>
              <w:right w:val="single" w:sz="12" w:space="0" w:color="70AD47" w:themeColor="accent6"/>
            </w:tcBorders>
            <w:noWrap/>
          </w:tcPr>
          <w:p w14:paraId="45816AB9" w14:textId="52047F5C" w:rsidR="004C61AB" w:rsidRPr="00671A36" w:rsidRDefault="00215336"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p>
        </w:tc>
      </w:tr>
      <w:tr w:rsidR="007C1ADF" w:rsidRPr="00671A36" w14:paraId="1074407E"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tcBorders>
            <w:noWrap/>
            <w:hideMark/>
          </w:tcPr>
          <w:p w14:paraId="2FBEDE97" w14:textId="290C7F66"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 Optical Care  </w:t>
            </w:r>
          </w:p>
        </w:tc>
        <w:tc>
          <w:tcPr>
            <w:tcW w:w="880" w:type="dxa"/>
            <w:noWrap/>
          </w:tcPr>
          <w:p w14:paraId="4C5C7BF1" w14:textId="1196E057" w:rsidR="004C61AB" w:rsidRPr="00671A36" w:rsidRDefault="007F6E07"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c>
          <w:tcPr>
            <w:tcW w:w="1083" w:type="dxa"/>
            <w:noWrap/>
          </w:tcPr>
          <w:p w14:paraId="130BB0BC" w14:textId="64291D01" w:rsidR="004C61AB" w:rsidRPr="00671A36" w:rsidRDefault="006D7958"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c>
          <w:tcPr>
            <w:tcW w:w="889" w:type="dxa"/>
            <w:noWrap/>
          </w:tcPr>
          <w:p w14:paraId="4287CA27" w14:textId="184AA06F" w:rsidR="004C61AB" w:rsidRPr="00671A36" w:rsidRDefault="00F54BFA"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c>
          <w:tcPr>
            <w:tcW w:w="810" w:type="dxa"/>
            <w:noWrap/>
          </w:tcPr>
          <w:p w14:paraId="6E631A4C" w14:textId="01F9797A" w:rsidR="004C61AB" w:rsidRPr="00671A36" w:rsidRDefault="0026182C"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c>
          <w:tcPr>
            <w:tcW w:w="1053" w:type="dxa"/>
            <w:noWrap/>
          </w:tcPr>
          <w:p w14:paraId="6AF4D788" w14:textId="5AB5E4CE" w:rsidR="004C61AB" w:rsidRPr="00671A36" w:rsidRDefault="006D14C1"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c>
          <w:tcPr>
            <w:tcW w:w="889" w:type="dxa"/>
            <w:tcBorders>
              <w:right w:val="single" w:sz="12" w:space="0" w:color="70AD47" w:themeColor="accent6"/>
            </w:tcBorders>
            <w:noWrap/>
          </w:tcPr>
          <w:p w14:paraId="4DFD7B69" w14:textId="0F17A87B" w:rsidR="004C61AB" w:rsidRPr="00671A36" w:rsidRDefault="00CA29D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7C1ADF" w:rsidRPr="00671A36" w14:paraId="5861B0BC"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left w:val="single" w:sz="12" w:space="0" w:color="70AD47" w:themeColor="accent6"/>
              <w:bottom w:val="single" w:sz="12" w:space="0" w:color="70AD47" w:themeColor="accent6"/>
            </w:tcBorders>
            <w:noWrap/>
            <w:hideMark/>
          </w:tcPr>
          <w:p w14:paraId="56DAD0FA" w14:textId="28D5403C" w:rsidR="004C61AB" w:rsidRPr="00671A36" w:rsidRDefault="004C61AB" w:rsidP="00D740D0">
            <w:pPr>
              <w:rPr>
                <w:rFonts w:ascii="Arial" w:eastAsia="Times New Roman" w:hAnsi="Arial" w:cs="Arial"/>
                <w:b w:val="0"/>
                <w:bCs w:val="0"/>
                <w:color w:val="000000" w:themeColor="text1"/>
                <w:lang w:eastAsia="en-GB"/>
              </w:rPr>
            </w:pPr>
            <w:r w:rsidRPr="00671A36">
              <w:rPr>
                <w:rFonts w:ascii="Arial" w:eastAsia="Times New Roman" w:hAnsi="Arial" w:cs="Arial"/>
                <w:color w:val="000000" w:themeColor="text1"/>
                <w:lang w:eastAsia="en-GB"/>
              </w:rPr>
              <w:t> Childcare  </w:t>
            </w:r>
          </w:p>
        </w:tc>
        <w:tc>
          <w:tcPr>
            <w:tcW w:w="880" w:type="dxa"/>
            <w:tcBorders>
              <w:bottom w:val="single" w:sz="12" w:space="0" w:color="70AD47" w:themeColor="accent6"/>
            </w:tcBorders>
            <w:noWrap/>
          </w:tcPr>
          <w:p w14:paraId="62F933EA" w14:textId="19A7218C" w:rsidR="004C61AB" w:rsidRPr="00671A36" w:rsidRDefault="003F6E94"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842</w:t>
            </w:r>
          </w:p>
        </w:tc>
        <w:tc>
          <w:tcPr>
            <w:tcW w:w="1083" w:type="dxa"/>
            <w:tcBorders>
              <w:bottom w:val="single" w:sz="12" w:space="0" w:color="70AD47" w:themeColor="accent6"/>
            </w:tcBorders>
            <w:noWrap/>
          </w:tcPr>
          <w:p w14:paraId="0D497B97" w14:textId="3BBEA770" w:rsidR="004C61AB" w:rsidRPr="00671A36" w:rsidRDefault="003316F1"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926</w:t>
            </w:r>
          </w:p>
        </w:tc>
        <w:tc>
          <w:tcPr>
            <w:tcW w:w="889" w:type="dxa"/>
            <w:tcBorders>
              <w:bottom w:val="single" w:sz="12" w:space="0" w:color="70AD47" w:themeColor="accent6"/>
            </w:tcBorders>
            <w:noWrap/>
          </w:tcPr>
          <w:p w14:paraId="571712B1" w14:textId="1C2A5AA4" w:rsidR="004C61AB" w:rsidRPr="00671A36" w:rsidRDefault="007C1ADF"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1,011</w:t>
            </w:r>
          </w:p>
        </w:tc>
        <w:tc>
          <w:tcPr>
            <w:tcW w:w="810" w:type="dxa"/>
            <w:tcBorders>
              <w:bottom w:val="single" w:sz="12" w:space="0" w:color="70AD47" w:themeColor="accent6"/>
            </w:tcBorders>
            <w:noWrap/>
          </w:tcPr>
          <w:p w14:paraId="2B34EB0A" w14:textId="1FE40F16" w:rsidR="004C61AB" w:rsidRPr="00671A36" w:rsidRDefault="00AE6237"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919</w:t>
            </w:r>
          </w:p>
        </w:tc>
        <w:tc>
          <w:tcPr>
            <w:tcW w:w="1053" w:type="dxa"/>
            <w:tcBorders>
              <w:bottom w:val="single" w:sz="12" w:space="0" w:color="70AD47" w:themeColor="accent6"/>
            </w:tcBorders>
            <w:noWrap/>
          </w:tcPr>
          <w:p w14:paraId="2829B733" w14:textId="0B2379BD" w:rsidR="004C61AB" w:rsidRPr="00671A36" w:rsidRDefault="006D14C1"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1,011</w:t>
            </w:r>
          </w:p>
        </w:tc>
        <w:tc>
          <w:tcPr>
            <w:tcW w:w="889" w:type="dxa"/>
            <w:tcBorders>
              <w:bottom w:val="single" w:sz="12" w:space="0" w:color="70AD47" w:themeColor="accent6"/>
              <w:right w:val="single" w:sz="12" w:space="0" w:color="70AD47" w:themeColor="accent6"/>
            </w:tcBorders>
            <w:noWrap/>
          </w:tcPr>
          <w:p w14:paraId="6365EDD3" w14:textId="6B020AB8" w:rsidR="004C61AB" w:rsidRPr="00671A36" w:rsidRDefault="00CA29D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1,103</w:t>
            </w:r>
          </w:p>
        </w:tc>
      </w:tr>
      <w:tr w:rsidR="007C1ADF" w:rsidRPr="00671A36" w14:paraId="0CCF09DE" w14:textId="77777777" w:rsidTr="6BB9BBDE">
        <w:trPr>
          <w:trHeight w:val="315"/>
          <w:jc w:val="center"/>
        </w:trPr>
        <w:tc>
          <w:tcPr>
            <w:cnfStyle w:val="001000000000" w:firstRow="0" w:lastRow="0" w:firstColumn="1" w:lastColumn="0" w:oddVBand="0" w:evenVBand="0" w:oddHBand="0" w:evenHBand="0" w:firstRowFirstColumn="0" w:firstRowLastColumn="0" w:lastRowFirstColumn="0" w:lastRowLastColumn="0"/>
            <w:tcW w:w="2280" w:type="dxa"/>
            <w:tcBorders>
              <w:top w:val="single" w:sz="12" w:space="0" w:color="70AD47" w:themeColor="accent6"/>
              <w:left w:val="single" w:sz="12" w:space="0" w:color="70AD47" w:themeColor="accent6"/>
              <w:bottom w:val="single" w:sz="12" w:space="0" w:color="70AD47" w:themeColor="accent6"/>
            </w:tcBorders>
            <w:noWrap/>
            <w:hideMark/>
          </w:tcPr>
          <w:p w14:paraId="36C60A84" w14:textId="5FA34023" w:rsidR="004C61AB" w:rsidRPr="00671A36" w:rsidRDefault="004C61AB" w:rsidP="00D740D0">
            <w:pPr>
              <w:jc w:val="right"/>
              <w:rPr>
                <w:rFonts w:ascii="Arial" w:eastAsia="Times New Roman" w:hAnsi="Arial" w:cs="Arial"/>
                <w:b w:val="0"/>
                <w:color w:val="000000" w:themeColor="text1"/>
                <w:lang w:eastAsia="en-GB"/>
              </w:rPr>
            </w:pPr>
            <w:r w:rsidRPr="00671A36">
              <w:rPr>
                <w:rFonts w:ascii="Arial" w:eastAsia="Times New Roman" w:hAnsi="Arial" w:cs="Arial"/>
                <w:color w:val="000000" w:themeColor="text1"/>
                <w:lang w:eastAsia="en-GB"/>
              </w:rPr>
              <w:t>TOTAL </w:t>
            </w:r>
          </w:p>
        </w:tc>
        <w:tc>
          <w:tcPr>
            <w:tcW w:w="880" w:type="dxa"/>
            <w:tcBorders>
              <w:top w:val="single" w:sz="12" w:space="0" w:color="70AD47" w:themeColor="accent6"/>
              <w:bottom w:val="single" w:sz="12" w:space="0" w:color="70AD47" w:themeColor="accent6"/>
            </w:tcBorders>
            <w:noWrap/>
          </w:tcPr>
          <w:p w14:paraId="26BF2AA4" w14:textId="4862247D" w:rsidR="004C61AB" w:rsidRPr="00671A36" w:rsidRDefault="00CF01F4"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1,701</w:t>
            </w:r>
          </w:p>
        </w:tc>
        <w:tc>
          <w:tcPr>
            <w:tcW w:w="1083" w:type="dxa"/>
            <w:tcBorders>
              <w:top w:val="single" w:sz="12" w:space="0" w:color="70AD47" w:themeColor="accent6"/>
              <w:bottom w:val="single" w:sz="12" w:space="0" w:color="70AD47" w:themeColor="accent6"/>
            </w:tcBorders>
            <w:noWrap/>
          </w:tcPr>
          <w:p w14:paraId="0ED39DF6" w14:textId="781E9BC2" w:rsidR="004C61AB" w:rsidRPr="00671A36" w:rsidRDefault="003316F1"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1,909</w:t>
            </w:r>
          </w:p>
        </w:tc>
        <w:tc>
          <w:tcPr>
            <w:tcW w:w="889" w:type="dxa"/>
            <w:tcBorders>
              <w:top w:val="single" w:sz="12" w:space="0" w:color="70AD47" w:themeColor="accent6"/>
              <w:bottom w:val="single" w:sz="12" w:space="0" w:color="70AD47" w:themeColor="accent6"/>
            </w:tcBorders>
            <w:noWrap/>
          </w:tcPr>
          <w:p w14:paraId="675FABAC" w14:textId="494A6533" w:rsidR="004C61AB" w:rsidRPr="00671A36" w:rsidRDefault="00CC286F"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2,117</w:t>
            </w:r>
          </w:p>
        </w:tc>
        <w:tc>
          <w:tcPr>
            <w:tcW w:w="810" w:type="dxa"/>
            <w:tcBorders>
              <w:top w:val="single" w:sz="12" w:space="0" w:color="70AD47" w:themeColor="accent6"/>
              <w:bottom w:val="single" w:sz="12" w:space="0" w:color="70AD47" w:themeColor="accent6"/>
            </w:tcBorders>
            <w:noWrap/>
          </w:tcPr>
          <w:p w14:paraId="5C49E65C" w14:textId="46193BF4" w:rsidR="004C61AB" w:rsidRPr="00671A36" w:rsidRDefault="005010AD"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1,798</w:t>
            </w:r>
          </w:p>
        </w:tc>
        <w:tc>
          <w:tcPr>
            <w:tcW w:w="1053" w:type="dxa"/>
            <w:tcBorders>
              <w:top w:val="single" w:sz="12" w:space="0" w:color="70AD47" w:themeColor="accent6"/>
              <w:bottom w:val="single" w:sz="12" w:space="0" w:color="70AD47" w:themeColor="accent6"/>
            </w:tcBorders>
            <w:noWrap/>
          </w:tcPr>
          <w:p w14:paraId="1A174173" w14:textId="511DE518" w:rsidR="004C61AB" w:rsidRPr="00671A36" w:rsidRDefault="006D14C1"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2,016</w:t>
            </w:r>
          </w:p>
        </w:tc>
        <w:tc>
          <w:tcPr>
            <w:tcW w:w="889" w:type="dxa"/>
            <w:tcBorders>
              <w:top w:val="single" w:sz="12" w:space="0" w:color="70AD47" w:themeColor="accent6"/>
              <w:bottom w:val="single" w:sz="12" w:space="0" w:color="70AD47" w:themeColor="accent6"/>
              <w:right w:val="single" w:sz="12" w:space="0" w:color="70AD47" w:themeColor="accent6"/>
            </w:tcBorders>
            <w:noWrap/>
          </w:tcPr>
          <w:p w14:paraId="09368D15" w14:textId="02EAA150" w:rsidR="004C61AB" w:rsidRPr="00671A36" w:rsidRDefault="00CA29DB" w:rsidP="00D740D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w:t>
            </w:r>
            <w:r w:rsidR="0075073B">
              <w:rPr>
                <w:rFonts w:ascii="Arial" w:eastAsia="Times New Roman" w:hAnsi="Arial" w:cs="Arial"/>
                <w:b/>
                <w:color w:val="000000" w:themeColor="text1"/>
                <w:lang w:eastAsia="en-GB"/>
              </w:rPr>
              <w:t>2</w:t>
            </w:r>
            <w:r>
              <w:rPr>
                <w:rFonts w:ascii="Arial" w:eastAsia="Times New Roman" w:hAnsi="Arial" w:cs="Arial"/>
                <w:b/>
                <w:color w:val="000000" w:themeColor="text1"/>
                <w:lang w:eastAsia="en-GB"/>
              </w:rPr>
              <w:t>33</w:t>
            </w:r>
          </w:p>
        </w:tc>
      </w:tr>
    </w:tbl>
    <w:p w14:paraId="1BBF92D8" w14:textId="5E96062B" w:rsidR="52005573" w:rsidRDefault="52005573" w:rsidP="52005573">
      <w:pPr>
        <w:rPr>
          <w:rFonts w:ascii="Arial" w:hAnsi="Arial" w:cs="Arial"/>
          <w:sz w:val="24"/>
          <w:szCs w:val="24"/>
        </w:rPr>
      </w:pPr>
    </w:p>
    <w:p w14:paraId="4E032BC9" w14:textId="19EE115F" w:rsidR="00F87F8B" w:rsidRPr="007A518A" w:rsidRDefault="00F87F8B" w:rsidP="00F87F8B">
      <w:pPr>
        <w:rPr>
          <w:rFonts w:ascii="Arial" w:hAnsi="Arial" w:cs="Arial"/>
          <w:b/>
          <w:sz w:val="24"/>
          <w:szCs w:val="24"/>
        </w:rPr>
      </w:pPr>
      <w:r w:rsidRPr="007A518A">
        <w:rPr>
          <w:rFonts w:ascii="Arial" w:hAnsi="Arial" w:cs="Arial"/>
          <w:b/>
          <w:sz w:val="24"/>
          <w:szCs w:val="24"/>
        </w:rPr>
        <w:t>Estimating profit loss</w:t>
      </w:r>
      <w:r w:rsidR="48110F07" w:rsidRPr="007A518A">
        <w:rPr>
          <w:rFonts w:ascii="Arial" w:hAnsi="Arial" w:cs="Arial"/>
          <w:b/>
          <w:sz w:val="24"/>
          <w:szCs w:val="24"/>
        </w:rPr>
        <w:t xml:space="preserve"> for producers</w:t>
      </w:r>
    </w:p>
    <w:p w14:paraId="776C2682" w14:textId="736AF729" w:rsidR="00737808"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 xml:space="preserve">A ban would have a direct impact on businesses producing plastic wet wipes leading to a loss of profits. </w:t>
      </w:r>
      <w:r w:rsidR="00387EB7">
        <w:rPr>
          <w:rFonts w:ascii="Arial" w:hAnsi="Arial" w:cs="Arial"/>
          <w:sz w:val="24"/>
          <w:szCs w:val="24"/>
        </w:rPr>
        <w:t xml:space="preserve">This is considered a direct impact </w:t>
      </w:r>
      <w:r w:rsidR="00E93709">
        <w:rPr>
          <w:rFonts w:ascii="Arial" w:hAnsi="Arial" w:cs="Arial"/>
          <w:sz w:val="24"/>
          <w:szCs w:val="24"/>
        </w:rPr>
        <w:t xml:space="preserve">to business as it is </w:t>
      </w:r>
      <w:r w:rsidR="00505B4E">
        <w:rPr>
          <w:rFonts w:ascii="Arial" w:hAnsi="Arial" w:cs="Arial"/>
          <w:sz w:val="24"/>
          <w:szCs w:val="24"/>
        </w:rPr>
        <w:t>an immediate and unavoidable (‘first round</w:t>
      </w:r>
      <w:r w:rsidR="00580182">
        <w:rPr>
          <w:rFonts w:ascii="Arial" w:hAnsi="Arial" w:cs="Arial"/>
          <w:sz w:val="24"/>
          <w:szCs w:val="24"/>
        </w:rPr>
        <w:t>’) impact</w:t>
      </w:r>
      <w:r w:rsidR="00452A85">
        <w:rPr>
          <w:rFonts w:ascii="Arial" w:hAnsi="Arial" w:cs="Arial"/>
          <w:sz w:val="24"/>
          <w:szCs w:val="24"/>
        </w:rPr>
        <w:t xml:space="preserve"> </w:t>
      </w:r>
      <w:r w:rsidR="00EC6EDD">
        <w:rPr>
          <w:rFonts w:ascii="Arial" w:hAnsi="Arial" w:cs="Arial"/>
          <w:sz w:val="24"/>
          <w:szCs w:val="24"/>
        </w:rPr>
        <w:t xml:space="preserve">resulting from </w:t>
      </w:r>
      <w:r w:rsidR="005B016D">
        <w:rPr>
          <w:rFonts w:ascii="Arial" w:hAnsi="Arial" w:cs="Arial"/>
          <w:sz w:val="24"/>
          <w:szCs w:val="24"/>
        </w:rPr>
        <w:t>the ban</w:t>
      </w:r>
      <w:r w:rsidR="00580182" w:rsidRPr="1FDDA66D">
        <w:rPr>
          <w:rStyle w:val="FootnoteReference"/>
          <w:rFonts w:ascii="Arial" w:hAnsi="Arial" w:cs="Arial"/>
        </w:rPr>
        <w:footnoteReference w:id="16"/>
      </w:r>
      <w:r w:rsidR="00580182">
        <w:rPr>
          <w:rFonts w:ascii="Arial" w:hAnsi="Arial" w:cs="Arial"/>
          <w:sz w:val="24"/>
          <w:szCs w:val="24"/>
        </w:rPr>
        <w:t>. This</w:t>
      </w:r>
      <w:r w:rsidR="00207829">
        <w:rPr>
          <w:rFonts w:ascii="Arial" w:hAnsi="Arial" w:cs="Arial"/>
          <w:sz w:val="24"/>
          <w:szCs w:val="24"/>
        </w:rPr>
        <w:t xml:space="preserve"> </w:t>
      </w:r>
      <w:r w:rsidR="00207829">
        <w:rPr>
          <w:rFonts w:ascii="Arial" w:hAnsi="Arial" w:cs="Arial"/>
          <w:sz w:val="24"/>
          <w:szCs w:val="24"/>
        </w:rPr>
        <w:lastRenderedPageBreak/>
        <w:t>impact w</w:t>
      </w:r>
      <w:r w:rsidR="00285E46">
        <w:rPr>
          <w:rFonts w:ascii="Arial" w:hAnsi="Arial" w:cs="Arial"/>
          <w:sz w:val="24"/>
          <w:szCs w:val="24"/>
        </w:rPr>
        <w:t>ill therefore be considered within Defra’s equivalent annual net direct cost to business (EANDCB) calculation</w:t>
      </w:r>
      <w:r w:rsidR="00DB7DCA">
        <w:rPr>
          <w:rFonts w:ascii="Arial" w:hAnsi="Arial" w:cs="Arial"/>
          <w:sz w:val="24"/>
          <w:szCs w:val="24"/>
        </w:rPr>
        <w:t>.</w:t>
      </w:r>
    </w:p>
    <w:p w14:paraId="15471CF9" w14:textId="77777777" w:rsidR="00B53040" w:rsidRDefault="00B53040" w:rsidP="00007BA2">
      <w:pPr>
        <w:pStyle w:val="ListParagraph"/>
        <w:ind w:left="426"/>
        <w:rPr>
          <w:rFonts w:ascii="Arial" w:hAnsi="Arial" w:cs="Arial"/>
          <w:sz w:val="24"/>
          <w:szCs w:val="24"/>
        </w:rPr>
      </w:pPr>
    </w:p>
    <w:p w14:paraId="6AB3A4E5" w14:textId="6CB278C2" w:rsidR="00F87F8B"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 xml:space="preserve">There is potential that some producers may cease production, however </w:t>
      </w:r>
      <w:r w:rsidR="00974AAF" w:rsidRPr="007A518A">
        <w:rPr>
          <w:rFonts w:ascii="Arial" w:hAnsi="Arial" w:cs="Arial"/>
          <w:sz w:val="24"/>
          <w:szCs w:val="24"/>
        </w:rPr>
        <w:t>it is</w:t>
      </w:r>
      <w:r w:rsidR="575195ED" w:rsidRPr="007A518A">
        <w:rPr>
          <w:rFonts w:ascii="Arial" w:hAnsi="Arial" w:cs="Arial"/>
          <w:sz w:val="24"/>
          <w:szCs w:val="24"/>
        </w:rPr>
        <w:t xml:space="preserve"> expected that</w:t>
      </w:r>
      <w:r w:rsidRPr="007A518A">
        <w:rPr>
          <w:rFonts w:ascii="Arial" w:hAnsi="Arial" w:cs="Arial"/>
          <w:sz w:val="24"/>
          <w:szCs w:val="24"/>
        </w:rPr>
        <w:t xml:space="preserve"> some producers to move to the next most profitable alternative. </w:t>
      </w:r>
      <w:r w:rsidR="1A090702" w:rsidRPr="007A518A">
        <w:rPr>
          <w:rFonts w:ascii="Arial" w:hAnsi="Arial" w:cs="Arial"/>
          <w:sz w:val="24"/>
          <w:szCs w:val="24"/>
        </w:rPr>
        <w:t>I</w:t>
      </w:r>
      <w:r w:rsidR="3AECF260" w:rsidRPr="007A518A">
        <w:rPr>
          <w:rFonts w:ascii="Arial" w:hAnsi="Arial" w:cs="Arial"/>
          <w:sz w:val="24"/>
          <w:szCs w:val="24"/>
        </w:rPr>
        <w:t>t is acknowledged that</w:t>
      </w:r>
      <w:r w:rsidRPr="007A518A">
        <w:rPr>
          <w:rFonts w:ascii="Arial" w:hAnsi="Arial" w:cs="Arial"/>
          <w:sz w:val="24"/>
          <w:szCs w:val="24"/>
        </w:rPr>
        <w:t xml:space="preserve"> any switch in production is likely to result in lower total profit, otherwise producers would have already made this switch. But it is reasonable to expect a proportion of the lost profit to be recouped through production of other items. This would be an indirect impact and </w:t>
      </w:r>
      <w:r w:rsidR="00F77878" w:rsidRPr="007A518A">
        <w:rPr>
          <w:rFonts w:ascii="Arial" w:hAnsi="Arial" w:cs="Arial"/>
          <w:sz w:val="24"/>
          <w:szCs w:val="24"/>
        </w:rPr>
        <w:t xml:space="preserve">will </w:t>
      </w:r>
      <w:r w:rsidRPr="007A518A">
        <w:rPr>
          <w:rFonts w:ascii="Arial" w:hAnsi="Arial" w:cs="Arial"/>
          <w:sz w:val="24"/>
          <w:szCs w:val="24"/>
        </w:rPr>
        <w:t>not</w:t>
      </w:r>
      <w:r w:rsidR="00F77878" w:rsidRPr="007A518A">
        <w:rPr>
          <w:rFonts w:ascii="Arial" w:hAnsi="Arial" w:cs="Arial"/>
          <w:sz w:val="24"/>
          <w:szCs w:val="24"/>
        </w:rPr>
        <w:t xml:space="preserve"> be</w:t>
      </w:r>
      <w:r w:rsidRPr="007A518A">
        <w:rPr>
          <w:rFonts w:ascii="Arial" w:hAnsi="Arial" w:cs="Arial"/>
          <w:sz w:val="24"/>
          <w:szCs w:val="24"/>
        </w:rPr>
        <w:t xml:space="preserve"> considered within </w:t>
      </w:r>
      <w:r w:rsidR="00F77878" w:rsidRPr="007A518A">
        <w:rPr>
          <w:rFonts w:ascii="Arial" w:hAnsi="Arial" w:cs="Arial"/>
          <w:sz w:val="24"/>
          <w:szCs w:val="24"/>
        </w:rPr>
        <w:t xml:space="preserve">Defra’s </w:t>
      </w:r>
      <w:r w:rsidR="00285E46">
        <w:rPr>
          <w:rFonts w:ascii="Arial" w:hAnsi="Arial" w:cs="Arial"/>
          <w:sz w:val="24"/>
          <w:szCs w:val="24"/>
        </w:rPr>
        <w:t xml:space="preserve">EANDCB </w:t>
      </w:r>
      <w:r w:rsidRPr="007A518A">
        <w:rPr>
          <w:rFonts w:ascii="Arial" w:hAnsi="Arial" w:cs="Arial"/>
          <w:sz w:val="24"/>
          <w:szCs w:val="24"/>
        </w:rPr>
        <w:t>calculation.</w:t>
      </w:r>
    </w:p>
    <w:p w14:paraId="5186ADDF" w14:textId="042C0769" w:rsidR="009B463B" w:rsidRPr="007A518A" w:rsidRDefault="009B463B" w:rsidP="007A518A">
      <w:pPr>
        <w:pStyle w:val="ListParagraph"/>
        <w:ind w:left="426"/>
        <w:rPr>
          <w:rFonts w:ascii="Arial" w:hAnsi="Arial" w:cs="Arial"/>
          <w:sz w:val="24"/>
          <w:szCs w:val="24"/>
        </w:rPr>
      </w:pPr>
    </w:p>
    <w:p w14:paraId="08C9CE18" w14:textId="7EDDBD68" w:rsidR="00F87F8B"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 xml:space="preserve">To monetise this, </w:t>
      </w:r>
      <w:r w:rsidR="00B449AD">
        <w:rPr>
          <w:rFonts w:ascii="Arial" w:hAnsi="Arial" w:cs="Arial"/>
          <w:sz w:val="24"/>
          <w:szCs w:val="24"/>
        </w:rPr>
        <w:t>Defra</w:t>
      </w:r>
      <w:r w:rsidR="00B449AD" w:rsidRPr="007A518A">
        <w:rPr>
          <w:rFonts w:ascii="Arial" w:hAnsi="Arial" w:cs="Arial"/>
          <w:sz w:val="24"/>
          <w:szCs w:val="24"/>
        </w:rPr>
        <w:t xml:space="preserve"> </w:t>
      </w:r>
      <w:r w:rsidRPr="007A518A">
        <w:rPr>
          <w:rFonts w:ascii="Arial" w:hAnsi="Arial" w:cs="Arial"/>
          <w:sz w:val="24"/>
          <w:szCs w:val="24"/>
        </w:rPr>
        <w:t>take</w:t>
      </w:r>
      <w:r w:rsidR="00B449AD">
        <w:rPr>
          <w:rFonts w:ascii="Arial" w:hAnsi="Arial" w:cs="Arial"/>
          <w:sz w:val="24"/>
          <w:szCs w:val="24"/>
        </w:rPr>
        <w:t>s</w:t>
      </w:r>
      <w:r w:rsidRPr="007A518A">
        <w:rPr>
          <w:rFonts w:ascii="Arial" w:hAnsi="Arial" w:cs="Arial"/>
          <w:sz w:val="24"/>
          <w:szCs w:val="24"/>
        </w:rPr>
        <w:t xml:space="preserve"> the estimate for annual retail revenue for all wet wipes </w:t>
      </w:r>
      <w:r w:rsidR="00415535">
        <w:rPr>
          <w:rFonts w:ascii="Arial" w:hAnsi="Arial" w:cs="Arial"/>
          <w:sz w:val="24"/>
          <w:szCs w:val="24"/>
        </w:rPr>
        <w:t>that were manufactured in the UK</w:t>
      </w:r>
      <w:r w:rsidR="00953982">
        <w:rPr>
          <w:rFonts w:ascii="Arial" w:hAnsi="Arial" w:cs="Arial"/>
          <w:sz w:val="24"/>
          <w:szCs w:val="24"/>
        </w:rPr>
        <w:t xml:space="preserve"> and works backwards through the supply chain</w:t>
      </w:r>
      <w:r w:rsidRPr="007A518A">
        <w:rPr>
          <w:rFonts w:ascii="Arial" w:hAnsi="Arial" w:cs="Arial"/>
          <w:sz w:val="24"/>
          <w:szCs w:val="24"/>
        </w:rPr>
        <w:t>,</w:t>
      </w:r>
      <w:r w:rsidR="0053359B">
        <w:rPr>
          <w:rFonts w:ascii="Arial" w:hAnsi="Arial" w:cs="Arial"/>
          <w:sz w:val="24"/>
          <w:szCs w:val="24"/>
        </w:rPr>
        <w:t xml:space="preserve"> removing the assumed profit margin at each stage of retail, </w:t>
      </w:r>
      <w:r w:rsidR="008F01CE">
        <w:rPr>
          <w:rFonts w:ascii="Arial" w:hAnsi="Arial" w:cs="Arial"/>
          <w:sz w:val="24"/>
          <w:szCs w:val="24"/>
        </w:rPr>
        <w:t>wholesale,</w:t>
      </w:r>
      <w:r w:rsidR="0053359B">
        <w:rPr>
          <w:rFonts w:ascii="Arial" w:hAnsi="Arial" w:cs="Arial"/>
          <w:sz w:val="24"/>
          <w:szCs w:val="24"/>
        </w:rPr>
        <w:t xml:space="preserve"> and production.</w:t>
      </w:r>
      <w:r w:rsidRPr="007A518A">
        <w:rPr>
          <w:rFonts w:ascii="Arial" w:hAnsi="Arial" w:cs="Arial"/>
          <w:sz w:val="24"/>
          <w:szCs w:val="24"/>
        </w:rPr>
        <w:t xml:space="preserve"> </w:t>
      </w:r>
      <w:r w:rsidR="00A612EA">
        <w:rPr>
          <w:rFonts w:ascii="Arial" w:hAnsi="Arial" w:cs="Arial"/>
          <w:sz w:val="24"/>
          <w:szCs w:val="24"/>
        </w:rPr>
        <w:t xml:space="preserve">The central estimate for annual retail revenue for </w:t>
      </w:r>
      <w:r w:rsidR="00785A0B">
        <w:rPr>
          <w:rFonts w:ascii="Arial" w:hAnsi="Arial" w:cs="Arial"/>
          <w:sz w:val="24"/>
          <w:szCs w:val="24"/>
        </w:rPr>
        <w:t>all wet wipes that were manufactured</w:t>
      </w:r>
      <w:r w:rsidR="00DA7F5D">
        <w:rPr>
          <w:rFonts w:ascii="Arial" w:hAnsi="Arial" w:cs="Arial"/>
          <w:sz w:val="24"/>
          <w:szCs w:val="24"/>
        </w:rPr>
        <w:t xml:space="preserve"> in </w:t>
      </w:r>
      <w:r w:rsidR="00785A0B">
        <w:rPr>
          <w:rFonts w:ascii="Arial" w:hAnsi="Arial" w:cs="Arial"/>
          <w:sz w:val="24"/>
          <w:szCs w:val="24"/>
        </w:rPr>
        <w:t xml:space="preserve">the UK is </w:t>
      </w:r>
      <w:r w:rsidR="00DA7F5D">
        <w:rPr>
          <w:rFonts w:ascii="Arial" w:hAnsi="Arial" w:cs="Arial"/>
          <w:sz w:val="24"/>
          <w:szCs w:val="24"/>
        </w:rPr>
        <w:t xml:space="preserve">shown in table 3 above as </w:t>
      </w:r>
      <w:r w:rsidRPr="007A518A">
        <w:rPr>
          <w:rFonts w:ascii="Arial" w:hAnsi="Arial" w:cs="Arial"/>
          <w:sz w:val="24"/>
          <w:szCs w:val="24"/>
        </w:rPr>
        <w:t>£</w:t>
      </w:r>
      <w:r w:rsidR="003609DA">
        <w:rPr>
          <w:rFonts w:ascii="Arial" w:hAnsi="Arial" w:cs="Arial"/>
          <w:sz w:val="24"/>
          <w:szCs w:val="24"/>
        </w:rPr>
        <w:t>2,016</w:t>
      </w:r>
      <w:r w:rsidRPr="007A518A">
        <w:rPr>
          <w:rFonts w:ascii="Arial" w:hAnsi="Arial" w:cs="Arial"/>
          <w:sz w:val="24"/>
          <w:szCs w:val="24"/>
        </w:rPr>
        <w:t>m</w:t>
      </w:r>
      <w:r w:rsidR="00DA7F5D">
        <w:rPr>
          <w:rFonts w:ascii="Arial" w:hAnsi="Arial" w:cs="Arial"/>
          <w:sz w:val="24"/>
          <w:szCs w:val="24"/>
        </w:rPr>
        <w:t xml:space="preserve">. </w:t>
      </w:r>
      <w:r w:rsidR="006369C0">
        <w:rPr>
          <w:rFonts w:ascii="Arial" w:hAnsi="Arial" w:cs="Arial"/>
          <w:sz w:val="24"/>
          <w:szCs w:val="24"/>
        </w:rPr>
        <w:t>This estimate is then multiplied</w:t>
      </w:r>
      <w:r w:rsidRPr="007A518A">
        <w:rPr>
          <w:rFonts w:ascii="Arial" w:hAnsi="Arial" w:cs="Arial"/>
          <w:sz w:val="24"/>
          <w:szCs w:val="24"/>
        </w:rPr>
        <w:t xml:space="preserve"> by the estimated retail markup. The retail markup is calculated using 2020 Annual Business Survey (ABS) Data</w:t>
      </w:r>
      <w:r w:rsidRPr="00DE4170">
        <w:rPr>
          <w:rFonts w:ascii="Arial" w:hAnsi="Arial" w:cs="Arial"/>
          <w:sz w:val="24"/>
          <w:szCs w:val="24"/>
          <w:vertAlign w:val="superscript"/>
        </w:rPr>
        <w:footnoteReference w:id="17"/>
      </w:r>
      <w:r w:rsidRPr="00DE4170">
        <w:rPr>
          <w:rFonts w:ascii="Arial" w:hAnsi="Arial" w:cs="Arial"/>
          <w:sz w:val="24"/>
          <w:szCs w:val="24"/>
          <w:vertAlign w:val="superscript"/>
        </w:rPr>
        <w:t xml:space="preserve"> </w:t>
      </w:r>
      <w:r w:rsidRPr="007A518A">
        <w:rPr>
          <w:rFonts w:ascii="Arial" w:hAnsi="Arial" w:cs="Arial"/>
          <w:sz w:val="24"/>
          <w:szCs w:val="24"/>
        </w:rPr>
        <w:t>for Standard Industrial Classification (SIC) code 47 “Retail trade, except of motor vehicles and motorcycles”. Turnover net of purchases of goods, materials and services is calculated as a proportion of turnover, giving an estimate</w:t>
      </w:r>
      <w:r w:rsidR="00964378">
        <w:rPr>
          <w:rFonts w:ascii="Arial" w:hAnsi="Arial" w:cs="Arial"/>
          <w:sz w:val="24"/>
          <w:szCs w:val="24"/>
        </w:rPr>
        <w:t>d</w:t>
      </w:r>
      <w:r w:rsidRPr="007A518A">
        <w:rPr>
          <w:rFonts w:ascii="Arial" w:hAnsi="Arial" w:cs="Arial"/>
          <w:sz w:val="24"/>
          <w:szCs w:val="24"/>
        </w:rPr>
        <w:t xml:space="preserve"> retail markup of 18.1%. </w:t>
      </w:r>
      <w:r w:rsidR="00A83BB6">
        <w:rPr>
          <w:rFonts w:ascii="Arial" w:hAnsi="Arial" w:cs="Arial"/>
          <w:sz w:val="24"/>
          <w:szCs w:val="24"/>
        </w:rPr>
        <w:t xml:space="preserve">Defra </w:t>
      </w:r>
      <w:r w:rsidRPr="007A518A">
        <w:rPr>
          <w:rFonts w:ascii="Arial" w:hAnsi="Arial" w:cs="Arial"/>
          <w:sz w:val="24"/>
          <w:szCs w:val="24"/>
        </w:rPr>
        <w:t>then multipl</w:t>
      </w:r>
      <w:r w:rsidR="00A83BB6">
        <w:rPr>
          <w:rFonts w:ascii="Arial" w:hAnsi="Arial" w:cs="Arial"/>
          <w:sz w:val="24"/>
          <w:szCs w:val="24"/>
        </w:rPr>
        <w:t>ies</w:t>
      </w:r>
      <w:r w:rsidRPr="007A518A">
        <w:rPr>
          <w:rFonts w:ascii="Arial" w:hAnsi="Arial" w:cs="Arial"/>
          <w:sz w:val="24"/>
          <w:szCs w:val="24"/>
        </w:rPr>
        <w:t xml:space="preserve"> retail revenue by the retail markup to estimate a wholesale revenue of £1,</w:t>
      </w:r>
      <w:r w:rsidR="00F46B3C">
        <w:rPr>
          <w:rFonts w:ascii="Arial" w:hAnsi="Arial" w:cs="Arial"/>
          <w:sz w:val="24"/>
          <w:szCs w:val="24"/>
        </w:rPr>
        <w:t>650</w:t>
      </w:r>
      <w:r w:rsidRPr="007A518A">
        <w:rPr>
          <w:rFonts w:ascii="Arial" w:hAnsi="Arial" w:cs="Arial"/>
          <w:sz w:val="24"/>
          <w:szCs w:val="24"/>
        </w:rPr>
        <w:t>m.</w:t>
      </w:r>
    </w:p>
    <w:p w14:paraId="41E0C63D" w14:textId="042C0769" w:rsidR="009B463B" w:rsidRPr="007A518A" w:rsidRDefault="009B463B" w:rsidP="007A518A">
      <w:pPr>
        <w:pStyle w:val="ListParagraph"/>
        <w:ind w:left="426"/>
        <w:rPr>
          <w:rFonts w:ascii="Arial" w:hAnsi="Arial" w:cs="Arial"/>
          <w:sz w:val="24"/>
          <w:szCs w:val="24"/>
        </w:rPr>
      </w:pPr>
    </w:p>
    <w:p w14:paraId="40F42D95" w14:textId="1BB83B77" w:rsidR="00F87F8B"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 xml:space="preserve">A similar step is taken again to estimate the producer revenue, by accounting for the wholesale markup. The wholesale markup is calculated using 2020 ABS data for SIC code 46 “Wholesale trade, except motor vehicles and motorcycles”. Again, using turnover net of purchases of goods, materials and services is calculated as a proportion of turnover, </w:t>
      </w:r>
      <w:r w:rsidR="00224878">
        <w:rPr>
          <w:rFonts w:ascii="Arial" w:hAnsi="Arial" w:cs="Arial"/>
          <w:sz w:val="24"/>
          <w:szCs w:val="24"/>
        </w:rPr>
        <w:t>this results in</w:t>
      </w:r>
      <w:r w:rsidRPr="007A518A">
        <w:rPr>
          <w:rFonts w:ascii="Arial" w:hAnsi="Arial" w:cs="Arial"/>
          <w:sz w:val="24"/>
          <w:szCs w:val="24"/>
        </w:rPr>
        <w:t xml:space="preserve"> an estimate wholesale markup of 15.8% which can be multiplied by the estimate wholesale revenue to estimate a producer revenue of £1,</w:t>
      </w:r>
      <w:r w:rsidR="00F46B3C">
        <w:rPr>
          <w:rFonts w:ascii="Arial" w:hAnsi="Arial" w:cs="Arial"/>
          <w:sz w:val="24"/>
          <w:szCs w:val="24"/>
        </w:rPr>
        <w:t>389</w:t>
      </w:r>
      <w:r w:rsidRPr="007A518A">
        <w:rPr>
          <w:rFonts w:ascii="Arial" w:hAnsi="Arial" w:cs="Arial"/>
          <w:sz w:val="24"/>
          <w:szCs w:val="24"/>
        </w:rPr>
        <w:t>m.</w:t>
      </w:r>
    </w:p>
    <w:p w14:paraId="37DE5319" w14:textId="042C0769" w:rsidR="009B463B" w:rsidRPr="007A518A" w:rsidRDefault="009B463B" w:rsidP="007A518A">
      <w:pPr>
        <w:pStyle w:val="ListParagraph"/>
        <w:ind w:left="426"/>
        <w:rPr>
          <w:rFonts w:ascii="Arial" w:hAnsi="Arial" w:cs="Arial"/>
          <w:sz w:val="24"/>
          <w:szCs w:val="24"/>
        </w:rPr>
      </w:pPr>
    </w:p>
    <w:p w14:paraId="7285962D" w14:textId="5B5292A8" w:rsidR="00F87F8B"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Annual Business Survey Data for SIC code 22 ‘manufacture of rubber and plastic products’ is used to calculate an estimate of producer profit margins. Turnover net of purchases of goods, materials and services and net of employment costs is calculated as a proportion of turnover, giving a producer profit margin of 16.2%. Multiplying producer revenue by the producer profit margin gives an annual producer profit estimate of £</w:t>
      </w:r>
      <w:r w:rsidR="00F46B3C">
        <w:rPr>
          <w:rFonts w:ascii="Arial" w:hAnsi="Arial" w:cs="Arial"/>
          <w:sz w:val="24"/>
          <w:szCs w:val="24"/>
        </w:rPr>
        <w:t>225</w:t>
      </w:r>
      <w:r w:rsidRPr="007A518A">
        <w:rPr>
          <w:rFonts w:ascii="Arial" w:hAnsi="Arial" w:cs="Arial"/>
          <w:sz w:val="24"/>
          <w:szCs w:val="24"/>
        </w:rPr>
        <w:t>m.</w:t>
      </w:r>
    </w:p>
    <w:p w14:paraId="7E02667F" w14:textId="042C0769" w:rsidR="009B463B" w:rsidRPr="007A518A" w:rsidRDefault="009B463B" w:rsidP="007A518A">
      <w:pPr>
        <w:pStyle w:val="ListParagraph"/>
        <w:ind w:left="426"/>
        <w:rPr>
          <w:rFonts w:ascii="Arial" w:hAnsi="Arial" w:cs="Arial"/>
          <w:sz w:val="24"/>
          <w:szCs w:val="24"/>
        </w:rPr>
      </w:pPr>
    </w:p>
    <w:p w14:paraId="09DF2F84" w14:textId="002A2720" w:rsidR="00F87F8B"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 xml:space="preserve">This methodology assumes that all wet wipe supply chains contain wholesalers. </w:t>
      </w:r>
      <w:r w:rsidR="005532B3" w:rsidRPr="007A518A">
        <w:rPr>
          <w:rFonts w:ascii="Arial" w:hAnsi="Arial" w:cs="Arial"/>
          <w:sz w:val="24"/>
          <w:szCs w:val="24"/>
        </w:rPr>
        <w:t>Defra’s stakeholder engagement has indicated that l</w:t>
      </w:r>
      <w:r w:rsidRPr="007A518A">
        <w:rPr>
          <w:rFonts w:ascii="Arial" w:hAnsi="Arial" w:cs="Arial"/>
          <w:sz w:val="24"/>
          <w:szCs w:val="24"/>
        </w:rPr>
        <w:t>arger retailers may source their wet wipes directly from producers</w:t>
      </w:r>
      <w:r w:rsidR="009809B2" w:rsidRPr="1FDDA66D">
        <w:rPr>
          <w:rStyle w:val="FootnoteReference"/>
          <w:rFonts w:ascii="Arial" w:hAnsi="Arial" w:cs="Arial"/>
        </w:rPr>
        <w:footnoteReference w:id="18"/>
      </w:r>
      <w:r w:rsidR="003A7044" w:rsidRPr="007A518A">
        <w:rPr>
          <w:rFonts w:ascii="Arial" w:hAnsi="Arial" w:cs="Arial"/>
          <w:sz w:val="24"/>
          <w:szCs w:val="24"/>
        </w:rPr>
        <w:t>. This would</w:t>
      </w:r>
      <w:r w:rsidRPr="007A518A">
        <w:rPr>
          <w:rFonts w:ascii="Arial" w:hAnsi="Arial" w:cs="Arial"/>
          <w:sz w:val="24"/>
          <w:szCs w:val="24"/>
        </w:rPr>
        <w:t xml:space="preserve"> lead to a higher estimated producer profit as the wholesale markup is bypassed. Under </w:t>
      </w:r>
      <w:r w:rsidR="002F6035" w:rsidRPr="007A518A">
        <w:rPr>
          <w:rFonts w:ascii="Arial" w:hAnsi="Arial" w:cs="Arial"/>
          <w:sz w:val="24"/>
          <w:szCs w:val="24"/>
        </w:rPr>
        <w:t>an extreme</w:t>
      </w:r>
      <w:r w:rsidR="003A7044" w:rsidRPr="007A518A">
        <w:rPr>
          <w:rFonts w:ascii="Arial" w:hAnsi="Arial" w:cs="Arial"/>
          <w:sz w:val="24"/>
          <w:szCs w:val="24"/>
        </w:rPr>
        <w:t xml:space="preserve"> </w:t>
      </w:r>
      <w:r w:rsidRPr="007A518A">
        <w:rPr>
          <w:rFonts w:ascii="Arial" w:hAnsi="Arial" w:cs="Arial"/>
          <w:sz w:val="24"/>
          <w:szCs w:val="24"/>
        </w:rPr>
        <w:lastRenderedPageBreak/>
        <w:t>scenario</w:t>
      </w:r>
      <w:r w:rsidR="002F6035" w:rsidRPr="007A518A">
        <w:rPr>
          <w:rFonts w:ascii="Arial" w:hAnsi="Arial" w:cs="Arial"/>
          <w:sz w:val="24"/>
          <w:szCs w:val="24"/>
        </w:rPr>
        <w:t xml:space="preserve"> where all retailers source wet wipes directly from producers</w:t>
      </w:r>
      <w:r w:rsidRPr="007A518A">
        <w:rPr>
          <w:rFonts w:ascii="Arial" w:hAnsi="Arial" w:cs="Arial"/>
          <w:sz w:val="24"/>
          <w:szCs w:val="24"/>
        </w:rPr>
        <w:t>, producer profit is estimated to be £2</w:t>
      </w:r>
      <w:r w:rsidR="00F46B3C">
        <w:rPr>
          <w:rFonts w:ascii="Arial" w:hAnsi="Arial" w:cs="Arial"/>
          <w:sz w:val="24"/>
          <w:szCs w:val="24"/>
        </w:rPr>
        <w:t>68</w:t>
      </w:r>
      <w:r w:rsidRPr="007A518A">
        <w:rPr>
          <w:rFonts w:ascii="Arial" w:hAnsi="Arial" w:cs="Arial"/>
          <w:sz w:val="24"/>
          <w:szCs w:val="24"/>
        </w:rPr>
        <w:t>m.</w:t>
      </w:r>
    </w:p>
    <w:p w14:paraId="25DC12DB" w14:textId="042C0769" w:rsidR="009B463B" w:rsidRPr="007A518A" w:rsidRDefault="009B463B" w:rsidP="007A518A">
      <w:pPr>
        <w:pStyle w:val="ListParagraph"/>
        <w:ind w:left="426"/>
        <w:rPr>
          <w:rFonts w:ascii="Arial" w:hAnsi="Arial" w:cs="Arial"/>
          <w:sz w:val="24"/>
          <w:szCs w:val="24"/>
        </w:rPr>
      </w:pPr>
    </w:p>
    <w:p w14:paraId="522E9579" w14:textId="4B149BDF" w:rsidR="00F87F8B" w:rsidRPr="007A518A" w:rsidRDefault="00F87F8B" w:rsidP="007A518A">
      <w:pPr>
        <w:pStyle w:val="ListParagraph"/>
        <w:numPr>
          <w:ilvl w:val="0"/>
          <w:numId w:val="5"/>
        </w:numPr>
        <w:ind w:left="426"/>
        <w:rPr>
          <w:rFonts w:ascii="Arial" w:hAnsi="Arial" w:cs="Arial"/>
          <w:sz w:val="24"/>
          <w:szCs w:val="24"/>
        </w:rPr>
      </w:pPr>
      <w:r w:rsidRPr="007A518A">
        <w:rPr>
          <w:rFonts w:ascii="Arial" w:hAnsi="Arial" w:cs="Arial"/>
          <w:sz w:val="24"/>
          <w:szCs w:val="24"/>
        </w:rPr>
        <w:t xml:space="preserve">These figures are for all wet wipes sold in </w:t>
      </w:r>
      <w:r w:rsidR="00716C6D">
        <w:rPr>
          <w:rFonts w:ascii="Arial" w:hAnsi="Arial" w:cs="Arial"/>
          <w:sz w:val="24"/>
          <w:szCs w:val="24"/>
        </w:rPr>
        <w:t>the UK</w:t>
      </w:r>
      <w:r w:rsidRPr="007A518A">
        <w:rPr>
          <w:rFonts w:ascii="Arial" w:hAnsi="Arial" w:cs="Arial"/>
          <w:sz w:val="24"/>
          <w:szCs w:val="24"/>
        </w:rPr>
        <w:t xml:space="preserve">. </w:t>
      </w:r>
      <w:r w:rsidR="00CA7616">
        <w:rPr>
          <w:rFonts w:ascii="Arial" w:hAnsi="Arial" w:cs="Arial"/>
          <w:sz w:val="24"/>
          <w:szCs w:val="24"/>
        </w:rPr>
        <w:t>This is</w:t>
      </w:r>
      <w:r w:rsidR="00CA7616" w:rsidRPr="007A518A">
        <w:rPr>
          <w:rFonts w:ascii="Arial" w:hAnsi="Arial" w:cs="Arial"/>
          <w:sz w:val="24"/>
          <w:szCs w:val="24"/>
        </w:rPr>
        <w:t xml:space="preserve"> </w:t>
      </w:r>
      <w:r w:rsidRPr="007A518A">
        <w:rPr>
          <w:rFonts w:ascii="Arial" w:hAnsi="Arial" w:cs="Arial"/>
          <w:sz w:val="24"/>
          <w:szCs w:val="24"/>
        </w:rPr>
        <w:t>then multipl</w:t>
      </w:r>
      <w:r w:rsidR="00CA7616">
        <w:rPr>
          <w:rFonts w:ascii="Arial" w:hAnsi="Arial" w:cs="Arial"/>
          <w:sz w:val="24"/>
          <w:szCs w:val="24"/>
        </w:rPr>
        <w:t>ied by</w:t>
      </w:r>
      <w:r w:rsidRPr="007A518A">
        <w:rPr>
          <w:rFonts w:ascii="Arial" w:hAnsi="Arial" w:cs="Arial"/>
          <w:sz w:val="24"/>
          <w:szCs w:val="24"/>
        </w:rPr>
        <w:t xml:space="preserve"> the profit estimates by the proportion of wet wipes sold in the UK made of plastic to estimate the profit from plastic wet wipes production.</w:t>
      </w:r>
    </w:p>
    <w:p w14:paraId="60291779" w14:textId="595112A5" w:rsidR="00F87F8B" w:rsidRPr="007A518A" w:rsidRDefault="00F87F8B" w:rsidP="00F87F8B">
      <w:pPr>
        <w:rPr>
          <w:rFonts w:ascii="Arial" w:hAnsi="Arial" w:cs="Arial"/>
          <w:b/>
          <w:sz w:val="24"/>
          <w:szCs w:val="24"/>
        </w:rPr>
      </w:pPr>
      <w:r w:rsidRPr="007A518A">
        <w:rPr>
          <w:rFonts w:ascii="Arial" w:hAnsi="Arial" w:cs="Arial"/>
          <w:b/>
          <w:sz w:val="24"/>
          <w:szCs w:val="24"/>
        </w:rPr>
        <w:t>Small and Micro Business Assessment (</w:t>
      </w:r>
      <w:proofErr w:type="spellStart"/>
      <w:r w:rsidRPr="007A518A">
        <w:rPr>
          <w:rFonts w:ascii="Arial" w:hAnsi="Arial" w:cs="Arial"/>
          <w:b/>
          <w:sz w:val="24"/>
          <w:szCs w:val="24"/>
        </w:rPr>
        <w:t>SaMBA</w:t>
      </w:r>
      <w:proofErr w:type="spellEnd"/>
      <w:r w:rsidRPr="007A518A">
        <w:rPr>
          <w:rFonts w:ascii="Arial" w:hAnsi="Arial" w:cs="Arial"/>
          <w:b/>
          <w:sz w:val="24"/>
          <w:szCs w:val="24"/>
        </w:rPr>
        <w:t>)</w:t>
      </w:r>
    </w:p>
    <w:p w14:paraId="0A5C4086" w14:textId="70AC9CFD" w:rsidR="009978ED" w:rsidRPr="009978ED" w:rsidRDefault="00442F33" w:rsidP="009978ED">
      <w:pPr>
        <w:pStyle w:val="ListParagraph"/>
        <w:numPr>
          <w:ilvl w:val="0"/>
          <w:numId w:val="5"/>
        </w:numPr>
        <w:ind w:left="426"/>
      </w:pPr>
      <w:r w:rsidRPr="007A518A">
        <w:rPr>
          <w:rFonts w:ascii="Arial" w:hAnsi="Arial" w:cs="Arial"/>
          <w:sz w:val="24"/>
          <w:szCs w:val="24"/>
        </w:rPr>
        <w:t xml:space="preserve">Defra </w:t>
      </w:r>
      <w:r w:rsidR="00F87F8B" w:rsidRPr="007A518A">
        <w:rPr>
          <w:rFonts w:ascii="Arial" w:hAnsi="Arial" w:cs="Arial"/>
          <w:sz w:val="24"/>
          <w:szCs w:val="24"/>
        </w:rPr>
        <w:t xml:space="preserve">will be conducting a </w:t>
      </w:r>
      <w:r w:rsidR="00B40D06">
        <w:rPr>
          <w:rFonts w:ascii="Arial" w:hAnsi="Arial" w:cs="Arial"/>
          <w:sz w:val="24"/>
          <w:szCs w:val="24"/>
        </w:rPr>
        <w:t xml:space="preserve">UK-wide </w:t>
      </w:r>
      <w:r w:rsidR="00F87F8B" w:rsidRPr="007A518A">
        <w:rPr>
          <w:rFonts w:ascii="Arial" w:hAnsi="Arial" w:cs="Arial"/>
          <w:sz w:val="24"/>
          <w:szCs w:val="24"/>
        </w:rPr>
        <w:t xml:space="preserve">small and micro business assessment in the final impact assessment. To estimate the market share held by businesses of different sizes </w:t>
      </w:r>
      <w:r w:rsidR="00791A6F">
        <w:rPr>
          <w:rFonts w:ascii="Arial" w:hAnsi="Arial" w:cs="Arial"/>
          <w:sz w:val="24"/>
          <w:szCs w:val="24"/>
        </w:rPr>
        <w:t>Defra</w:t>
      </w:r>
      <w:r w:rsidR="00791A6F" w:rsidRPr="007A518A">
        <w:rPr>
          <w:rFonts w:ascii="Arial" w:hAnsi="Arial" w:cs="Arial"/>
          <w:sz w:val="24"/>
          <w:szCs w:val="24"/>
        </w:rPr>
        <w:t xml:space="preserve"> </w:t>
      </w:r>
      <w:r w:rsidR="00F87F8B" w:rsidRPr="007A518A">
        <w:rPr>
          <w:rFonts w:ascii="Arial" w:hAnsi="Arial" w:cs="Arial"/>
          <w:sz w:val="24"/>
          <w:szCs w:val="24"/>
        </w:rPr>
        <w:t>use</w:t>
      </w:r>
      <w:r w:rsidR="00791A6F">
        <w:rPr>
          <w:rFonts w:ascii="Arial" w:hAnsi="Arial" w:cs="Arial"/>
          <w:sz w:val="24"/>
          <w:szCs w:val="24"/>
        </w:rPr>
        <w:t>s</w:t>
      </w:r>
      <w:r w:rsidR="00F87F8B" w:rsidRPr="007A518A">
        <w:rPr>
          <w:rFonts w:ascii="Arial" w:hAnsi="Arial" w:cs="Arial"/>
          <w:sz w:val="24"/>
          <w:szCs w:val="24"/>
        </w:rPr>
        <w:t xml:space="preserve"> the turnover data</w:t>
      </w:r>
      <w:r w:rsidR="00F87F8B" w:rsidRPr="00DE4170">
        <w:rPr>
          <w:rFonts w:ascii="Arial" w:hAnsi="Arial" w:cs="Arial"/>
          <w:sz w:val="24"/>
          <w:szCs w:val="24"/>
          <w:vertAlign w:val="superscript"/>
        </w:rPr>
        <w:footnoteReference w:id="19"/>
      </w:r>
      <w:r w:rsidR="00F87F8B" w:rsidRPr="007A518A">
        <w:rPr>
          <w:rFonts w:ascii="Arial" w:hAnsi="Arial" w:cs="Arial"/>
          <w:sz w:val="24"/>
          <w:szCs w:val="24"/>
        </w:rPr>
        <w:t xml:space="preserve"> by SIC codes published by the Office for National Statistics (ONS). The proportion of turnover by “G: wholesale and retail trade; repair of motor” can be used as a proxy for the market share split of wet wipe retailers/wholesalers and “C: Manufacturing” turnover split can be used as a proxy for the market share split of wet wipe manufacturers.</w:t>
      </w:r>
      <w:r w:rsidR="005E76C7" w:rsidRPr="007A518A">
        <w:rPr>
          <w:rFonts w:ascii="Arial" w:hAnsi="Arial" w:cs="Arial"/>
          <w:sz w:val="24"/>
          <w:szCs w:val="24"/>
        </w:rPr>
        <w:t xml:space="preserve"> This market split is displayed in table 5.</w:t>
      </w:r>
    </w:p>
    <w:p w14:paraId="3658F31E" w14:textId="77777777" w:rsidR="00A77D36" w:rsidRDefault="00A77D36" w:rsidP="009978ED">
      <w:pPr>
        <w:rPr>
          <w:rFonts w:ascii="Arial" w:eastAsia="Times New Roman" w:hAnsi="Arial" w:cs="Arial"/>
          <w:color w:val="008938"/>
          <w:sz w:val="24"/>
          <w:szCs w:val="24"/>
        </w:rPr>
      </w:pPr>
    </w:p>
    <w:p w14:paraId="6390001A" w14:textId="00A933B9" w:rsidR="00F87F8B" w:rsidRDefault="005E76C7" w:rsidP="009978ED">
      <w:r w:rsidRPr="009978ED">
        <w:rPr>
          <w:rFonts w:ascii="Arial" w:eastAsia="Times New Roman" w:hAnsi="Arial" w:cs="Arial"/>
          <w:color w:val="008938"/>
          <w:sz w:val="24"/>
          <w:szCs w:val="24"/>
        </w:rPr>
        <w:t>Table 5:</w:t>
      </w:r>
      <w:r w:rsidR="00AB1599" w:rsidRPr="009978ED">
        <w:rPr>
          <w:rFonts w:ascii="Arial" w:eastAsia="Times New Roman" w:hAnsi="Arial" w:cs="Arial"/>
          <w:color w:val="008938"/>
          <w:sz w:val="24"/>
          <w:szCs w:val="24"/>
        </w:rPr>
        <w:t xml:space="preserve"> </w:t>
      </w:r>
      <w:r w:rsidR="002B0AF9" w:rsidRPr="009978ED">
        <w:rPr>
          <w:rFonts w:ascii="Arial" w:eastAsia="Times New Roman" w:hAnsi="Arial" w:cs="Arial"/>
          <w:color w:val="008938"/>
          <w:sz w:val="24"/>
          <w:szCs w:val="24"/>
        </w:rPr>
        <w:t>Turnover m</w:t>
      </w:r>
      <w:r w:rsidR="00AB1599" w:rsidRPr="009978ED">
        <w:rPr>
          <w:rFonts w:ascii="Arial" w:eastAsia="Times New Roman" w:hAnsi="Arial" w:cs="Arial"/>
          <w:color w:val="008938"/>
          <w:sz w:val="24"/>
          <w:szCs w:val="24"/>
        </w:rPr>
        <w:t xml:space="preserve">arket share of </w:t>
      </w:r>
      <w:r w:rsidR="00656ECF" w:rsidRPr="009978ED">
        <w:rPr>
          <w:rFonts w:ascii="Arial" w:eastAsia="Times New Roman" w:hAnsi="Arial" w:cs="Arial"/>
          <w:color w:val="008938"/>
          <w:sz w:val="24"/>
          <w:szCs w:val="24"/>
        </w:rPr>
        <w:t>affected businesses by employment size band</w:t>
      </w:r>
      <w:r w:rsidR="00515399">
        <w:rPr>
          <w:rFonts w:ascii="Arial" w:eastAsia="Times New Roman" w:hAnsi="Arial" w:cs="Arial"/>
          <w:color w:val="008938"/>
          <w:sz w:val="24"/>
          <w:szCs w:val="24"/>
        </w:rPr>
        <w:t xml:space="preserve"> for </w:t>
      </w:r>
      <w:r w:rsidR="00F4747E">
        <w:rPr>
          <w:rFonts w:ascii="Arial" w:eastAsia="Times New Roman" w:hAnsi="Arial" w:cs="Arial"/>
          <w:color w:val="008938"/>
          <w:sz w:val="24"/>
          <w:szCs w:val="24"/>
        </w:rPr>
        <w:t>the UK</w:t>
      </w:r>
    </w:p>
    <w:tbl>
      <w:tblPr>
        <w:tblStyle w:val="GridTable1Light-Accent6"/>
        <w:tblW w:w="11485" w:type="dxa"/>
        <w:jc w:val="center"/>
        <w:tblLook w:val="04A0" w:firstRow="1" w:lastRow="0" w:firstColumn="1" w:lastColumn="0" w:noHBand="0" w:noVBand="1"/>
      </w:tblPr>
      <w:tblGrid>
        <w:gridCol w:w="4980"/>
        <w:gridCol w:w="1677"/>
        <w:gridCol w:w="1620"/>
        <w:gridCol w:w="1720"/>
        <w:gridCol w:w="1488"/>
      </w:tblGrid>
      <w:tr w:rsidR="007C1077" w:rsidRPr="007C1077" w14:paraId="7FFFDAF9" w14:textId="77777777" w:rsidTr="2F4C217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83" w:type="dxa"/>
            <w:tcBorders>
              <w:top w:val="single" w:sz="12" w:space="0" w:color="70AD47" w:themeColor="accent6"/>
              <w:left w:val="single" w:sz="12" w:space="0" w:color="70AD47" w:themeColor="accent6"/>
            </w:tcBorders>
            <w:hideMark/>
          </w:tcPr>
          <w:p w14:paraId="371B74CC" w14:textId="77777777" w:rsidR="00EB717B" w:rsidRPr="007C1077" w:rsidRDefault="00EB717B">
            <w:pPr>
              <w:rPr>
                <w:rFonts w:ascii="Arial" w:hAnsi="Arial" w:cs="Arial"/>
              </w:rPr>
            </w:pPr>
            <w:r w:rsidRPr="007C1077">
              <w:rPr>
                <w:rFonts w:ascii="Arial" w:hAnsi="Arial" w:cs="Arial"/>
              </w:rPr>
              <w:t>UK Market share by turnover</w:t>
            </w:r>
          </w:p>
        </w:tc>
        <w:tc>
          <w:tcPr>
            <w:tcW w:w="6502" w:type="dxa"/>
            <w:gridSpan w:val="4"/>
            <w:tcBorders>
              <w:top w:val="single" w:sz="12" w:space="0" w:color="70AD47" w:themeColor="accent6"/>
              <w:right w:val="single" w:sz="12" w:space="0" w:color="70AD47" w:themeColor="accent6"/>
            </w:tcBorders>
            <w:hideMark/>
          </w:tcPr>
          <w:p w14:paraId="335C88FB" w14:textId="77777777" w:rsidR="00EB717B" w:rsidRPr="007C1077" w:rsidRDefault="00EB717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Employment size band  </w:t>
            </w:r>
          </w:p>
        </w:tc>
      </w:tr>
      <w:tr w:rsidR="007C1077" w:rsidRPr="007C1077" w14:paraId="1D4EFB46" w14:textId="77777777" w:rsidTr="2F4C2170">
        <w:trPr>
          <w:trHeight w:val="315"/>
          <w:jc w:val="center"/>
        </w:trPr>
        <w:tc>
          <w:tcPr>
            <w:cnfStyle w:val="001000000000" w:firstRow="0" w:lastRow="0" w:firstColumn="1" w:lastColumn="0" w:oddVBand="0" w:evenVBand="0" w:oddHBand="0" w:evenHBand="0" w:firstRowFirstColumn="0" w:firstRowLastColumn="0" w:lastRowFirstColumn="0" w:lastRowLastColumn="0"/>
            <w:tcW w:w="4983" w:type="dxa"/>
            <w:vMerge w:val="restart"/>
            <w:tcBorders>
              <w:left w:val="single" w:sz="12" w:space="0" w:color="70AD47" w:themeColor="accent6"/>
            </w:tcBorders>
            <w:hideMark/>
          </w:tcPr>
          <w:p w14:paraId="158081D7" w14:textId="77777777" w:rsidR="00EB717B" w:rsidRPr="007C1077" w:rsidRDefault="00EB717B">
            <w:pPr>
              <w:jc w:val="center"/>
              <w:rPr>
                <w:rFonts w:ascii="Arial" w:hAnsi="Arial" w:cs="Arial"/>
                <w:b w:val="0"/>
                <w:bCs w:val="0"/>
              </w:rPr>
            </w:pPr>
            <w:r w:rsidRPr="007C1077">
              <w:rPr>
                <w:rFonts w:ascii="Arial" w:hAnsi="Arial" w:cs="Arial"/>
                <w:b w:val="0"/>
                <w:bCs w:val="0"/>
              </w:rPr>
              <w:t> </w:t>
            </w:r>
            <w:r w:rsidRPr="007C1077">
              <w:rPr>
                <w:rFonts w:ascii="Arial" w:hAnsi="Arial" w:cs="Arial"/>
              </w:rPr>
              <w:t> </w:t>
            </w:r>
          </w:p>
        </w:tc>
        <w:tc>
          <w:tcPr>
            <w:tcW w:w="1677" w:type="dxa"/>
            <w:hideMark/>
          </w:tcPr>
          <w:p w14:paraId="7E01C07C"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Micro</w:t>
            </w:r>
            <w:r w:rsidRPr="007C1077">
              <w:rPr>
                <w:rFonts w:ascii="Arial" w:hAnsi="Arial" w:cs="Arial"/>
              </w:rPr>
              <w:t> </w:t>
            </w:r>
          </w:p>
        </w:tc>
        <w:tc>
          <w:tcPr>
            <w:tcW w:w="1620" w:type="dxa"/>
            <w:hideMark/>
          </w:tcPr>
          <w:p w14:paraId="24425BC5"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Small</w:t>
            </w:r>
            <w:r w:rsidRPr="007C1077">
              <w:rPr>
                <w:rFonts w:ascii="Arial" w:hAnsi="Arial" w:cs="Arial"/>
              </w:rPr>
              <w:t> </w:t>
            </w:r>
          </w:p>
        </w:tc>
        <w:tc>
          <w:tcPr>
            <w:tcW w:w="1720" w:type="dxa"/>
            <w:hideMark/>
          </w:tcPr>
          <w:p w14:paraId="20C75ED3"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Medium</w:t>
            </w:r>
            <w:r w:rsidRPr="007C1077">
              <w:rPr>
                <w:rFonts w:ascii="Arial" w:hAnsi="Arial" w:cs="Arial"/>
              </w:rPr>
              <w:t> </w:t>
            </w:r>
          </w:p>
        </w:tc>
        <w:tc>
          <w:tcPr>
            <w:tcW w:w="1485" w:type="dxa"/>
            <w:tcBorders>
              <w:right w:val="single" w:sz="12" w:space="0" w:color="70AD47" w:themeColor="accent6"/>
            </w:tcBorders>
            <w:hideMark/>
          </w:tcPr>
          <w:p w14:paraId="1B8D785B"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Large</w:t>
            </w:r>
            <w:r w:rsidRPr="007C1077">
              <w:rPr>
                <w:rFonts w:ascii="Arial" w:hAnsi="Arial" w:cs="Arial"/>
              </w:rPr>
              <w:t> </w:t>
            </w:r>
          </w:p>
        </w:tc>
      </w:tr>
      <w:tr w:rsidR="007C1077" w:rsidRPr="007C1077" w14:paraId="70DEF7F9" w14:textId="77777777" w:rsidTr="2F4C2170">
        <w:trPr>
          <w:trHeight w:val="615"/>
          <w:jc w:val="center"/>
        </w:trPr>
        <w:tc>
          <w:tcPr>
            <w:cnfStyle w:val="001000000000" w:firstRow="0" w:lastRow="0" w:firstColumn="1" w:lastColumn="0" w:oddVBand="0" w:evenVBand="0" w:oddHBand="0" w:evenHBand="0" w:firstRowFirstColumn="0" w:firstRowLastColumn="0" w:lastRowFirstColumn="0" w:lastRowLastColumn="0"/>
            <w:tcW w:w="4983" w:type="dxa"/>
            <w:vMerge/>
            <w:hideMark/>
          </w:tcPr>
          <w:p w14:paraId="7A0A7974" w14:textId="77777777" w:rsidR="00EB717B" w:rsidRPr="007C1077" w:rsidRDefault="00EB717B">
            <w:pPr>
              <w:rPr>
                <w:rFonts w:ascii="Arial" w:hAnsi="Arial" w:cs="Arial"/>
              </w:rPr>
            </w:pPr>
          </w:p>
        </w:tc>
        <w:tc>
          <w:tcPr>
            <w:tcW w:w="1677" w:type="dxa"/>
            <w:hideMark/>
          </w:tcPr>
          <w:p w14:paraId="7EE24CD9"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(0–9 employees)</w:t>
            </w:r>
            <w:r w:rsidRPr="007C1077">
              <w:rPr>
                <w:rFonts w:ascii="Arial" w:hAnsi="Arial" w:cs="Arial"/>
              </w:rPr>
              <w:t> </w:t>
            </w:r>
          </w:p>
        </w:tc>
        <w:tc>
          <w:tcPr>
            <w:tcW w:w="1620" w:type="dxa"/>
            <w:hideMark/>
          </w:tcPr>
          <w:p w14:paraId="4AAB2ED2"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(10–49 employees)</w:t>
            </w:r>
            <w:r w:rsidRPr="007C1077">
              <w:rPr>
                <w:rFonts w:ascii="Arial" w:hAnsi="Arial" w:cs="Arial"/>
              </w:rPr>
              <w:t> </w:t>
            </w:r>
          </w:p>
        </w:tc>
        <w:tc>
          <w:tcPr>
            <w:tcW w:w="1720" w:type="dxa"/>
            <w:hideMark/>
          </w:tcPr>
          <w:p w14:paraId="24301039"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(50–249 employees)</w:t>
            </w:r>
            <w:r w:rsidRPr="007C1077">
              <w:rPr>
                <w:rFonts w:ascii="Arial" w:hAnsi="Arial" w:cs="Arial"/>
              </w:rPr>
              <w:t> </w:t>
            </w:r>
          </w:p>
        </w:tc>
        <w:tc>
          <w:tcPr>
            <w:tcW w:w="1485" w:type="dxa"/>
            <w:tcBorders>
              <w:right w:val="single" w:sz="12" w:space="0" w:color="70AD47" w:themeColor="accent6"/>
            </w:tcBorders>
            <w:hideMark/>
          </w:tcPr>
          <w:p w14:paraId="62EB1DB1" w14:textId="77777777" w:rsidR="00EB717B" w:rsidRPr="007C1077" w:rsidRDefault="00EB717B">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C1077">
              <w:rPr>
                <w:rFonts w:ascii="Arial" w:hAnsi="Arial" w:cs="Arial"/>
                <w:b/>
                <w:bCs/>
              </w:rPr>
              <w:t>(250 or more employees)</w:t>
            </w:r>
            <w:r w:rsidRPr="007C1077">
              <w:rPr>
                <w:rFonts w:ascii="Arial" w:hAnsi="Arial" w:cs="Arial"/>
              </w:rPr>
              <w:t> </w:t>
            </w:r>
          </w:p>
        </w:tc>
      </w:tr>
      <w:tr w:rsidR="007C1077" w:rsidRPr="007C1077" w14:paraId="2D527F20" w14:textId="77777777" w:rsidTr="2F4C2170">
        <w:trPr>
          <w:trHeight w:val="615"/>
          <w:jc w:val="center"/>
        </w:trPr>
        <w:tc>
          <w:tcPr>
            <w:cnfStyle w:val="001000000000" w:firstRow="0" w:lastRow="0" w:firstColumn="1" w:lastColumn="0" w:oddVBand="0" w:evenVBand="0" w:oddHBand="0" w:evenHBand="0" w:firstRowFirstColumn="0" w:firstRowLastColumn="0" w:lastRowFirstColumn="0" w:lastRowLastColumn="0"/>
            <w:tcW w:w="4983" w:type="dxa"/>
            <w:tcBorders>
              <w:left w:val="single" w:sz="12" w:space="0" w:color="70AD47" w:themeColor="accent6"/>
            </w:tcBorders>
            <w:hideMark/>
          </w:tcPr>
          <w:p w14:paraId="34DC0225" w14:textId="77777777" w:rsidR="00EB717B" w:rsidRPr="007C1077" w:rsidRDefault="00EB717B">
            <w:pPr>
              <w:rPr>
                <w:rFonts w:ascii="Arial" w:hAnsi="Arial" w:cs="Arial"/>
              </w:rPr>
            </w:pPr>
            <w:proofErr w:type="gramStart"/>
            <w:r w:rsidRPr="007C1077">
              <w:rPr>
                <w:rFonts w:ascii="Arial" w:hAnsi="Arial" w:cs="Arial"/>
              </w:rPr>
              <w:t>G :</w:t>
            </w:r>
            <w:proofErr w:type="gramEnd"/>
            <w:r w:rsidRPr="007C1077">
              <w:rPr>
                <w:rFonts w:ascii="Arial" w:hAnsi="Arial" w:cs="Arial"/>
              </w:rPr>
              <w:t xml:space="preserve"> Wholesale and retail trade; repair of motor </w:t>
            </w:r>
          </w:p>
        </w:tc>
        <w:tc>
          <w:tcPr>
            <w:tcW w:w="1677" w:type="dxa"/>
            <w:hideMark/>
          </w:tcPr>
          <w:p w14:paraId="774B147D"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12%</w:t>
            </w:r>
          </w:p>
        </w:tc>
        <w:tc>
          <w:tcPr>
            <w:tcW w:w="1620" w:type="dxa"/>
            <w:hideMark/>
          </w:tcPr>
          <w:p w14:paraId="165DF174"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17%</w:t>
            </w:r>
          </w:p>
        </w:tc>
        <w:tc>
          <w:tcPr>
            <w:tcW w:w="1720" w:type="dxa"/>
            <w:hideMark/>
          </w:tcPr>
          <w:p w14:paraId="2D04B44D"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20%</w:t>
            </w:r>
          </w:p>
        </w:tc>
        <w:tc>
          <w:tcPr>
            <w:tcW w:w="1485" w:type="dxa"/>
            <w:tcBorders>
              <w:right w:val="single" w:sz="12" w:space="0" w:color="70AD47" w:themeColor="accent6"/>
            </w:tcBorders>
            <w:hideMark/>
          </w:tcPr>
          <w:p w14:paraId="2885BA8D"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50%</w:t>
            </w:r>
          </w:p>
        </w:tc>
      </w:tr>
      <w:tr w:rsidR="007C1077" w:rsidRPr="007C1077" w14:paraId="47BC3214" w14:textId="77777777" w:rsidTr="2F4C2170">
        <w:trPr>
          <w:trHeight w:val="300"/>
          <w:jc w:val="center"/>
        </w:trPr>
        <w:tc>
          <w:tcPr>
            <w:cnfStyle w:val="001000000000" w:firstRow="0" w:lastRow="0" w:firstColumn="1" w:lastColumn="0" w:oddVBand="0" w:evenVBand="0" w:oddHBand="0" w:evenHBand="0" w:firstRowFirstColumn="0" w:firstRowLastColumn="0" w:lastRowFirstColumn="0" w:lastRowLastColumn="0"/>
            <w:tcW w:w="4983" w:type="dxa"/>
            <w:tcBorders>
              <w:left w:val="single" w:sz="12" w:space="0" w:color="70AD47" w:themeColor="accent6"/>
              <w:bottom w:val="single" w:sz="12" w:space="0" w:color="70AD47" w:themeColor="accent6"/>
            </w:tcBorders>
            <w:hideMark/>
          </w:tcPr>
          <w:p w14:paraId="50E3C88A" w14:textId="77777777" w:rsidR="00EB717B" w:rsidRPr="00F4747E" w:rsidRDefault="00EB717B">
            <w:pPr>
              <w:rPr>
                <w:rFonts w:ascii="Arial" w:hAnsi="Arial" w:cs="Arial"/>
              </w:rPr>
            </w:pPr>
            <w:proofErr w:type="gramStart"/>
            <w:r w:rsidRPr="00F4747E">
              <w:rPr>
                <w:rFonts w:ascii="Arial" w:hAnsi="Arial" w:cs="Arial"/>
              </w:rPr>
              <w:t>C :</w:t>
            </w:r>
            <w:proofErr w:type="gramEnd"/>
            <w:r w:rsidRPr="00F4747E">
              <w:rPr>
                <w:rFonts w:ascii="Arial" w:hAnsi="Arial" w:cs="Arial"/>
              </w:rPr>
              <w:t xml:space="preserve"> Manufacturing </w:t>
            </w:r>
          </w:p>
        </w:tc>
        <w:tc>
          <w:tcPr>
            <w:tcW w:w="1677" w:type="dxa"/>
            <w:tcBorders>
              <w:bottom w:val="single" w:sz="12" w:space="0" w:color="70AD47" w:themeColor="accent6"/>
            </w:tcBorders>
            <w:hideMark/>
          </w:tcPr>
          <w:p w14:paraId="4D912EC6"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5%</w:t>
            </w:r>
          </w:p>
        </w:tc>
        <w:tc>
          <w:tcPr>
            <w:tcW w:w="1620" w:type="dxa"/>
            <w:tcBorders>
              <w:bottom w:val="single" w:sz="12" w:space="0" w:color="70AD47" w:themeColor="accent6"/>
            </w:tcBorders>
            <w:hideMark/>
          </w:tcPr>
          <w:p w14:paraId="55BC3732"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9%</w:t>
            </w:r>
          </w:p>
        </w:tc>
        <w:tc>
          <w:tcPr>
            <w:tcW w:w="1720" w:type="dxa"/>
            <w:tcBorders>
              <w:bottom w:val="single" w:sz="12" w:space="0" w:color="70AD47" w:themeColor="accent6"/>
            </w:tcBorders>
            <w:hideMark/>
          </w:tcPr>
          <w:p w14:paraId="309E6E21"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18%</w:t>
            </w:r>
          </w:p>
        </w:tc>
        <w:tc>
          <w:tcPr>
            <w:tcW w:w="1485" w:type="dxa"/>
            <w:tcBorders>
              <w:bottom w:val="single" w:sz="12" w:space="0" w:color="70AD47" w:themeColor="accent6"/>
              <w:right w:val="single" w:sz="12" w:space="0" w:color="70AD47" w:themeColor="accent6"/>
            </w:tcBorders>
            <w:hideMark/>
          </w:tcPr>
          <w:p w14:paraId="48F3B038" w14:textId="77777777" w:rsidR="00EB717B" w:rsidRPr="007C1077" w:rsidRDefault="00EB717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C1077">
              <w:rPr>
                <w:rFonts w:ascii="Arial" w:hAnsi="Arial" w:cs="Arial"/>
              </w:rPr>
              <w:t>68%</w:t>
            </w:r>
          </w:p>
        </w:tc>
      </w:tr>
    </w:tbl>
    <w:p w14:paraId="778FF977" w14:textId="77777777" w:rsidR="00ED4654" w:rsidRDefault="00ED4654" w:rsidP="00F87F8B">
      <w:pPr>
        <w:rPr>
          <w:rFonts w:cstheme="minorHAnsi"/>
        </w:rPr>
      </w:pPr>
    </w:p>
    <w:p w14:paraId="2660D743" w14:textId="042C0769" w:rsidR="00F87F8B" w:rsidRDefault="00F87F8B" w:rsidP="007A518A">
      <w:pPr>
        <w:pStyle w:val="ListParagraph"/>
        <w:numPr>
          <w:ilvl w:val="0"/>
          <w:numId w:val="5"/>
        </w:numPr>
        <w:ind w:left="567" w:hanging="567"/>
        <w:rPr>
          <w:rFonts w:ascii="Arial" w:hAnsi="Arial" w:cs="Arial"/>
          <w:sz w:val="24"/>
          <w:szCs w:val="24"/>
        </w:rPr>
      </w:pPr>
      <w:r w:rsidRPr="007A518A">
        <w:rPr>
          <w:rFonts w:ascii="Arial" w:hAnsi="Arial" w:cs="Arial"/>
          <w:sz w:val="24"/>
          <w:szCs w:val="24"/>
        </w:rPr>
        <w:t>(Note that some of the large manufacturing turnover was not included in the ONS dataset to avoid disclosure by deduction. Therefore, the percentages above likely underestimate the market share of the large manufacturers)</w:t>
      </w:r>
    </w:p>
    <w:p w14:paraId="1CEE922E" w14:textId="042C0769" w:rsidR="009B463B" w:rsidRPr="007A518A" w:rsidRDefault="009B463B" w:rsidP="007A518A">
      <w:pPr>
        <w:pStyle w:val="ListParagraph"/>
        <w:ind w:left="567" w:hanging="567"/>
        <w:rPr>
          <w:rFonts w:ascii="Arial" w:hAnsi="Arial" w:cs="Arial"/>
          <w:sz w:val="24"/>
          <w:szCs w:val="24"/>
        </w:rPr>
      </w:pPr>
    </w:p>
    <w:p w14:paraId="6C2EFBCE" w14:textId="24C82FBC" w:rsidR="00F87F8B" w:rsidRPr="007A518A" w:rsidRDefault="00F87F8B" w:rsidP="007A518A">
      <w:pPr>
        <w:pStyle w:val="ListParagraph"/>
        <w:numPr>
          <w:ilvl w:val="0"/>
          <w:numId w:val="5"/>
        </w:numPr>
        <w:ind w:left="567" w:hanging="567"/>
        <w:rPr>
          <w:rFonts w:ascii="Arial" w:hAnsi="Arial" w:cs="Arial"/>
          <w:sz w:val="24"/>
          <w:szCs w:val="24"/>
        </w:rPr>
      </w:pPr>
      <w:proofErr w:type="gramStart"/>
      <w:r w:rsidRPr="007A518A">
        <w:rPr>
          <w:rFonts w:ascii="Arial" w:hAnsi="Arial" w:cs="Arial"/>
          <w:sz w:val="24"/>
          <w:szCs w:val="24"/>
        </w:rPr>
        <w:t>These market</w:t>
      </w:r>
      <w:proofErr w:type="gramEnd"/>
      <w:r w:rsidRPr="007A518A">
        <w:rPr>
          <w:rFonts w:ascii="Arial" w:hAnsi="Arial" w:cs="Arial"/>
          <w:sz w:val="24"/>
          <w:szCs w:val="24"/>
        </w:rPr>
        <w:t xml:space="preserve"> share split estimates can be applied to business impact estimates to assess the impact that the ban will have on small and micro businesses.</w:t>
      </w:r>
    </w:p>
    <w:p w14:paraId="75429924" w14:textId="042C0769" w:rsidR="003F216B" w:rsidRDefault="003F216B" w:rsidP="00F87F8B">
      <w:pPr>
        <w:rPr>
          <w:b/>
          <w:bCs/>
        </w:rPr>
      </w:pPr>
      <w:r w:rsidRPr="007A518A">
        <w:rPr>
          <w:rFonts w:ascii="Arial" w:hAnsi="Arial" w:cs="Arial"/>
          <w:b/>
          <w:sz w:val="24"/>
          <w:szCs w:val="24"/>
        </w:rPr>
        <w:t>Medium business assessment</w:t>
      </w:r>
    </w:p>
    <w:p w14:paraId="1F84D73F" w14:textId="3FCE3BE6" w:rsidR="009B463B" w:rsidRDefault="0070575B" w:rsidP="007A518A">
      <w:pPr>
        <w:pStyle w:val="ListParagraph"/>
        <w:numPr>
          <w:ilvl w:val="0"/>
          <w:numId w:val="5"/>
        </w:numPr>
        <w:ind w:left="567" w:hanging="567"/>
        <w:rPr>
          <w:rFonts w:ascii="Arial" w:hAnsi="Arial" w:cs="Arial"/>
          <w:sz w:val="24"/>
          <w:szCs w:val="24"/>
        </w:rPr>
      </w:pPr>
      <w:r w:rsidRPr="007A518A">
        <w:rPr>
          <w:rFonts w:ascii="Arial" w:hAnsi="Arial" w:cs="Arial"/>
          <w:sz w:val="24"/>
          <w:szCs w:val="24"/>
        </w:rPr>
        <w:t>Table 5 shows th</w:t>
      </w:r>
      <w:r w:rsidR="00F60F3B" w:rsidRPr="007A518A">
        <w:rPr>
          <w:rFonts w:ascii="Arial" w:hAnsi="Arial" w:cs="Arial"/>
          <w:sz w:val="24"/>
          <w:szCs w:val="24"/>
        </w:rPr>
        <w:t xml:space="preserve">e turnover market share of </w:t>
      </w:r>
      <w:r w:rsidR="0041110E" w:rsidRPr="007A518A">
        <w:rPr>
          <w:rFonts w:ascii="Arial" w:hAnsi="Arial" w:cs="Arial"/>
          <w:sz w:val="24"/>
          <w:szCs w:val="24"/>
        </w:rPr>
        <w:t>ONS’ definition of medium businesses (</w:t>
      </w:r>
      <w:r w:rsidR="000D505C" w:rsidRPr="007A518A">
        <w:rPr>
          <w:rFonts w:ascii="Arial" w:hAnsi="Arial" w:cs="Arial"/>
          <w:sz w:val="24"/>
          <w:szCs w:val="24"/>
        </w:rPr>
        <w:t>50-249 employees)</w:t>
      </w:r>
      <w:r w:rsidR="00F755BF" w:rsidRPr="007A518A">
        <w:rPr>
          <w:rFonts w:ascii="Arial" w:hAnsi="Arial" w:cs="Arial"/>
          <w:sz w:val="24"/>
          <w:szCs w:val="24"/>
        </w:rPr>
        <w:t xml:space="preserve">, which is </w:t>
      </w:r>
      <w:r w:rsidR="00FB083A">
        <w:rPr>
          <w:rFonts w:ascii="Arial" w:hAnsi="Arial" w:cs="Arial"/>
          <w:sz w:val="24"/>
          <w:szCs w:val="24"/>
        </w:rPr>
        <w:t>20</w:t>
      </w:r>
      <w:r w:rsidR="000E3C84" w:rsidRPr="007A518A">
        <w:rPr>
          <w:rFonts w:ascii="Arial" w:hAnsi="Arial" w:cs="Arial"/>
          <w:sz w:val="24"/>
          <w:szCs w:val="24"/>
        </w:rPr>
        <w:t xml:space="preserve">% of market share in wholesale and retail sectors and </w:t>
      </w:r>
      <w:r w:rsidR="00FB083A">
        <w:rPr>
          <w:rFonts w:ascii="Arial" w:hAnsi="Arial" w:cs="Arial"/>
          <w:sz w:val="24"/>
          <w:szCs w:val="24"/>
        </w:rPr>
        <w:t>18</w:t>
      </w:r>
      <w:r w:rsidR="000E3C84" w:rsidRPr="007A518A">
        <w:rPr>
          <w:rFonts w:ascii="Arial" w:hAnsi="Arial" w:cs="Arial"/>
          <w:sz w:val="24"/>
          <w:szCs w:val="24"/>
        </w:rPr>
        <w:t>% in manufacturing.</w:t>
      </w:r>
    </w:p>
    <w:p w14:paraId="5932F6B3" w14:textId="042C0769" w:rsidR="000138AA" w:rsidRPr="007A518A" w:rsidRDefault="000138AA" w:rsidP="007A518A">
      <w:pPr>
        <w:pStyle w:val="ListParagraph"/>
        <w:ind w:left="567"/>
        <w:rPr>
          <w:rFonts w:ascii="Arial" w:hAnsi="Arial" w:cs="Arial"/>
          <w:sz w:val="24"/>
          <w:szCs w:val="24"/>
        </w:rPr>
      </w:pPr>
    </w:p>
    <w:p w14:paraId="2D71A83F" w14:textId="31AF27DF" w:rsidR="004B1A78" w:rsidRPr="00682205" w:rsidRDefault="00142C38" w:rsidP="007A518A">
      <w:pPr>
        <w:pStyle w:val="ListParagraph"/>
        <w:numPr>
          <w:ilvl w:val="0"/>
          <w:numId w:val="5"/>
        </w:numPr>
        <w:ind w:left="567" w:hanging="567"/>
      </w:pPr>
      <w:r w:rsidRPr="007A518A">
        <w:rPr>
          <w:rFonts w:ascii="Arial" w:hAnsi="Arial" w:cs="Arial"/>
          <w:sz w:val="24"/>
          <w:szCs w:val="24"/>
        </w:rPr>
        <w:lastRenderedPageBreak/>
        <w:t xml:space="preserve">The </w:t>
      </w:r>
      <w:r w:rsidR="00471844" w:rsidRPr="007A518A">
        <w:rPr>
          <w:rFonts w:ascii="Arial" w:hAnsi="Arial" w:cs="Arial"/>
          <w:sz w:val="24"/>
          <w:szCs w:val="24"/>
        </w:rPr>
        <w:t xml:space="preserve">Better Regulation Framework guidance </w:t>
      </w:r>
      <w:r w:rsidR="00D57987" w:rsidRPr="007A518A">
        <w:rPr>
          <w:rFonts w:ascii="Arial" w:hAnsi="Arial" w:cs="Arial"/>
          <w:sz w:val="24"/>
          <w:szCs w:val="24"/>
        </w:rPr>
        <w:t xml:space="preserve">classifies medium businesses as </w:t>
      </w:r>
      <w:r w:rsidR="00FA5845" w:rsidRPr="007A518A">
        <w:rPr>
          <w:rFonts w:ascii="Arial" w:hAnsi="Arial" w:cs="Arial"/>
          <w:sz w:val="24"/>
          <w:szCs w:val="24"/>
        </w:rPr>
        <w:t xml:space="preserve">businesses within the employment band </w:t>
      </w:r>
      <w:r w:rsidR="00CC038B" w:rsidRPr="007A518A">
        <w:rPr>
          <w:rFonts w:ascii="Arial" w:hAnsi="Arial" w:cs="Arial"/>
          <w:sz w:val="24"/>
          <w:szCs w:val="24"/>
        </w:rPr>
        <w:t xml:space="preserve">of </w:t>
      </w:r>
      <w:r w:rsidR="00AD405C" w:rsidRPr="007A518A">
        <w:rPr>
          <w:rFonts w:ascii="Arial" w:hAnsi="Arial" w:cs="Arial"/>
          <w:sz w:val="24"/>
          <w:szCs w:val="24"/>
        </w:rPr>
        <w:t xml:space="preserve">50-499 employees. </w:t>
      </w:r>
      <w:r w:rsidR="00997987" w:rsidRPr="007A518A">
        <w:rPr>
          <w:rFonts w:ascii="Arial" w:hAnsi="Arial" w:cs="Arial"/>
          <w:sz w:val="24"/>
          <w:szCs w:val="24"/>
        </w:rPr>
        <w:t xml:space="preserve">As ONS data is unable to provide an estimate for the number of businesses with an employment size band between 50-499, </w:t>
      </w:r>
      <w:r w:rsidR="008677B5">
        <w:rPr>
          <w:rFonts w:ascii="Arial" w:hAnsi="Arial" w:cs="Arial"/>
          <w:sz w:val="24"/>
          <w:szCs w:val="24"/>
        </w:rPr>
        <w:t>Defra</w:t>
      </w:r>
      <w:r w:rsidR="008677B5" w:rsidRPr="007A518A">
        <w:rPr>
          <w:rFonts w:ascii="Arial" w:hAnsi="Arial" w:cs="Arial"/>
          <w:sz w:val="24"/>
          <w:szCs w:val="24"/>
        </w:rPr>
        <w:t xml:space="preserve"> </w:t>
      </w:r>
      <w:r w:rsidR="00997987" w:rsidRPr="007A518A">
        <w:rPr>
          <w:rFonts w:ascii="Arial" w:hAnsi="Arial" w:cs="Arial"/>
          <w:sz w:val="24"/>
          <w:szCs w:val="24"/>
        </w:rPr>
        <w:t>have used Nomis data to provide an approximate estimate.</w:t>
      </w:r>
      <w:r w:rsidR="00866E55" w:rsidRPr="007A518A">
        <w:rPr>
          <w:rFonts w:ascii="Arial" w:hAnsi="Arial" w:cs="Arial"/>
          <w:sz w:val="24"/>
          <w:szCs w:val="24"/>
        </w:rPr>
        <w:t xml:space="preserve"> </w:t>
      </w:r>
      <w:r w:rsidR="00AA1817" w:rsidRPr="007A518A">
        <w:rPr>
          <w:rFonts w:ascii="Arial" w:hAnsi="Arial" w:cs="Arial"/>
          <w:sz w:val="24"/>
          <w:szCs w:val="24"/>
        </w:rPr>
        <w:t xml:space="preserve">Table 6 shows the number of businesses in </w:t>
      </w:r>
      <w:r w:rsidR="00A81500">
        <w:rPr>
          <w:rFonts w:ascii="Arial" w:hAnsi="Arial" w:cs="Arial"/>
          <w:sz w:val="24"/>
          <w:szCs w:val="24"/>
        </w:rPr>
        <w:t>the UK</w:t>
      </w:r>
      <w:r w:rsidR="00AA1817" w:rsidRPr="007A518A">
        <w:rPr>
          <w:rFonts w:ascii="Arial" w:hAnsi="Arial" w:cs="Arial"/>
          <w:sz w:val="24"/>
          <w:szCs w:val="24"/>
        </w:rPr>
        <w:t xml:space="preserve"> </w:t>
      </w:r>
      <w:r w:rsidR="002E3FA4" w:rsidRPr="007A518A">
        <w:rPr>
          <w:rFonts w:ascii="Arial" w:hAnsi="Arial" w:cs="Arial"/>
          <w:sz w:val="24"/>
          <w:szCs w:val="24"/>
        </w:rPr>
        <w:t xml:space="preserve">within the SIC </w:t>
      </w:r>
      <w:r w:rsidR="00F134AF" w:rsidRPr="007A518A">
        <w:rPr>
          <w:rFonts w:ascii="Arial" w:hAnsi="Arial" w:cs="Arial"/>
          <w:sz w:val="24"/>
          <w:szCs w:val="24"/>
        </w:rPr>
        <w:t xml:space="preserve">codes that </w:t>
      </w:r>
      <w:r w:rsidR="008677B5">
        <w:rPr>
          <w:rFonts w:ascii="Arial" w:hAnsi="Arial" w:cs="Arial"/>
          <w:sz w:val="24"/>
          <w:szCs w:val="24"/>
        </w:rPr>
        <w:t>Defra</w:t>
      </w:r>
      <w:r w:rsidR="008677B5" w:rsidRPr="007A518A">
        <w:rPr>
          <w:rFonts w:ascii="Arial" w:hAnsi="Arial" w:cs="Arial"/>
          <w:sz w:val="24"/>
          <w:szCs w:val="24"/>
        </w:rPr>
        <w:t xml:space="preserve"> </w:t>
      </w:r>
      <w:r w:rsidR="00F134AF" w:rsidRPr="007A518A">
        <w:rPr>
          <w:rFonts w:ascii="Arial" w:hAnsi="Arial" w:cs="Arial"/>
          <w:sz w:val="24"/>
          <w:szCs w:val="24"/>
        </w:rPr>
        <w:t>have identified as being affected by the ba</w:t>
      </w:r>
      <w:r w:rsidR="00085ED2" w:rsidRPr="007A518A">
        <w:rPr>
          <w:rFonts w:ascii="Arial" w:hAnsi="Arial" w:cs="Arial"/>
          <w:sz w:val="24"/>
          <w:szCs w:val="24"/>
        </w:rPr>
        <w:t>n, obtained through Nomis data</w:t>
      </w:r>
      <w:r w:rsidR="00085ED2" w:rsidRPr="00DE4170">
        <w:rPr>
          <w:rFonts w:ascii="Arial" w:hAnsi="Arial" w:cs="Arial"/>
          <w:sz w:val="24"/>
          <w:szCs w:val="24"/>
          <w:vertAlign w:val="superscript"/>
        </w:rPr>
        <w:footnoteReference w:id="20"/>
      </w:r>
      <w:r w:rsidR="00085ED2" w:rsidRPr="007A518A">
        <w:rPr>
          <w:rFonts w:ascii="Arial" w:hAnsi="Arial" w:cs="Arial"/>
          <w:sz w:val="24"/>
          <w:szCs w:val="24"/>
        </w:rPr>
        <w:t>.</w:t>
      </w:r>
      <w:r w:rsidR="00B31B8F" w:rsidRPr="007A518A">
        <w:rPr>
          <w:rFonts w:ascii="Arial" w:hAnsi="Arial" w:cs="Arial"/>
          <w:sz w:val="24"/>
          <w:szCs w:val="24"/>
        </w:rPr>
        <w:t xml:space="preserve"> </w:t>
      </w:r>
      <w:r w:rsidR="005C2026">
        <w:rPr>
          <w:rFonts w:ascii="Arial" w:hAnsi="Arial" w:cs="Arial"/>
          <w:sz w:val="24"/>
          <w:szCs w:val="24"/>
        </w:rPr>
        <w:t>950</w:t>
      </w:r>
      <w:r w:rsidR="004B76B3" w:rsidRPr="007A518A">
        <w:rPr>
          <w:rFonts w:ascii="Arial" w:hAnsi="Arial" w:cs="Arial"/>
          <w:sz w:val="24"/>
          <w:szCs w:val="24"/>
        </w:rPr>
        <w:t xml:space="preserve"> businesses </w:t>
      </w:r>
      <w:r w:rsidR="00964B03" w:rsidRPr="007A518A">
        <w:rPr>
          <w:rFonts w:ascii="Arial" w:hAnsi="Arial" w:cs="Arial"/>
          <w:sz w:val="24"/>
          <w:szCs w:val="24"/>
        </w:rPr>
        <w:t xml:space="preserve">are within the employment band </w:t>
      </w:r>
      <w:r w:rsidR="00AD6482" w:rsidRPr="007A518A">
        <w:rPr>
          <w:rFonts w:ascii="Arial" w:hAnsi="Arial" w:cs="Arial"/>
          <w:sz w:val="24"/>
          <w:szCs w:val="24"/>
        </w:rPr>
        <w:t xml:space="preserve">and SIC codes </w:t>
      </w:r>
      <w:r w:rsidR="00641365" w:rsidRPr="007A518A">
        <w:rPr>
          <w:rFonts w:ascii="Arial" w:hAnsi="Arial" w:cs="Arial"/>
          <w:sz w:val="24"/>
          <w:szCs w:val="24"/>
        </w:rPr>
        <w:t>that have been i</w:t>
      </w:r>
      <w:r w:rsidR="003152CB" w:rsidRPr="007A518A">
        <w:rPr>
          <w:rFonts w:ascii="Arial" w:hAnsi="Arial" w:cs="Arial"/>
          <w:sz w:val="24"/>
          <w:szCs w:val="24"/>
        </w:rPr>
        <w:t>dentified as</w:t>
      </w:r>
      <w:r w:rsidR="006E0510" w:rsidRPr="007A518A">
        <w:rPr>
          <w:rFonts w:ascii="Arial" w:hAnsi="Arial" w:cs="Arial"/>
          <w:sz w:val="24"/>
          <w:szCs w:val="24"/>
        </w:rPr>
        <w:t xml:space="preserve"> potentially impacted by the proposed ban.</w:t>
      </w:r>
      <w:r w:rsidR="004D3AC6" w:rsidRPr="007A518A">
        <w:rPr>
          <w:rFonts w:ascii="Arial" w:hAnsi="Arial" w:cs="Arial"/>
          <w:sz w:val="24"/>
          <w:szCs w:val="24"/>
        </w:rPr>
        <w:t xml:space="preserve"> Data on the turnover split of </w:t>
      </w:r>
      <w:r w:rsidR="003B41B4" w:rsidRPr="007A518A">
        <w:rPr>
          <w:rFonts w:ascii="Arial" w:hAnsi="Arial" w:cs="Arial"/>
          <w:sz w:val="24"/>
          <w:szCs w:val="24"/>
        </w:rPr>
        <w:t>businesses within this employment size band is not available.</w:t>
      </w:r>
    </w:p>
    <w:p w14:paraId="45DEB9B6" w14:textId="77777777" w:rsidR="00682205" w:rsidRDefault="00682205" w:rsidP="00682205">
      <w:pPr>
        <w:pStyle w:val="ListParagraph"/>
      </w:pPr>
    </w:p>
    <w:p w14:paraId="7B27A981" w14:textId="67A61469" w:rsidR="00E9579D" w:rsidRPr="007A518A" w:rsidRDefault="00A219D7" w:rsidP="007A518A">
      <w:pPr>
        <w:keepNext/>
        <w:spacing w:after="0" w:line="276" w:lineRule="auto"/>
        <w:outlineLvl w:val="1"/>
        <w:rPr>
          <w:rFonts w:ascii="Arial" w:eastAsia="Times New Roman" w:hAnsi="Arial" w:cs="Arial"/>
          <w:color w:val="008938"/>
        </w:rPr>
      </w:pPr>
      <w:r w:rsidRPr="007A518A">
        <w:rPr>
          <w:rFonts w:ascii="Arial" w:eastAsia="Times New Roman" w:hAnsi="Arial" w:cs="Arial"/>
          <w:color w:val="008938"/>
          <w:sz w:val="24"/>
          <w:szCs w:val="24"/>
        </w:rPr>
        <w:t xml:space="preserve">Table </w:t>
      </w:r>
      <w:r w:rsidR="001653AB">
        <w:rPr>
          <w:rFonts w:ascii="Arial" w:eastAsia="Times New Roman" w:hAnsi="Arial" w:cs="Arial"/>
          <w:color w:val="008938"/>
          <w:sz w:val="24"/>
          <w:szCs w:val="24"/>
        </w:rPr>
        <w:t>6</w:t>
      </w:r>
      <w:r w:rsidRPr="007A518A">
        <w:rPr>
          <w:rFonts w:ascii="Arial" w:eastAsia="Times New Roman" w:hAnsi="Arial" w:cs="Arial"/>
          <w:color w:val="008938"/>
          <w:sz w:val="24"/>
          <w:szCs w:val="24"/>
        </w:rPr>
        <w:t>:</w:t>
      </w:r>
      <w:r w:rsidR="002B0AF9" w:rsidRPr="007A518A">
        <w:rPr>
          <w:rFonts w:ascii="Arial" w:eastAsia="Times New Roman" w:hAnsi="Arial" w:cs="Arial"/>
          <w:color w:val="008938"/>
          <w:sz w:val="24"/>
          <w:szCs w:val="24"/>
        </w:rPr>
        <w:t xml:space="preserve"> Number of</w:t>
      </w:r>
      <w:r w:rsidR="00CB3485" w:rsidRPr="007A518A">
        <w:rPr>
          <w:rFonts w:ascii="Arial" w:eastAsia="Times New Roman" w:hAnsi="Arial" w:cs="Arial"/>
          <w:color w:val="008938"/>
          <w:sz w:val="24"/>
          <w:szCs w:val="24"/>
        </w:rPr>
        <w:t xml:space="preserve"> businesses in </w:t>
      </w:r>
      <w:r w:rsidR="00A81500">
        <w:rPr>
          <w:rFonts w:ascii="Arial" w:eastAsia="Times New Roman" w:hAnsi="Arial" w:cs="Arial"/>
          <w:color w:val="008938"/>
          <w:sz w:val="24"/>
          <w:szCs w:val="24"/>
        </w:rPr>
        <w:t>the UK</w:t>
      </w:r>
      <w:r w:rsidR="00A22E47" w:rsidRPr="007A518A">
        <w:rPr>
          <w:rFonts w:ascii="Arial" w:eastAsia="Times New Roman" w:hAnsi="Arial" w:cs="Arial"/>
          <w:color w:val="008938"/>
          <w:sz w:val="24"/>
          <w:szCs w:val="24"/>
        </w:rPr>
        <w:t xml:space="preserve"> </w:t>
      </w:r>
      <w:r w:rsidR="001E2F9E" w:rsidRPr="007A518A">
        <w:rPr>
          <w:rFonts w:ascii="Arial" w:eastAsia="Times New Roman" w:hAnsi="Arial" w:cs="Arial"/>
          <w:color w:val="008938"/>
          <w:sz w:val="24"/>
          <w:szCs w:val="24"/>
        </w:rPr>
        <w:t xml:space="preserve">within SIC codes affected by the ban within the 50-499 employment size </w:t>
      </w:r>
      <w:proofErr w:type="gramStart"/>
      <w:r w:rsidR="001E2F9E" w:rsidRPr="007A518A">
        <w:rPr>
          <w:rFonts w:ascii="Arial" w:eastAsia="Times New Roman" w:hAnsi="Arial" w:cs="Arial"/>
          <w:color w:val="008938"/>
          <w:sz w:val="24"/>
          <w:szCs w:val="24"/>
        </w:rPr>
        <w:t>band</w:t>
      </w:r>
      <w:proofErr w:type="gramEnd"/>
    </w:p>
    <w:tbl>
      <w:tblPr>
        <w:tblStyle w:val="GridTable1Light-Accent6"/>
        <w:tblW w:w="9660" w:type="dxa"/>
        <w:tblLook w:val="04A0" w:firstRow="1" w:lastRow="0" w:firstColumn="1" w:lastColumn="0" w:noHBand="0" w:noVBand="1"/>
      </w:tblPr>
      <w:tblGrid>
        <w:gridCol w:w="7920"/>
        <w:gridCol w:w="1740"/>
      </w:tblGrid>
      <w:tr w:rsidR="00FE48C6" w:rsidRPr="00197193" w14:paraId="2813FA57" w14:textId="77777777" w:rsidTr="00FE48C6">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7920" w:type="dxa"/>
            <w:tcBorders>
              <w:top w:val="single" w:sz="12" w:space="0" w:color="70AD47" w:themeColor="accent6"/>
              <w:left w:val="single" w:sz="12" w:space="0" w:color="70AD47" w:themeColor="accent6"/>
              <w:bottom w:val="single" w:sz="12" w:space="0" w:color="70AD47" w:themeColor="accent6"/>
            </w:tcBorders>
            <w:hideMark/>
          </w:tcPr>
          <w:p w14:paraId="5424D533" w14:textId="77777777" w:rsidR="00A81500" w:rsidRPr="00197193" w:rsidRDefault="00A81500" w:rsidP="00A81500">
            <w:pPr>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Number of businesses in UK by employment band and sector (SIC 4)</w:t>
            </w:r>
          </w:p>
        </w:tc>
        <w:tc>
          <w:tcPr>
            <w:tcW w:w="1740" w:type="dxa"/>
            <w:tcBorders>
              <w:top w:val="single" w:sz="12" w:space="0" w:color="70AD47" w:themeColor="accent6"/>
              <w:bottom w:val="single" w:sz="12" w:space="0" w:color="70AD47" w:themeColor="accent6"/>
              <w:right w:val="single" w:sz="12" w:space="0" w:color="70AD47" w:themeColor="accent6"/>
            </w:tcBorders>
            <w:hideMark/>
          </w:tcPr>
          <w:p w14:paraId="2413D661" w14:textId="77777777" w:rsidR="00A81500" w:rsidRPr="00197193" w:rsidRDefault="00A81500" w:rsidP="00A81500">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Medium (50-499 employees)</w:t>
            </w:r>
          </w:p>
        </w:tc>
      </w:tr>
      <w:tr w:rsidR="00FE48C6" w:rsidRPr="00197193" w14:paraId="62C78829" w14:textId="77777777" w:rsidTr="00FE48C6">
        <w:trPr>
          <w:trHeight w:val="315"/>
        </w:trPr>
        <w:tc>
          <w:tcPr>
            <w:cnfStyle w:val="001000000000" w:firstRow="0" w:lastRow="0" w:firstColumn="1" w:lastColumn="0" w:oddVBand="0" w:evenVBand="0" w:oddHBand="0" w:evenHBand="0" w:firstRowFirstColumn="0" w:firstRowLastColumn="0" w:lastRowFirstColumn="0" w:lastRowLastColumn="0"/>
            <w:tcW w:w="7920" w:type="dxa"/>
            <w:tcBorders>
              <w:top w:val="single" w:sz="12" w:space="0" w:color="70AD47" w:themeColor="accent6"/>
              <w:left w:val="single" w:sz="12" w:space="0" w:color="70AD47" w:themeColor="accent6"/>
            </w:tcBorders>
            <w:hideMark/>
          </w:tcPr>
          <w:p w14:paraId="2177B0CD" w14:textId="77777777" w:rsidR="00A81500" w:rsidRPr="00197193" w:rsidRDefault="00A81500" w:rsidP="00A81500">
            <w:pPr>
              <w:rPr>
                <w:rFonts w:ascii="Arial" w:eastAsia="Times New Roman" w:hAnsi="Arial" w:cs="Arial"/>
                <w:color w:val="000000" w:themeColor="text1"/>
                <w:lang w:eastAsia="en-GB"/>
              </w:rPr>
            </w:pPr>
            <w:proofErr w:type="gramStart"/>
            <w:r w:rsidRPr="00197193">
              <w:rPr>
                <w:rFonts w:ascii="Arial" w:eastAsia="Times New Roman" w:hAnsi="Arial" w:cs="Arial"/>
                <w:color w:val="000000" w:themeColor="text1"/>
                <w:lang w:eastAsia="en-GB"/>
              </w:rPr>
              <w:t>2229 :</w:t>
            </w:r>
            <w:proofErr w:type="gramEnd"/>
            <w:r w:rsidRPr="00197193">
              <w:rPr>
                <w:rFonts w:ascii="Arial" w:eastAsia="Times New Roman" w:hAnsi="Arial" w:cs="Arial"/>
                <w:color w:val="000000" w:themeColor="text1"/>
                <w:lang w:eastAsia="en-GB"/>
              </w:rPr>
              <w:t xml:space="preserve"> Manufacture of other plastic products</w:t>
            </w:r>
          </w:p>
        </w:tc>
        <w:tc>
          <w:tcPr>
            <w:tcW w:w="1740" w:type="dxa"/>
            <w:tcBorders>
              <w:top w:val="single" w:sz="12" w:space="0" w:color="70AD47" w:themeColor="accent6"/>
              <w:right w:val="single" w:sz="12" w:space="0" w:color="70AD47" w:themeColor="accent6"/>
            </w:tcBorders>
            <w:noWrap/>
            <w:hideMark/>
          </w:tcPr>
          <w:p w14:paraId="07C6701C" w14:textId="77777777" w:rsidR="00A81500" w:rsidRPr="00197193" w:rsidRDefault="00A81500" w:rsidP="00A8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205</w:t>
            </w:r>
          </w:p>
        </w:tc>
      </w:tr>
      <w:tr w:rsidR="00FE48C6" w:rsidRPr="00197193" w14:paraId="7F267357" w14:textId="77777777" w:rsidTr="00FE48C6">
        <w:trPr>
          <w:trHeight w:val="315"/>
        </w:trPr>
        <w:tc>
          <w:tcPr>
            <w:cnfStyle w:val="001000000000" w:firstRow="0" w:lastRow="0" w:firstColumn="1" w:lastColumn="0" w:oddVBand="0" w:evenVBand="0" w:oddHBand="0" w:evenHBand="0" w:firstRowFirstColumn="0" w:firstRowLastColumn="0" w:lastRowFirstColumn="0" w:lastRowLastColumn="0"/>
            <w:tcW w:w="7920" w:type="dxa"/>
            <w:tcBorders>
              <w:left w:val="single" w:sz="12" w:space="0" w:color="70AD47" w:themeColor="accent6"/>
            </w:tcBorders>
            <w:hideMark/>
          </w:tcPr>
          <w:p w14:paraId="1BBF6A42" w14:textId="77777777" w:rsidR="00A81500" w:rsidRPr="00197193" w:rsidRDefault="00A81500" w:rsidP="00A81500">
            <w:pPr>
              <w:rPr>
                <w:rFonts w:ascii="Arial" w:eastAsia="Times New Roman" w:hAnsi="Arial" w:cs="Arial"/>
                <w:color w:val="000000" w:themeColor="text1"/>
                <w:lang w:eastAsia="en-GB"/>
              </w:rPr>
            </w:pPr>
            <w:proofErr w:type="gramStart"/>
            <w:r w:rsidRPr="00197193">
              <w:rPr>
                <w:rFonts w:ascii="Arial" w:eastAsia="Times New Roman" w:hAnsi="Arial" w:cs="Arial"/>
                <w:color w:val="000000" w:themeColor="text1"/>
                <w:lang w:eastAsia="en-GB"/>
              </w:rPr>
              <w:t>4649 :</w:t>
            </w:r>
            <w:proofErr w:type="gramEnd"/>
            <w:r w:rsidRPr="00197193">
              <w:rPr>
                <w:rFonts w:ascii="Arial" w:eastAsia="Times New Roman" w:hAnsi="Arial" w:cs="Arial"/>
                <w:color w:val="000000" w:themeColor="text1"/>
                <w:lang w:eastAsia="en-GB"/>
              </w:rPr>
              <w:t xml:space="preserve"> Wholesale of other household goods</w:t>
            </w:r>
          </w:p>
        </w:tc>
        <w:tc>
          <w:tcPr>
            <w:tcW w:w="1740" w:type="dxa"/>
            <w:tcBorders>
              <w:right w:val="single" w:sz="12" w:space="0" w:color="70AD47" w:themeColor="accent6"/>
            </w:tcBorders>
            <w:noWrap/>
            <w:hideMark/>
          </w:tcPr>
          <w:p w14:paraId="195C25E5" w14:textId="77777777" w:rsidR="00A81500" w:rsidRPr="00197193" w:rsidRDefault="00A81500" w:rsidP="00A8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170</w:t>
            </w:r>
          </w:p>
        </w:tc>
      </w:tr>
      <w:tr w:rsidR="00FE48C6" w:rsidRPr="00197193" w14:paraId="77914986" w14:textId="77777777" w:rsidTr="00FE48C6">
        <w:trPr>
          <w:trHeight w:val="315"/>
        </w:trPr>
        <w:tc>
          <w:tcPr>
            <w:cnfStyle w:val="001000000000" w:firstRow="0" w:lastRow="0" w:firstColumn="1" w:lastColumn="0" w:oddVBand="0" w:evenVBand="0" w:oddHBand="0" w:evenHBand="0" w:firstRowFirstColumn="0" w:firstRowLastColumn="0" w:lastRowFirstColumn="0" w:lastRowLastColumn="0"/>
            <w:tcW w:w="7920" w:type="dxa"/>
            <w:tcBorders>
              <w:left w:val="single" w:sz="12" w:space="0" w:color="70AD47" w:themeColor="accent6"/>
            </w:tcBorders>
            <w:hideMark/>
          </w:tcPr>
          <w:p w14:paraId="0123D6CE" w14:textId="77777777" w:rsidR="00A81500" w:rsidRPr="00197193" w:rsidRDefault="00A81500" w:rsidP="00A81500">
            <w:pPr>
              <w:rPr>
                <w:rFonts w:ascii="Arial" w:eastAsia="Times New Roman" w:hAnsi="Arial" w:cs="Arial"/>
                <w:color w:val="000000" w:themeColor="text1"/>
                <w:lang w:eastAsia="en-GB"/>
              </w:rPr>
            </w:pPr>
            <w:proofErr w:type="gramStart"/>
            <w:r w:rsidRPr="00197193">
              <w:rPr>
                <w:rFonts w:ascii="Arial" w:eastAsia="Times New Roman" w:hAnsi="Arial" w:cs="Arial"/>
                <w:color w:val="000000" w:themeColor="text1"/>
                <w:lang w:eastAsia="en-GB"/>
              </w:rPr>
              <w:t>4673 :</w:t>
            </w:r>
            <w:proofErr w:type="gramEnd"/>
            <w:r w:rsidRPr="00197193">
              <w:rPr>
                <w:rFonts w:ascii="Arial" w:eastAsia="Times New Roman" w:hAnsi="Arial" w:cs="Arial"/>
                <w:color w:val="000000" w:themeColor="text1"/>
                <w:lang w:eastAsia="en-GB"/>
              </w:rPr>
              <w:t xml:space="preserve"> Wholesale of wood, construction materials and sanitary equipment</w:t>
            </w:r>
          </w:p>
        </w:tc>
        <w:tc>
          <w:tcPr>
            <w:tcW w:w="1740" w:type="dxa"/>
            <w:tcBorders>
              <w:right w:val="single" w:sz="12" w:space="0" w:color="70AD47" w:themeColor="accent6"/>
            </w:tcBorders>
            <w:noWrap/>
            <w:hideMark/>
          </w:tcPr>
          <w:p w14:paraId="56F45C99" w14:textId="77777777" w:rsidR="00A81500" w:rsidRPr="00197193" w:rsidRDefault="00A81500" w:rsidP="00A8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285</w:t>
            </w:r>
          </w:p>
        </w:tc>
      </w:tr>
      <w:tr w:rsidR="00FE48C6" w:rsidRPr="00197193" w14:paraId="433F118A" w14:textId="77777777" w:rsidTr="00FE48C6">
        <w:trPr>
          <w:trHeight w:val="615"/>
        </w:trPr>
        <w:tc>
          <w:tcPr>
            <w:cnfStyle w:val="001000000000" w:firstRow="0" w:lastRow="0" w:firstColumn="1" w:lastColumn="0" w:oddVBand="0" w:evenVBand="0" w:oddHBand="0" w:evenHBand="0" w:firstRowFirstColumn="0" w:firstRowLastColumn="0" w:lastRowFirstColumn="0" w:lastRowLastColumn="0"/>
            <w:tcW w:w="7920" w:type="dxa"/>
            <w:tcBorders>
              <w:left w:val="single" w:sz="12" w:space="0" w:color="70AD47" w:themeColor="accent6"/>
            </w:tcBorders>
            <w:hideMark/>
          </w:tcPr>
          <w:p w14:paraId="1BBE8D39" w14:textId="77777777" w:rsidR="00A81500" w:rsidRPr="00197193" w:rsidRDefault="00A81500" w:rsidP="00A81500">
            <w:pPr>
              <w:rPr>
                <w:rFonts w:ascii="Arial" w:eastAsia="Times New Roman" w:hAnsi="Arial" w:cs="Arial"/>
                <w:color w:val="000000" w:themeColor="text1"/>
                <w:lang w:eastAsia="en-GB"/>
              </w:rPr>
            </w:pPr>
            <w:proofErr w:type="gramStart"/>
            <w:r w:rsidRPr="00197193">
              <w:rPr>
                <w:rFonts w:ascii="Arial" w:eastAsia="Times New Roman" w:hAnsi="Arial" w:cs="Arial"/>
                <w:color w:val="000000" w:themeColor="text1"/>
                <w:lang w:eastAsia="en-GB"/>
              </w:rPr>
              <w:t>4711 :</w:t>
            </w:r>
            <w:proofErr w:type="gramEnd"/>
            <w:r w:rsidRPr="00197193">
              <w:rPr>
                <w:rFonts w:ascii="Arial" w:eastAsia="Times New Roman" w:hAnsi="Arial" w:cs="Arial"/>
                <w:color w:val="000000" w:themeColor="text1"/>
                <w:lang w:eastAsia="en-GB"/>
              </w:rPr>
              <w:t xml:space="preserve"> Retail sale in non-specialised stores with food, beverages or tobacco predominating</w:t>
            </w:r>
          </w:p>
        </w:tc>
        <w:tc>
          <w:tcPr>
            <w:tcW w:w="1740" w:type="dxa"/>
            <w:tcBorders>
              <w:right w:val="single" w:sz="12" w:space="0" w:color="70AD47" w:themeColor="accent6"/>
            </w:tcBorders>
            <w:noWrap/>
            <w:hideMark/>
          </w:tcPr>
          <w:p w14:paraId="783C7AC7" w14:textId="77777777" w:rsidR="00A81500" w:rsidRPr="00197193" w:rsidRDefault="00A81500" w:rsidP="00A8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180</w:t>
            </w:r>
          </w:p>
        </w:tc>
      </w:tr>
      <w:tr w:rsidR="00FE48C6" w:rsidRPr="00197193" w14:paraId="1DBABA91" w14:textId="77777777" w:rsidTr="00FE48C6">
        <w:trPr>
          <w:trHeight w:val="315"/>
        </w:trPr>
        <w:tc>
          <w:tcPr>
            <w:cnfStyle w:val="001000000000" w:firstRow="0" w:lastRow="0" w:firstColumn="1" w:lastColumn="0" w:oddVBand="0" w:evenVBand="0" w:oddHBand="0" w:evenHBand="0" w:firstRowFirstColumn="0" w:firstRowLastColumn="0" w:lastRowFirstColumn="0" w:lastRowLastColumn="0"/>
            <w:tcW w:w="7920" w:type="dxa"/>
            <w:tcBorders>
              <w:left w:val="single" w:sz="12" w:space="0" w:color="70AD47" w:themeColor="accent6"/>
            </w:tcBorders>
            <w:hideMark/>
          </w:tcPr>
          <w:p w14:paraId="6590AEAD" w14:textId="77777777" w:rsidR="00A81500" w:rsidRPr="00197193" w:rsidRDefault="00A81500" w:rsidP="00A81500">
            <w:pPr>
              <w:rPr>
                <w:rFonts w:ascii="Arial" w:eastAsia="Times New Roman" w:hAnsi="Arial" w:cs="Arial"/>
                <w:color w:val="000000" w:themeColor="text1"/>
                <w:lang w:eastAsia="en-GB"/>
              </w:rPr>
            </w:pPr>
            <w:proofErr w:type="gramStart"/>
            <w:r w:rsidRPr="00197193">
              <w:rPr>
                <w:rFonts w:ascii="Arial" w:eastAsia="Times New Roman" w:hAnsi="Arial" w:cs="Arial"/>
                <w:color w:val="000000" w:themeColor="text1"/>
                <w:lang w:eastAsia="en-GB"/>
              </w:rPr>
              <w:t>4719 :</w:t>
            </w:r>
            <w:proofErr w:type="gramEnd"/>
            <w:r w:rsidRPr="00197193">
              <w:rPr>
                <w:rFonts w:ascii="Arial" w:eastAsia="Times New Roman" w:hAnsi="Arial" w:cs="Arial"/>
                <w:color w:val="000000" w:themeColor="text1"/>
                <w:lang w:eastAsia="en-GB"/>
              </w:rPr>
              <w:t xml:space="preserve"> Other retail sale in non-specialised stores</w:t>
            </w:r>
          </w:p>
        </w:tc>
        <w:tc>
          <w:tcPr>
            <w:tcW w:w="1740" w:type="dxa"/>
            <w:tcBorders>
              <w:right w:val="single" w:sz="12" w:space="0" w:color="70AD47" w:themeColor="accent6"/>
            </w:tcBorders>
            <w:noWrap/>
            <w:hideMark/>
          </w:tcPr>
          <w:p w14:paraId="7A8A10FD" w14:textId="77777777" w:rsidR="00A81500" w:rsidRPr="00197193" w:rsidRDefault="00A81500" w:rsidP="00A8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85</w:t>
            </w:r>
          </w:p>
        </w:tc>
      </w:tr>
      <w:tr w:rsidR="00FE48C6" w:rsidRPr="00197193" w14:paraId="1030D147" w14:textId="77777777" w:rsidTr="00FE48C6">
        <w:trPr>
          <w:trHeight w:val="315"/>
        </w:trPr>
        <w:tc>
          <w:tcPr>
            <w:cnfStyle w:val="001000000000" w:firstRow="0" w:lastRow="0" w:firstColumn="1" w:lastColumn="0" w:oddVBand="0" w:evenVBand="0" w:oddHBand="0" w:evenHBand="0" w:firstRowFirstColumn="0" w:firstRowLastColumn="0" w:lastRowFirstColumn="0" w:lastRowLastColumn="0"/>
            <w:tcW w:w="7920" w:type="dxa"/>
            <w:tcBorders>
              <w:left w:val="single" w:sz="12" w:space="0" w:color="70AD47" w:themeColor="accent6"/>
              <w:bottom w:val="single" w:sz="12" w:space="0" w:color="70AD47" w:themeColor="accent6"/>
            </w:tcBorders>
            <w:hideMark/>
          </w:tcPr>
          <w:p w14:paraId="1F93FB82" w14:textId="77777777" w:rsidR="00A81500" w:rsidRPr="00197193" w:rsidRDefault="00A81500" w:rsidP="00A81500">
            <w:pPr>
              <w:rPr>
                <w:rFonts w:ascii="Arial" w:eastAsia="Times New Roman" w:hAnsi="Arial" w:cs="Arial"/>
                <w:color w:val="000000" w:themeColor="text1"/>
                <w:lang w:eastAsia="en-GB"/>
              </w:rPr>
            </w:pPr>
            <w:proofErr w:type="gramStart"/>
            <w:r w:rsidRPr="00197193">
              <w:rPr>
                <w:rFonts w:ascii="Arial" w:eastAsia="Times New Roman" w:hAnsi="Arial" w:cs="Arial"/>
                <w:color w:val="000000" w:themeColor="text1"/>
                <w:lang w:eastAsia="en-GB"/>
              </w:rPr>
              <w:t>4775 :</w:t>
            </w:r>
            <w:proofErr w:type="gramEnd"/>
            <w:r w:rsidRPr="00197193">
              <w:rPr>
                <w:rFonts w:ascii="Arial" w:eastAsia="Times New Roman" w:hAnsi="Arial" w:cs="Arial"/>
                <w:color w:val="000000" w:themeColor="text1"/>
                <w:lang w:eastAsia="en-GB"/>
              </w:rPr>
              <w:t xml:space="preserve"> Retail sale of cosmetic and toilet articles in specialised stores</w:t>
            </w:r>
          </w:p>
        </w:tc>
        <w:tc>
          <w:tcPr>
            <w:tcW w:w="1740" w:type="dxa"/>
            <w:tcBorders>
              <w:bottom w:val="single" w:sz="12" w:space="0" w:color="70AD47" w:themeColor="accent6"/>
              <w:right w:val="single" w:sz="12" w:space="0" w:color="70AD47" w:themeColor="accent6"/>
            </w:tcBorders>
            <w:noWrap/>
            <w:hideMark/>
          </w:tcPr>
          <w:p w14:paraId="0B2471DD" w14:textId="77777777" w:rsidR="00A81500" w:rsidRPr="00197193" w:rsidRDefault="00A81500" w:rsidP="00A8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25</w:t>
            </w:r>
          </w:p>
        </w:tc>
      </w:tr>
      <w:tr w:rsidR="00FE48C6" w:rsidRPr="00197193" w14:paraId="423A88E9" w14:textId="77777777" w:rsidTr="00FE48C6">
        <w:trPr>
          <w:trHeight w:val="315"/>
        </w:trPr>
        <w:tc>
          <w:tcPr>
            <w:cnfStyle w:val="001000000000" w:firstRow="0" w:lastRow="0" w:firstColumn="1" w:lastColumn="0" w:oddVBand="0" w:evenVBand="0" w:oddHBand="0" w:evenHBand="0" w:firstRowFirstColumn="0" w:firstRowLastColumn="0" w:lastRowFirstColumn="0" w:lastRowLastColumn="0"/>
            <w:tcW w:w="7920" w:type="dxa"/>
            <w:tcBorders>
              <w:top w:val="single" w:sz="12" w:space="0" w:color="70AD47" w:themeColor="accent6"/>
              <w:left w:val="single" w:sz="12" w:space="0" w:color="70AD47" w:themeColor="accent6"/>
              <w:bottom w:val="single" w:sz="12" w:space="0" w:color="70AD47" w:themeColor="accent6"/>
            </w:tcBorders>
            <w:hideMark/>
          </w:tcPr>
          <w:p w14:paraId="3BD947CA" w14:textId="77777777" w:rsidR="00A81500" w:rsidRPr="00197193" w:rsidRDefault="00A81500" w:rsidP="00A81500">
            <w:pPr>
              <w:rPr>
                <w:rFonts w:ascii="Arial" w:eastAsia="Times New Roman" w:hAnsi="Arial" w:cs="Arial"/>
                <w:color w:val="000000" w:themeColor="text1"/>
                <w:lang w:eastAsia="en-GB"/>
              </w:rPr>
            </w:pPr>
            <w:r w:rsidRPr="00197193">
              <w:rPr>
                <w:rFonts w:ascii="Arial" w:eastAsia="Times New Roman" w:hAnsi="Arial" w:cs="Arial"/>
                <w:color w:val="000000" w:themeColor="text1"/>
                <w:lang w:eastAsia="en-GB"/>
              </w:rPr>
              <w:t>Total</w:t>
            </w:r>
          </w:p>
        </w:tc>
        <w:tc>
          <w:tcPr>
            <w:tcW w:w="1740" w:type="dxa"/>
            <w:tcBorders>
              <w:top w:val="single" w:sz="12" w:space="0" w:color="70AD47" w:themeColor="accent6"/>
              <w:bottom w:val="single" w:sz="12" w:space="0" w:color="70AD47" w:themeColor="accent6"/>
              <w:right w:val="single" w:sz="12" w:space="0" w:color="70AD47" w:themeColor="accent6"/>
            </w:tcBorders>
            <w:noWrap/>
            <w:hideMark/>
          </w:tcPr>
          <w:p w14:paraId="19A3F6AA" w14:textId="77777777" w:rsidR="00A81500" w:rsidRPr="00197193" w:rsidRDefault="00A81500" w:rsidP="00A8150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197193">
              <w:rPr>
                <w:rFonts w:ascii="Arial" w:eastAsia="Times New Roman" w:hAnsi="Arial" w:cs="Arial"/>
                <w:b/>
                <w:bCs/>
                <w:color w:val="000000" w:themeColor="text1"/>
                <w:lang w:eastAsia="en-GB"/>
              </w:rPr>
              <w:t>950</w:t>
            </w:r>
          </w:p>
        </w:tc>
      </w:tr>
    </w:tbl>
    <w:p w14:paraId="285C4B75" w14:textId="77777777" w:rsidR="00527AC6" w:rsidRPr="003F216B" w:rsidRDefault="00527AC6" w:rsidP="00F87F8B"/>
    <w:p w14:paraId="607CCC6E" w14:textId="77777777" w:rsidR="00F87F8B" w:rsidRPr="007A518A" w:rsidRDefault="00F87F8B" w:rsidP="00F87F8B">
      <w:pPr>
        <w:rPr>
          <w:rFonts w:ascii="Arial" w:hAnsi="Arial" w:cs="Arial"/>
          <w:b/>
          <w:sz w:val="24"/>
          <w:szCs w:val="24"/>
        </w:rPr>
      </w:pPr>
      <w:r w:rsidRPr="007A518A">
        <w:rPr>
          <w:rFonts w:ascii="Arial" w:hAnsi="Arial" w:cs="Arial"/>
          <w:b/>
          <w:sz w:val="24"/>
          <w:szCs w:val="24"/>
        </w:rPr>
        <w:t>Material costs</w:t>
      </w:r>
      <w:r w:rsidRPr="007A518A">
        <w:rPr>
          <w:rFonts w:ascii="Arial" w:hAnsi="Arial" w:cs="Arial"/>
          <w:b/>
          <w:sz w:val="24"/>
          <w:szCs w:val="24"/>
        </w:rPr>
        <w:tab/>
      </w:r>
    </w:p>
    <w:p w14:paraId="776D9FE3" w14:textId="421181DE" w:rsidR="00F87F8B" w:rsidRPr="007A518A" w:rsidRDefault="00F87F8B" w:rsidP="007A518A">
      <w:pPr>
        <w:pStyle w:val="ListParagraph"/>
        <w:numPr>
          <w:ilvl w:val="0"/>
          <w:numId w:val="5"/>
        </w:numPr>
        <w:ind w:left="567" w:hanging="567"/>
        <w:rPr>
          <w:rFonts w:ascii="Arial" w:hAnsi="Arial" w:cs="Arial"/>
          <w:sz w:val="24"/>
          <w:szCs w:val="24"/>
        </w:rPr>
      </w:pPr>
      <w:r w:rsidRPr="007A518A">
        <w:rPr>
          <w:rFonts w:ascii="Arial" w:hAnsi="Arial" w:cs="Arial"/>
          <w:sz w:val="24"/>
          <w:szCs w:val="24"/>
        </w:rPr>
        <w:t>Defra</w:t>
      </w:r>
      <w:r w:rsidR="384D06E6" w:rsidRPr="007A518A">
        <w:rPr>
          <w:rFonts w:ascii="Arial" w:hAnsi="Arial" w:cs="Arial"/>
          <w:sz w:val="24"/>
          <w:szCs w:val="24"/>
        </w:rPr>
        <w:t>-</w:t>
      </w:r>
      <w:r w:rsidRPr="007A518A">
        <w:rPr>
          <w:rFonts w:ascii="Arial" w:hAnsi="Arial" w:cs="Arial"/>
          <w:sz w:val="24"/>
          <w:szCs w:val="24"/>
        </w:rPr>
        <w:t xml:space="preserve">commissioned market research suggests that the material wet wipes were made from was not a significant impact in the retail price of wet wipes. The intended use of the wet wipes was a much more significant factor on the price </w:t>
      </w:r>
      <w:proofErr w:type="gramStart"/>
      <w:r w:rsidRPr="007A518A">
        <w:rPr>
          <w:rFonts w:ascii="Arial" w:hAnsi="Arial" w:cs="Arial"/>
          <w:sz w:val="24"/>
          <w:szCs w:val="24"/>
        </w:rPr>
        <w:t>e.g.</w:t>
      </w:r>
      <w:proofErr w:type="gramEnd"/>
      <w:r w:rsidRPr="007A518A">
        <w:rPr>
          <w:rFonts w:ascii="Arial" w:hAnsi="Arial" w:cs="Arial"/>
          <w:sz w:val="24"/>
          <w:szCs w:val="24"/>
        </w:rPr>
        <w:t xml:space="preserve"> cosmetic wet wipes were more expensive than childcare wet wipes. Therefore, </w:t>
      </w:r>
      <w:r w:rsidR="00442F33" w:rsidRPr="007A518A">
        <w:rPr>
          <w:rFonts w:ascii="Arial" w:hAnsi="Arial" w:cs="Arial"/>
          <w:sz w:val="24"/>
          <w:szCs w:val="24"/>
        </w:rPr>
        <w:t xml:space="preserve">Defra </w:t>
      </w:r>
      <w:r w:rsidRPr="007A518A">
        <w:rPr>
          <w:rFonts w:ascii="Arial" w:hAnsi="Arial" w:cs="Arial"/>
          <w:sz w:val="24"/>
          <w:szCs w:val="24"/>
        </w:rPr>
        <w:t>assume</w:t>
      </w:r>
      <w:r w:rsidR="00442F33" w:rsidRPr="007A518A">
        <w:rPr>
          <w:rFonts w:ascii="Arial" w:hAnsi="Arial" w:cs="Arial"/>
          <w:sz w:val="24"/>
          <w:szCs w:val="24"/>
        </w:rPr>
        <w:t>s</w:t>
      </w:r>
      <w:r w:rsidRPr="007A518A">
        <w:rPr>
          <w:rFonts w:ascii="Arial" w:hAnsi="Arial" w:cs="Arial"/>
          <w:sz w:val="24"/>
          <w:szCs w:val="24"/>
        </w:rPr>
        <w:t xml:space="preserve"> that a ban on plastic wet wipes will not lead to a higher material cost impact.</w:t>
      </w:r>
      <w:r w:rsidR="006368B9">
        <w:rPr>
          <w:rFonts w:ascii="Arial" w:hAnsi="Arial" w:cs="Arial"/>
          <w:sz w:val="24"/>
          <w:szCs w:val="24"/>
        </w:rPr>
        <w:t xml:space="preserve"> </w:t>
      </w:r>
      <w:r w:rsidR="00450E19" w:rsidRPr="00CC1E88">
        <w:rPr>
          <w:rFonts w:ascii="Arial" w:hAnsi="Arial" w:cs="Arial"/>
          <w:sz w:val="24"/>
          <w:szCs w:val="24"/>
        </w:rPr>
        <w:t>Defra are seeking views on this assumption at consultation.</w:t>
      </w:r>
    </w:p>
    <w:p w14:paraId="16C8576B" w14:textId="75CCA7AE" w:rsidR="00E158EC" w:rsidRPr="007A518A" w:rsidRDefault="007F3819" w:rsidP="00E158EC">
      <w:pPr>
        <w:rPr>
          <w:rFonts w:ascii="Arial" w:hAnsi="Arial" w:cs="Arial"/>
          <w:b/>
          <w:sz w:val="24"/>
          <w:szCs w:val="24"/>
        </w:rPr>
      </w:pPr>
      <w:r w:rsidRPr="007A518A">
        <w:rPr>
          <w:rFonts w:ascii="Arial" w:hAnsi="Arial" w:cs="Arial"/>
          <w:b/>
          <w:sz w:val="24"/>
          <w:szCs w:val="24"/>
        </w:rPr>
        <w:t>Enforcement cost</w:t>
      </w:r>
    </w:p>
    <w:p w14:paraId="1A7A10F0" w14:textId="2078E28A" w:rsidR="007F3819" w:rsidRDefault="00583DA7" w:rsidP="007A518A">
      <w:pPr>
        <w:pStyle w:val="ListParagraph"/>
        <w:numPr>
          <w:ilvl w:val="0"/>
          <w:numId w:val="5"/>
        </w:numPr>
        <w:ind w:left="567" w:hanging="567"/>
        <w:rPr>
          <w:rFonts w:ascii="Arial" w:hAnsi="Arial" w:cs="Arial"/>
          <w:sz w:val="24"/>
          <w:szCs w:val="24"/>
        </w:rPr>
      </w:pPr>
      <w:r w:rsidRPr="007A518A">
        <w:rPr>
          <w:rFonts w:ascii="Arial" w:hAnsi="Arial" w:cs="Arial"/>
          <w:sz w:val="24"/>
          <w:szCs w:val="24"/>
        </w:rPr>
        <w:t xml:space="preserve">The regulation will be enforced by the Trading Standard Authorities (TSAs) offices across </w:t>
      </w:r>
      <w:r w:rsidR="00221B7B">
        <w:rPr>
          <w:rFonts w:ascii="Arial" w:hAnsi="Arial" w:cs="Arial"/>
          <w:sz w:val="24"/>
          <w:szCs w:val="24"/>
        </w:rPr>
        <w:t>the UK</w:t>
      </w:r>
      <w:r w:rsidRPr="007A518A">
        <w:rPr>
          <w:rFonts w:ascii="Arial" w:hAnsi="Arial" w:cs="Arial"/>
          <w:sz w:val="24"/>
          <w:szCs w:val="24"/>
        </w:rPr>
        <w:t xml:space="preserve">. It is assumed that the policy will be enforced using a reactive method so compliant businesses will not face any enforcement related costs. </w:t>
      </w:r>
    </w:p>
    <w:p w14:paraId="542B573D" w14:textId="042C0769" w:rsidR="000138AA" w:rsidRPr="007A518A" w:rsidRDefault="000138AA" w:rsidP="007A518A">
      <w:pPr>
        <w:pStyle w:val="ListParagraph"/>
        <w:ind w:left="567"/>
        <w:rPr>
          <w:rFonts w:ascii="Arial" w:hAnsi="Arial" w:cs="Arial"/>
          <w:sz w:val="24"/>
          <w:szCs w:val="24"/>
        </w:rPr>
      </w:pPr>
    </w:p>
    <w:p w14:paraId="6E62A45B" w14:textId="06BA7BC6" w:rsidR="00583DA7" w:rsidRPr="007A518A" w:rsidRDefault="00583DA7" w:rsidP="007A518A">
      <w:pPr>
        <w:pStyle w:val="ListParagraph"/>
        <w:numPr>
          <w:ilvl w:val="0"/>
          <w:numId w:val="5"/>
        </w:numPr>
        <w:ind w:left="567" w:hanging="567"/>
        <w:rPr>
          <w:rFonts w:ascii="Arial" w:hAnsi="Arial" w:cs="Arial"/>
          <w:sz w:val="24"/>
          <w:szCs w:val="24"/>
        </w:rPr>
      </w:pPr>
      <w:r w:rsidRPr="007A518A">
        <w:rPr>
          <w:rFonts w:ascii="Arial" w:hAnsi="Arial" w:cs="Arial"/>
          <w:sz w:val="24"/>
          <w:szCs w:val="24"/>
        </w:rPr>
        <w:lastRenderedPageBreak/>
        <w:t>Monetisation of the additional burden to TSAs will be done by calculating the time related cost of inspecting premises and non-chargeable advice provided to business.</w:t>
      </w:r>
      <w:r w:rsidR="00557D06" w:rsidRPr="007A518A" w:rsidDel="00557D06">
        <w:rPr>
          <w:rFonts w:ascii="Arial" w:hAnsi="Arial" w:cs="Arial"/>
          <w:sz w:val="24"/>
          <w:szCs w:val="24"/>
        </w:rPr>
        <w:t xml:space="preserve"> </w:t>
      </w:r>
    </w:p>
    <w:p w14:paraId="3D4160A8" w14:textId="571B9CC8" w:rsidR="15F0B1D5" w:rsidRPr="007A518A" w:rsidRDefault="008E60D3" w:rsidP="15F0B1D5">
      <w:pPr>
        <w:rPr>
          <w:rFonts w:ascii="Arial" w:hAnsi="Arial" w:cs="Arial"/>
          <w:b/>
          <w:sz w:val="24"/>
          <w:szCs w:val="24"/>
        </w:rPr>
      </w:pPr>
      <w:r w:rsidRPr="007A518A">
        <w:rPr>
          <w:rFonts w:ascii="Arial" w:hAnsi="Arial" w:cs="Arial"/>
          <w:b/>
          <w:sz w:val="24"/>
          <w:szCs w:val="24"/>
        </w:rPr>
        <w:t>Consumer Impacts</w:t>
      </w:r>
    </w:p>
    <w:p w14:paraId="59AFF2DC" w14:textId="53B92E34" w:rsidR="003A1C48" w:rsidRPr="00197193" w:rsidRDefault="008E60D3" w:rsidP="15F0B1D5">
      <w:pPr>
        <w:pStyle w:val="ListParagraph"/>
        <w:numPr>
          <w:ilvl w:val="0"/>
          <w:numId w:val="5"/>
        </w:numPr>
        <w:ind w:left="567" w:hanging="567"/>
        <w:rPr>
          <w:rFonts w:ascii="Arial" w:hAnsi="Arial" w:cs="Arial"/>
          <w:sz w:val="24"/>
          <w:szCs w:val="24"/>
        </w:rPr>
      </w:pPr>
      <w:r w:rsidRPr="007A518A">
        <w:rPr>
          <w:rFonts w:ascii="Arial" w:hAnsi="Arial" w:cs="Arial"/>
          <w:sz w:val="24"/>
          <w:szCs w:val="24"/>
        </w:rPr>
        <w:t xml:space="preserve">Consumers may be impacted initially by a reduction in product choices as plastic wet wipes are removed from the market. This impact is expected to reduce </w:t>
      </w:r>
      <w:r w:rsidR="00851B72" w:rsidRPr="007A518A">
        <w:rPr>
          <w:rFonts w:ascii="Arial" w:hAnsi="Arial" w:cs="Arial"/>
          <w:sz w:val="24"/>
          <w:szCs w:val="24"/>
        </w:rPr>
        <w:t xml:space="preserve">over time </w:t>
      </w:r>
      <w:r w:rsidRPr="007A518A">
        <w:rPr>
          <w:rFonts w:ascii="Arial" w:hAnsi="Arial" w:cs="Arial"/>
          <w:sz w:val="24"/>
          <w:szCs w:val="24"/>
        </w:rPr>
        <w:t>as some producers switch to producing wet wipes that do</w:t>
      </w:r>
      <w:r w:rsidR="00A70B14">
        <w:rPr>
          <w:rFonts w:ascii="Arial" w:hAnsi="Arial" w:cs="Arial"/>
          <w:sz w:val="24"/>
          <w:szCs w:val="24"/>
        </w:rPr>
        <w:t xml:space="preserve"> not</w:t>
      </w:r>
      <w:r w:rsidRPr="007A518A">
        <w:rPr>
          <w:rFonts w:ascii="Arial" w:hAnsi="Arial" w:cs="Arial"/>
          <w:sz w:val="24"/>
          <w:szCs w:val="24"/>
        </w:rPr>
        <w:t xml:space="preserve"> contain plastic. As stated above, </w:t>
      </w:r>
      <w:r w:rsidR="00851B72" w:rsidRPr="007A518A">
        <w:rPr>
          <w:rFonts w:ascii="Arial" w:hAnsi="Arial" w:cs="Arial"/>
          <w:sz w:val="24"/>
          <w:szCs w:val="24"/>
        </w:rPr>
        <w:t>evidence from our commissioned project suggests that there is not a significant price difference between wet wipes that contain plastic and those that do</w:t>
      </w:r>
      <w:r w:rsidR="00F34E13">
        <w:rPr>
          <w:rFonts w:ascii="Arial" w:hAnsi="Arial" w:cs="Arial"/>
          <w:sz w:val="24"/>
          <w:szCs w:val="24"/>
        </w:rPr>
        <w:t xml:space="preserve"> not</w:t>
      </w:r>
      <w:r w:rsidR="00851B72" w:rsidRPr="007A518A">
        <w:rPr>
          <w:rFonts w:ascii="Arial" w:hAnsi="Arial" w:cs="Arial"/>
          <w:sz w:val="24"/>
          <w:szCs w:val="24"/>
        </w:rPr>
        <w:t xml:space="preserve">. Therefore, </w:t>
      </w:r>
      <w:r w:rsidR="00A64354" w:rsidRPr="007A518A">
        <w:rPr>
          <w:rFonts w:ascii="Arial" w:hAnsi="Arial" w:cs="Arial"/>
          <w:sz w:val="24"/>
          <w:szCs w:val="24"/>
        </w:rPr>
        <w:t>Defra</w:t>
      </w:r>
      <w:r w:rsidR="00851B72" w:rsidRPr="007A518A">
        <w:rPr>
          <w:rFonts w:ascii="Arial" w:hAnsi="Arial" w:cs="Arial"/>
          <w:sz w:val="24"/>
          <w:szCs w:val="24"/>
        </w:rPr>
        <w:t xml:space="preserve"> do</w:t>
      </w:r>
      <w:r w:rsidR="00820BD4" w:rsidRPr="007A518A">
        <w:rPr>
          <w:rFonts w:ascii="Arial" w:hAnsi="Arial" w:cs="Arial"/>
          <w:sz w:val="24"/>
          <w:szCs w:val="24"/>
        </w:rPr>
        <w:t>es</w:t>
      </w:r>
      <w:r w:rsidR="001D0517">
        <w:rPr>
          <w:rFonts w:ascii="Arial" w:hAnsi="Arial" w:cs="Arial"/>
          <w:sz w:val="24"/>
          <w:szCs w:val="24"/>
        </w:rPr>
        <w:t xml:space="preserve"> </w:t>
      </w:r>
      <w:r w:rsidR="00820BD4" w:rsidRPr="007A518A">
        <w:rPr>
          <w:rFonts w:ascii="Arial" w:hAnsi="Arial" w:cs="Arial"/>
          <w:sz w:val="24"/>
          <w:szCs w:val="24"/>
        </w:rPr>
        <w:t>n</w:t>
      </w:r>
      <w:r w:rsidR="001D0517">
        <w:rPr>
          <w:rFonts w:ascii="Arial" w:hAnsi="Arial" w:cs="Arial"/>
          <w:sz w:val="24"/>
          <w:szCs w:val="24"/>
        </w:rPr>
        <w:t>o</w:t>
      </w:r>
      <w:r w:rsidR="00851B72" w:rsidRPr="007A518A">
        <w:rPr>
          <w:rFonts w:ascii="Arial" w:hAnsi="Arial" w:cs="Arial"/>
          <w:sz w:val="24"/>
          <w:szCs w:val="24"/>
        </w:rPr>
        <w:t>t expect there to be any direct price impacts on consumers</w:t>
      </w:r>
      <w:r w:rsidR="009978ED">
        <w:rPr>
          <w:rFonts w:ascii="Arial" w:hAnsi="Arial" w:cs="Arial"/>
          <w:sz w:val="24"/>
          <w:szCs w:val="24"/>
        </w:rPr>
        <w:t xml:space="preserve">. </w:t>
      </w:r>
      <w:r w:rsidR="00FC5394" w:rsidRPr="007A518A">
        <w:rPr>
          <w:rFonts w:ascii="Arial" w:hAnsi="Arial" w:cs="Arial"/>
          <w:sz w:val="24"/>
          <w:szCs w:val="24"/>
        </w:rPr>
        <w:t>Furthermore,</w:t>
      </w:r>
      <w:r w:rsidR="00005CEE">
        <w:rPr>
          <w:rFonts w:ascii="Arial" w:hAnsi="Arial" w:cs="Arial"/>
          <w:sz w:val="24"/>
          <w:szCs w:val="24"/>
        </w:rPr>
        <w:t xml:space="preserve"> </w:t>
      </w:r>
      <w:r w:rsidR="00FC5394" w:rsidRPr="007A518A">
        <w:rPr>
          <w:rFonts w:ascii="Arial" w:hAnsi="Arial" w:cs="Arial"/>
          <w:sz w:val="24"/>
          <w:szCs w:val="24"/>
        </w:rPr>
        <w:t>stakeholder engagement has indicated that retailers have not received negative feedback from customers regarding alternative products to wet wipes that contain plastic.</w:t>
      </w:r>
    </w:p>
    <w:p w14:paraId="7EF40822" w14:textId="62A94382" w:rsidR="7F4D47E3" w:rsidRPr="007A518A" w:rsidRDefault="7F4D47E3" w:rsidP="15F0B1D5">
      <w:pPr>
        <w:rPr>
          <w:rFonts w:ascii="Arial" w:hAnsi="Arial" w:cs="Arial"/>
          <w:b/>
          <w:color w:val="70AD47" w:themeColor="accent6"/>
          <w:sz w:val="28"/>
          <w:szCs w:val="28"/>
        </w:rPr>
      </w:pPr>
      <w:r w:rsidRPr="7CF19C3C">
        <w:rPr>
          <w:rFonts w:ascii="Arial" w:hAnsi="Arial" w:cs="Arial"/>
          <w:b/>
          <w:color w:val="70AD47" w:themeColor="accent6"/>
          <w:sz w:val="28"/>
          <w:szCs w:val="28"/>
        </w:rPr>
        <w:t>Benefits to society</w:t>
      </w:r>
    </w:p>
    <w:p w14:paraId="7EF80E87" w14:textId="7F6572A1" w:rsidR="00E158EC" w:rsidRPr="007A518A" w:rsidRDefault="00870C7F" w:rsidP="00E158EC">
      <w:pPr>
        <w:rPr>
          <w:rFonts w:ascii="Arial" w:hAnsi="Arial" w:cs="Arial"/>
          <w:b/>
          <w:sz w:val="24"/>
          <w:szCs w:val="24"/>
        </w:rPr>
      </w:pPr>
      <w:r w:rsidRPr="007A518A">
        <w:rPr>
          <w:rFonts w:ascii="Arial" w:hAnsi="Arial" w:cs="Arial"/>
          <w:b/>
          <w:sz w:val="24"/>
          <w:szCs w:val="24"/>
        </w:rPr>
        <w:t>Reduction in microplastics in the environment</w:t>
      </w:r>
    </w:p>
    <w:p w14:paraId="07AF8F18" w14:textId="2D5D6A63" w:rsidR="00521569" w:rsidRPr="00197193" w:rsidRDefault="003E7DEB" w:rsidP="00197193">
      <w:pPr>
        <w:pStyle w:val="ListParagraph"/>
        <w:numPr>
          <w:ilvl w:val="0"/>
          <w:numId w:val="5"/>
        </w:numPr>
        <w:ind w:left="567" w:hanging="567"/>
        <w:rPr>
          <w:rFonts w:ascii="Arial" w:hAnsi="Arial" w:cs="Arial"/>
          <w:sz w:val="24"/>
          <w:szCs w:val="24"/>
        </w:rPr>
      </w:pPr>
      <w:r w:rsidRPr="007A518A">
        <w:rPr>
          <w:rFonts w:ascii="Arial" w:hAnsi="Arial" w:cs="Arial"/>
          <w:sz w:val="24"/>
          <w:szCs w:val="24"/>
        </w:rPr>
        <w:t>Wet wipes are a source of smaller and micro sized plastic fibres/particles that are released as the wet wipes break down both in water and on land</w:t>
      </w:r>
      <w:r w:rsidR="00A20C0E" w:rsidRPr="00DE4170">
        <w:rPr>
          <w:rFonts w:ascii="Arial" w:hAnsi="Arial" w:cs="Arial"/>
          <w:sz w:val="24"/>
          <w:szCs w:val="24"/>
          <w:vertAlign w:val="superscript"/>
        </w:rPr>
        <w:footnoteReference w:id="21"/>
      </w:r>
      <w:r w:rsidRPr="007A518A">
        <w:rPr>
          <w:rFonts w:ascii="Arial" w:hAnsi="Arial" w:cs="Arial"/>
          <w:sz w:val="24"/>
          <w:szCs w:val="24"/>
        </w:rPr>
        <w:t xml:space="preserve">. </w:t>
      </w:r>
      <w:r w:rsidR="00766543" w:rsidRPr="007A518A">
        <w:rPr>
          <w:rFonts w:ascii="Arial" w:hAnsi="Arial" w:cs="Arial"/>
          <w:sz w:val="24"/>
          <w:szCs w:val="24"/>
        </w:rPr>
        <w:t xml:space="preserve"> A ban on the manufacture, supply and sale of wet wipes that contain plastic would reduce the amount of microplastics released </w:t>
      </w:r>
      <w:r w:rsidR="00293CCF" w:rsidRPr="007A518A">
        <w:rPr>
          <w:rFonts w:ascii="Arial" w:hAnsi="Arial" w:cs="Arial"/>
          <w:sz w:val="24"/>
          <w:szCs w:val="24"/>
        </w:rPr>
        <w:t>into</w:t>
      </w:r>
      <w:r w:rsidR="00766543" w:rsidRPr="007A518A">
        <w:rPr>
          <w:rFonts w:ascii="Arial" w:hAnsi="Arial" w:cs="Arial"/>
          <w:sz w:val="24"/>
          <w:szCs w:val="24"/>
        </w:rPr>
        <w:t xml:space="preserve"> the environment.</w:t>
      </w:r>
    </w:p>
    <w:p w14:paraId="30BDDDD4" w14:textId="587E49FE" w:rsidR="00521569" w:rsidRPr="00CC1E88" w:rsidRDefault="00521569" w:rsidP="00521569">
      <w:pPr>
        <w:rPr>
          <w:rFonts w:ascii="Arial" w:hAnsi="Arial" w:cs="Arial"/>
          <w:b/>
          <w:sz w:val="24"/>
          <w:szCs w:val="24"/>
        </w:rPr>
      </w:pPr>
      <w:r w:rsidRPr="00CC1E88">
        <w:rPr>
          <w:rFonts w:ascii="Arial" w:hAnsi="Arial" w:cs="Arial"/>
          <w:b/>
          <w:sz w:val="24"/>
          <w:szCs w:val="24"/>
        </w:rPr>
        <w:t xml:space="preserve">Life-cycle </w:t>
      </w:r>
      <w:r w:rsidR="00854A13" w:rsidRPr="00CC1E88">
        <w:rPr>
          <w:rFonts w:ascii="Arial" w:hAnsi="Arial" w:cs="Arial"/>
          <w:b/>
          <w:sz w:val="24"/>
          <w:szCs w:val="24"/>
        </w:rPr>
        <w:t xml:space="preserve">greenhouse gas </w:t>
      </w:r>
      <w:r w:rsidRPr="00CC1E88">
        <w:rPr>
          <w:rFonts w:ascii="Arial" w:hAnsi="Arial" w:cs="Arial"/>
          <w:b/>
          <w:sz w:val="24"/>
          <w:szCs w:val="24"/>
        </w:rPr>
        <w:t>emissions</w:t>
      </w:r>
    </w:p>
    <w:p w14:paraId="0C5AAF4E" w14:textId="5898B213" w:rsidR="0045360B" w:rsidRPr="00CC1E88" w:rsidRDefault="0045360B" w:rsidP="0045360B">
      <w:pPr>
        <w:pStyle w:val="ListParagraph"/>
        <w:numPr>
          <w:ilvl w:val="0"/>
          <w:numId w:val="5"/>
        </w:numPr>
        <w:rPr>
          <w:rFonts w:ascii="Arial" w:hAnsi="Arial" w:cs="Arial"/>
          <w:sz w:val="24"/>
          <w:szCs w:val="24"/>
        </w:rPr>
      </w:pPr>
      <w:r w:rsidRPr="00CC1E88">
        <w:rPr>
          <w:rFonts w:ascii="Arial" w:hAnsi="Arial" w:cs="Arial"/>
          <w:sz w:val="24"/>
          <w:szCs w:val="24"/>
        </w:rPr>
        <w:t>The materials in non-plastic wet wipes are less emission intensive in the production process. This covers all emissions from the point of raw material extraction through to the point at which a finished good is manufactured. Defra assumes that plastic wet wipes are made of 70% polyethylene terephthalate (PET) and 30% viscose, whereas non-plastic wet wipes are made of only viscose</w:t>
      </w:r>
      <w:r w:rsidRPr="00CC1E88">
        <w:rPr>
          <w:rStyle w:val="FootnoteReference"/>
          <w:rFonts w:ascii="Arial" w:hAnsi="Arial" w:cs="Arial"/>
          <w:sz w:val="24"/>
          <w:szCs w:val="24"/>
        </w:rPr>
        <w:footnoteReference w:id="22"/>
      </w:r>
      <w:r w:rsidRPr="00CC1E88">
        <w:rPr>
          <w:rFonts w:ascii="Arial" w:hAnsi="Arial" w:cs="Arial"/>
          <w:sz w:val="24"/>
          <w:szCs w:val="24"/>
        </w:rPr>
        <w:t>. Viscose emits 1.46 tonnes of carbon dioxide equivalent (tCO2e) per tonne of viscose produced</w:t>
      </w:r>
      <w:r w:rsidRPr="00CC1E88">
        <w:rPr>
          <w:rStyle w:val="FootnoteReference"/>
          <w:rFonts w:ascii="Arial" w:hAnsi="Arial" w:cs="Arial"/>
          <w:sz w:val="24"/>
          <w:szCs w:val="24"/>
        </w:rPr>
        <w:footnoteReference w:id="23"/>
      </w:r>
      <w:r w:rsidRPr="00CC1E88">
        <w:rPr>
          <w:rFonts w:ascii="Arial" w:hAnsi="Arial" w:cs="Arial"/>
          <w:sz w:val="24"/>
          <w:szCs w:val="24"/>
        </w:rPr>
        <w:t>, whereas PET emits 4.02 tCO2e per tonne of PET produced</w:t>
      </w:r>
      <w:r w:rsidRPr="00CC1E88">
        <w:rPr>
          <w:rStyle w:val="FootnoteReference"/>
          <w:rFonts w:ascii="Arial" w:hAnsi="Arial" w:cs="Arial"/>
          <w:sz w:val="24"/>
          <w:szCs w:val="24"/>
        </w:rPr>
        <w:footnoteReference w:id="24"/>
      </w:r>
      <w:r w:rsidRPr="00CC1E88">
        <w:rPr>
          <w:rFonts w:ascii="Arial" w:hAnsi="Arial" w:cs="Arial"/>
          <w:sz w:val="24"/>
          <w:szCs w:val="24"/>
        </w:rPr>
        <w:t>. Valpak have reported that 97.5% of wet wipes placed on the market in the UK are produced domestically</w:t>
      </w:r>
      <w:r w:rsidRPr="00CC1E88">
        <w:rPr>
          <w:rStyle w:val="FootnoteReference"/>
          <w:rFonts w:ascii="Arial" w:hAnsi="Arial" w:cs="Arial"/>
          <w:sz w:val="24"/>
          <w:szCs w:val="24"/>
        </w:rPr>
        <w:footnoteReference w:id="25"/>
      </w:r>
      <w:r w:rsidRPr="00CC1E88">
        <w:rPr>
          <w:rFonts w:ascii="Arial" w:hAnsi="Arial" w:cs="Arial"/>
          <w:sz w:val="24"/>
          <w:szCs w:val="24"/>
        </w:rPr>
        <w:t xml:space="preserve">. Therefore, when the production of wet wipes containing plastic is banned, the total production emissions of wet wipes in </w:t>
      </w:r>
      <w:r w:rsidR="00626D9A" w:rsidRPr="00CC1E88">
        <w:rPr>
          <w:rFonts w:ascii="Arial" w:hAnsi="Arial" w:cs="Arial"/>
          <w:sz w:val="24"/>
          <w:szCs w:val="24"/>
        </w:rPr>
        <w:t xml:space="preserve">the UK </w:t>
      </w:r>
      <w:r w:rsidRPr="00CC1E88">
        <w:rPr>
          <w:rFonts w:ascii="Arial" w:hAnsi="Arial" w:cs="Arial"/>
          <w:sz w:val="24"/>
          <w:szCs w:val="24"/>
        </w:rPr>
        <w:t xml:space="preserve">will reduce. </w:t>
      </w:r>
    </w:p>
    <w:p w14:paraId="6F7EFCED" w14:textId="77777777" w:rsidR="00521569" w:rsidRPr="00CC1E88" w:rsidRDefault="00521569" w:rsidP="004235F0">
      <w:pPr>
        <w:pStyle w:val="ListParagraph"/>
        <w:ind w:left="567"/>
        <w:rPr>
          <w:rFonts w:ascii="Arial" w:hAnsi="Arial" w:cs="Arial"/>
          <w:sz w:val="24"/>
          <w:szCs w:val="24"/>
        </w:rPr>
      </w:pPr>
    </w:p>
    <w:p w14:paraId="34043E19" w14:textId="77777777" w:rsidR="004235F0" w:rsidRPr="00CC1E88" w:rsidRDefault="004235F0" w:rsidP="004235F0">
      <w:pPr>
        <w:pStyle w:val="ListParagraph"/>
        <w:numPr>
          <w:ilvl w:val="0"/>
          <w:numId w:val="5"/>
        </w:numPr>
        <w:rPr>
          <w:rFonts w:ascii="Arial" w:hAnsi="Arial" w:cs="Arial"/>
          <w:sz w:val="24"/>
          <w:szCs w:val="24"/>
        </w:rPr>
      </w:pPr>
      <w:r w:rsidRPr="00CC1E88">
        <w:rPr>
          <w:rFonts w:ascii="Arial" w:hAnsi="Arial" w:cs="Arial"/>
          <w:sz w:val="24"/>
          <w:szCs w:val="24"/>
        </w:rPr>
        <w:lastRenderedPageBreak/>
        <w:t xml:space="preserve">When materials are disposed of via incineration, they emit greenhouse gases. However, </w:t>
      </w:r>
      <w:proofErr w:type="gramStart"/>
      <w:r w:rsidRPr="00CC1E88">
        <w:rPr>
          <w:rFonts w:ascii="Arial" w:hAnsi="Arial" w:cs="Arial"/>
          <w:sz w:val="24"/>
          <w:szCs w:val="24"/>
        </w:rPr>
        <w:t>the vast majority of</w:t>
      </w:r>
      <w:proofErr w:type="gramEnd"/>
      <w:r w:rsidRPr="00CC1E88">
        <w:rPr>
          <w:rFonts w:ascii="Arial" w:hAnsi="Arial" w:cs="Arial"/>
          <w:sz w:val="24"/>
          <w:szCs w:val="24"/>
        </w:rPr>
        <w:t xml:space="preserve"> incineration recovers energy by using the heat generation to run steam turbines (called ‘Energy from Waste’). Therefore, some of the greenhouse gases emitted is offset by the power generated, reducing the amount of fossil fuel derived power needed to be supplied to the national grid. Plastic wet wipes are estimated to have a higher net incineration disposal emission cost than non-plastic wet wipes. Therefore, this ban would result in a reduction in incineration emissions.</w:t>
      </w:r>
    </w:p>
    <w:p w14:paraId="533F399F" w14:textId="77777777" w:rsidR="004235F0" w:rsidRPr="00CC1E88" w:rsidRDefault="004235F0" w:rsidP="004235F0">
      <w:pPr>
        <w:pStyle w:val="ListParagraph"/>
        <w:rPr>
          <w:rFonts w:ascii="Arial" w:hAnsi="Arial" w:cs="Arial"/>
          <w:sz w:val="24"/>
          <w:szCs w:val="24"/>
        </w:rPr>
      </w:pPr>
    </w:p>
    <w:p w14:paraId="02BDDA2C" w14:textId="0A079E02" w:rsidR="00606876" w:rsidRPr="00CC1E88" w:rsidRDefault="00AA6D52" w:rsidP="00606876">
      <w:pPr>
        <w:pStyle w:val="ListParagraph"/>
        <w:numPr>
          <w:ilvl w:val="0"/>
          <w:numId w:val="5"/>
        </w:numPr>
        <w:rPr>
          <w:rFonts w:ascii="Arial" w:hAnsi="Arial" w:cs="Arial"/>
          <w:sz w:val="24"/>
          <w:szCs w:val="24"/>
        </w:rPr>
      </w:pPr>
      <w:r>
        <w:rPr>
          <w:rFonts w:ascii="Arial" w:hAnsi="Arial" w:cs="Arial"/>
          <w:sz w:val="24"/>
          <w:szCs w:val="24"/>
        </w:rPr>
        <w:t>B</w:t>
      </w:r>
      <w:r w:rsidR="00606876" w:rsidRPr="00CC1E88">
        <w:rPr>
          <w:rFonts w:ascii="Arial" w:hAnsi="Arial" w:cs="Arial"/>
          <w:sz w:val="24"/>
          <w:szCs w:val="24"/>
        </w:rPr>
        <w:t>iodegradable alternatives to plastic wet wipes can result in higher greenhouse gas emissions as they degrade in landfills compared to wipes containing plastic</w:t>
      </w:r>
      <w:r w:rsidR="00374EE4" w:rsidRPr="00CC1E88">
        <w:rPr>
          <w:rFonts w:ascii="Arial" w:hAnsi="Arial" w:cs="Arial"/>
          <w:sz w:val="24"/>
          <w:szCs w:val="24"/>
        </w:rPr>
        <w:t>. Biod</w:t>
      </w:r>
      <w:r w:rsidR="003B75A7" w:rsidRPr="00CC1E88">
        <w:rPr>
          <w:rFonts w:ascii="Arial" w:hAnsi="Arial" w:cs="Arial"/>
          <w:sz w:val="24"/>
          <w:szCs w:val="24"/>
        </w:rPr>
        <w:t>egradable materials release methane as they degrade which is a greenhouse gas with a global warming potential (GWP) that is 28 times higher than carbon dioxide</w:t>
      </w:r>
      <w:r w:rsidR="00D653CE" w:rsidRPr="00CC1E88">
        <w:rPr>
          <w:rStyle w:val="FootnoteReference"/>
          <w:rFonts w:ascii="Arial" w:hAnsi="Arial" w:cs="Arial"/>
        </w:rPr>
        <w:footnoteReference w:id="26"/>
      </w:r>
      <w:r w:rsidR="00F01DE1" w:rsidRPr="00CC1E88">
        <w:rPr>
          <w:rFonts w:ascii="Arial" w:hAnsi="Arial" w:cs="Arial"/>
          <w:sz w:val="24"/>
          <w:szCs w:val="24"/>
        </w:rPr>
        <w:t>.</w:t>
      </w:r>
      <w:r w:rsidR="00606876" w:rsidRPr="00CC1E88">
        <w:rPr>
          <w:rFonts w:ascii="Arial" w:hAnsi="Arial" w:cs="Arial"/>
          <w:sz w:val="24"/>
          <w:szCs w:val="24"/>
        </w:rPr>
        <w:t xml:space="preserve"> The associated increase in carbon emissions in the policy scenario compared to the counterfactual scenario are reflected in the landfill disposal emissions cost.</w:t>
      </w:r>
    </w:p>
    <w:p w14:paraId="55DD7866" w14:textId="77777777" w:rsidR="00F01DE1" w:rsidRPr="00CC1E88" w:rsidRDefault="00F01DE1" w:rsidP="00F01DE1">
      <w:pPr>
        <w:pStyle w:val="ListParagraph"/>
        <w:rPr>
          <w:rFonts w:ascii="Arial" w:hAnsi="Arial" w:cs="Arial"/>
          <w:sz w:val="24"/>
          <w:szCs w:val="24"/>
        </w:rPr>
      </w:pPr>
    </w:p>
    <w:p w14:paraId="4511C5C9" w14:textId="42579F5D" w:rsidR="00F01DE1" w:rsidRPr="00CC1E88" w:rsidRDefault="00F01DE1" w:rsidP="00606876">
      <w:pPr>
        <w:pStyle w:val="ListParagraph"/>
        <w:numPr>
          <w:ilvl w:val="0"/>
          <w:numId w:val="5"/>
        </w:numPr>
        <w:rPr>
          <w:rFonts w:ascii="Arial" w:hAnsi="Arial" w:cs="Arial"/>
          <w:sz w:val="24"/>
          <w:szCs w:val="24"/>
        </w:rPr>
      </w:pPr>
      <w:r w:rsidRPr="00CC1E88">
        <w:rPr>
          <w:rFonts w:ascii="Arial" w:hAnsi="Arial" w:cs="Arial"/>
          <w:sz w:val="24"/>
          <w:szCs w:val="24"/>
        </w:rPr>
        <w:t xml:space="preserve">Preliminary modelling has indicated that the life-cycle emissions of the non-plastic wet wipe alternatives </w:t>
      </w:r>
      <w:r w:rsidR="00FF3DCB" w:rsidRPr="00CC1E88">
        <w:rPr>
          <w:rFonts w:ascii="Arial" w:hAnsi="Arial" w:cs="Arial"/>
          <w:sz w:val="24"/>
          <w:szCs w:val="24"/>
        </w:rPr>
        <w:t xml:space="preserve">are lower than that of wet wipes containing plastic. </w:t>
      </w:r>
      <w:r w:rsidR="00F82AC4" w:rsidRPr="00CC1E88">
        <w:rPr>
          <w:rFonts w:ascii="Arial" w:hAnsi="Arial" w:cs="Arial"/>
          <w:sz w:val="24"/>
          <w:szCs w:val="24"/>
        </w:rPr>
        <w:t>Therefore,</w:t>
      </w:r>
      <w:r w:rsidR="00FF3DCB" w:rsidRPr="00CC1E88">
        <w:rPr>
          <w:rFonts w:ascii="Arial" w:hAnsi="Arial" w:cs="Arial"/>
          <w:sz w:val="24"/>
          <w:szCs w:val="24"/>
        </w:rPr>
        <w:t xml:space="preserve"> if a ban were introduced it would result in a life-cycle emissions saving</w:t>
      </w:r>
      <w:r w:rsidR="007D6A9F" w:rsidRPr="00CC1E88">
        <w:rPr>
          <w:rFonts w:ascii="Arial" w:hAnsi="Arial" w:cs="Arial"/>
          <w:sz w:val="24"/>
          <w:szCs w:val="24"/>
        </w:rPr>
        <w:t>.</w:t>
      </w:r>
    </w:p>
    <w:p w14:paraId="30A55F21" w14:textId="77777777" w:rsidR="004235F0" w:rsidRPr="004235F0" w:rsidRDefault="004235F0" w:rsidP="00606876">
      <w:pPr>
        <w:pStyle w:val="ListParagraph"/>
        <w:rPr>
          <w:rFonts w:ascii="Arial" w:hAnsi="Arial" w:cs="Arial"/>
          <w:sz w:val="24"/>
          <w:szCs w:val="24"/>
        </w:rPr>
      </w:pPr>
    </w:p>
    <w:p w14:paraId="43A61C8C" w14:textId="5A502AD6" w:rsidR="2AA1FF62" w:rsidRPr="00CC1E88" w:rsidRDefault="006D53AA" w:rsidP="3BE14615">
      <w:pPr>
        <w:rPr>
          <w:rFonts w:ascii="Arial" w:hAnsi="Arial" w:cs="Arial"/>
          <w:b/>
          <w:sz w:val="24"/>
          <w:szCs w:val="24"/>
        </w:rPr>
      </w:pPr>
      <w:r w:rsidRPr="00CC1E88">
        <w:rPr>
          <w:rFonts w:ascii="Arial" w:hAnsi="Arial" w:cs="Arial"/>
          <w:b/>
          <w:sz w:val="24"/>
          <w:szCs w:val="24"/>
        </w:rPr>
        <w:t>Monitoring and Evaluation</w:t>
      </w:r>
    </w:p>
    <w:p w14:paraId="5F120BB7" w14:textId="1DD3E093" w:rsidR="002E6250" w:rsidRPr="00CC1E88" w:rsidRDefault="70BF5BF9" w:rsidP="002E6250">
      <w:pPr>
        <w:pStyle w:val="ListParagraph"/>
        <w:numPr>
          <w:ilvl w:val="0"/>
          <w:numId w:val="5"/>
        </w:numPr>
        <w:rPr>
          <w:rFonts w:ascii="Arial" w:hAnsi="Arial" w:cs="Arial"/>
          <w:sz w:val="24"/>
          <w:szCs w:val="24"/>
        </w:rPr>
      </w:pPr>
      <w:r w:rsidRPr="00CC1E88">
        <w:rPr>
          <w:rFonts w:ascii="Arial" w:hAnsi="Arial" w:cs="Arial"/>
          <w:sz w:val="24"/>
          <w:szCs w:val="24"/>
        </w:rPr>
        <w:t>Existing data sources will be used to monitor the number of plastic wet wipes on sale in the UK following the implementation date, excluding those for exempted p</w:t>
      </w:r>
      <w:r w:rsidR="4E3CAEA7" w:rsidRPr="00CC1E88">
        <w:rPr>
          <w:rFonts w:ascii="Arial" w:hAnsi="Arial" w:cs="Arial"/>
          <w:sz w:val="24"/>
          <w:szCs w:val="24"/>
        </w:rPr>
        <w:t xml:space="preserve">urposes. The number of plastic </w:t>
      </w:r>
      <w:r w:rsidR="6DAD180D" w:rsidRPr="00CC1E88">
        <w:rPr>
          <w:rFonts w:ascii="Arial" w:hAnsi="Arial" w:cs="Arial"/>
          <w:sz w:val="24"/>
          <w:szCs w:val="24"/>
        </w:rPr>
        <w:t>wipes on sale is the key objective of this policy and will be used as a proxy to assess the broader outcomes</w:t>
      </w:r>
      <w:r w:rsidR="4FFD1E70" w:rsidRPr="00CC1E88">
        <w:rPr>
          <w:rFonts w:ascii="Arial" w:hAnsi="Arial" w:cs="Arial"/>
          <w:sz w:val="24"/>
          <w:szCs w:val="24"/>
        </w:rPr>
        <w:t>;</w:t>
      </w:r>
      <w:r w:rsidR="6DAD180D" w:rsidRPr="00CC1E88">
        <w:rPr>
          <w:rFonts w:ascii="Arial" w:hAnsi="Arial" w:cs="Arial"/>
          <w:sz w:val="24"/>
          <w:szCs w:val="24"/>
        </w:rPr>
        <w:t xml:space="preserve"> </w:t>
      </w:r>
      <w:r w:rsidR="002E6250" w:rsidRPr="00CC1E88">
        <w:rPr>
          <w:rFonts w:ascii="Arial" w:hAnsi="Arial" w:cs="Arial"/>
          <w:sz w:val="24"/>
          <w:szCs w:val="24"/>
        </w:rPr>
        <w:t>namely the reduction in microplastics being released into the environment and the reduction in emissions from the production and disposal of wet wipes. Th</w:t>
      </w:r>
      <w:r w:rsidR="3F1B44B7" w:rsidRPr="00CC1E88">
        <w:rPr>
          <w:rFonts w:ascii="Arial" w:hAnsi="Arial" w:cs="Arial"/>
          <w:sz w:val="24"/>
          <w:szCs w:val="24"/>
        </w:rPr>
        <w:t xml:space="preserve">ese broader outcomes will not be assessed directly due to a lack of existing evidence to provide a suitable baseline. </w:t>
      </w:r>
      <w:r w:rsidR="002E6250" w:rsidRPr="00CC1E88">
        <w:rPr>
          <w:rFonts w:ascii="Arial" w:hAnsi="Arial" w:cs="Arial"/>
          <w:sz w:val="24"/>
          <w:szCs w:val="24"/>
        </w:rPr>
        <w:t xml:space="preserve">As much as possible, Defra will utilise existing data sources to monitor these outputs and outcomes. However, if there are insufficient </w:t>
      </w:r>
      <w:r w:rsidR="7B9EDF59" w:rsidRPr="00CC1E88">
        <w:rPr>
          <w:rFonts w:ascii="Arial" w:hAnsi="Arial" w:cs="Arial"/>
          <w:sz w:val="24"/>
          <w:szCs w:val="24"/>
        </w:rPr>
        <w:t>data</w:t>
      </w:r>
      <w:r w:rsidR="002E6250" w:rsidRPr="00CC1E88">
        <w:rPr>
          <w:rFonts w:ascii="Arial" w:hAnsi="Arial" w:cs="Arial"/>
          <w:sz w:val="24"/>
          <w:szCs w:val="24"/>
        </w:rPr>
        <w:t xml:space="preserve"> by the time of the </w:t>
      </w:r>
      <w:r w:rsidR="00B319F8" w:rsidRPr="00CC1E88">
        <w:rPr>
          <w:rFonts w:ascii="Arial" w:hAnsi="Arial" w:cs="Arial"/>
          <w:sz w:val="24"/>
          <w:szCs w:val="24"/>
        </w:rPr>
        <w:t xml:space="preserve">Post </w:t>
      </w:r>
      <w:r w:rsidR="004C2C98" w:rsidRPr="00CC1E88">
        <w:rPr>
          <w:rFonts w:ascii="Arial" w:hAnsi="Arial" w:cs="Arial"/>
          <w:sz w:val="24"/>
          <w:szCs w:val="24"/>
        </w:rPr>
        <w:t>Implementation Review</w:t>
      </w:r>
      <w:r w:rsidR="002E6250" w:rsidRPr="00CC1E88">
        <w:rPr>
          <w:rFonts w:ascii="Arial" w:hAnsi="Arial" w:cs="Arial"/>
          <w:sz w:val="24"/>
          <w:szCs w:val="24"/>
        </w:rPr>
        <w:t>, Defra will consider commissioning suitable research to address this evidence gap.</w:t>
      </w:r>
    </w:p>
    <w:p w14:paraId="67E4FB4B" w14:textId="77777777" w:rsidR="002E6250" w:rsidRPr="00CC1E88" w:rsidRDefault="002E6250" w:rsidP="00B51046">
      <w:pPr>
        <w:pStyle w:val="ListParagraph"/>
        <w:ind w:left="360"/>
        <w:rPr>
          <w:rFonts w:ascii="Arial" w:hAnsi="Arial" w:cs="Arial"/>
          <w:sz w:val="24"/>
          <w:szCs w:val="24"/>
        </w:rPr>
      </w:pPr>
    </w:p>
    <w:p w14:paraId="2735EA95" w14:textId="6354D544" w:rsidR="002E6250" w:rsidRPr="00CC1E88" w:rsidRDefault="002E6250" w:rsidP="00B51046">
      <w:pPr>
        <w:pStyle w:val="ListParagraph"/>
        <w:numPr>
          <w:ilvl w:val="0"/>
          <w:numId w:val="5"/>
        </w:numPr>
        <w:rPr>
          <w:rFonts w:ascii="Arial" w:hAnsi="Arial" w:cs="Arial"/>
          <w:sz w:val="24"/>
          <w:szCs w:val="24"/>
        </w:rPr>
      </w:pPr>
      <w:r w:rsidRPr="00CC1E88">
        <w:rPr>
          <w:rFonts w:ascii="Arial" w:hAnsi="Arial" w:cs="Arial"/>
          <w:sz w:val="24"/>
          <w:szCs w:val="24"/>
        </w:rPr>
        <w:t xml:space="preserve">The main external factors that will influence the success of the policy are the factors which would have led businesses to transition to non-plastic alternatives to wet wipes without this policy intervention. These factors include the cost of non-plastic alternative material, the interest of consumers in having non-plastic alternatives and the purchasing of wet wipes against alternative products. At present, many businesses are moving mostly or entirely to non-plastic wet wipes and the assumption within this evaluation is that businesses would have </w:t>
      </w:r>
      <w:r w:rsidRPr="00CC1E88">
        <w:rPr>
          <w:rFonts w:ascii="Arial" w:hAnsi="Arial" w:cs="Arial"/>
          <w:sz w:val="24"/>
          <w:szCs w:val="24"/>
        </w:rPr>
        <w:lastRenderedPageBreak/>
        <w:t xml:space="preserve">transitioned many of their products eventually without this policy intervention. If external factors change the landscape such that that transition was not </w:t>
      </w:r>
      <w:r w:rsidR="533C809C" w:rsidRPr="00CC1E88">
        <w:rPr>
          <w:rFonts w:ascii="Arial" w:hAnsi="Arial" w:cs="Arial"/>
          <w:sz w:val="24"/>
          <w:szCs w:val="24"/>
        </w:rPr>
        <w:t>in</w:t>
      </w:r>
      <w:r w:rsidRPr="00CC1E88">
        <w:rPr>
          <w:rFonts w:ascii="Arial" w:hAnsi="Arial" w:cs="Arial"/>
          <w:sz w:val="24"/>
          <w:szCs w:val="24"/>
        </w:rPr>
        <w:t>evitable, then that assumption will have to be re-examined.</w:t>
      </w:r>
    </w:p>
    <w:p w14:paraId="5A7524A7" w14:textId="77777777" w:rsidR="002E6250" w:rsidRPr="00CC1E88" w:rsidRDefault="002E6250" w:rsidP="00B51046">
      <w:pPr>
        <w:pStyle w:val="ListParagraph"/>
        <w:ind w:left="360"/>
        <w:rPr>
          <w:rFonts w:ascii="Arial" w:hAnsi="Arial" w:cs="Arial"/>
          <w:sz w:val="24"/>
          <w:szCs w:val="24"/>
        </w:rPr>
      </w:pPr>
    </w:p>
    <w:p w14:paraId="5B0C024B" w14:textId="051ADA27" w:rsidR="002E6250" w:rsidRPr="00CC1E88" w:rsidRDefault="002E6250" w:rsidP="00B51046">
      <w:pPr>
        <w:pStyle w:val="ListParagraph"/>
        <w:numPr>
          <w:ilvl w:val="0"/>
          <w:numId w:val="5"/>
        </w:numPr>
        <w:rPr>
          <w:rFonts w:ascii="Arial" w:hAnsi="Arial" w:cs="Arial"/>
          <w:sz w:val="24"/>
          <w:szCs w:val="24"/>
        </w:rPr>
      </w:pPr>
      <w:r w:rsidRPr="00CC1E88">
        <w:rPr>
          <w:rFonts w:ascii="Arial" w:hAnsi="Arial" w:cs="Arial"/>
          <w:sz w:val="24"/>
          <w:szCs w:val="24"/>
        </w:rPr>
        <w:t xml:space="preserve">The success of the policy </w:t>
      </w:r>
      <w:r w:rsidR="6D8F2A53" w:rsidRPr="00CC1E88">
        <w:rPr>
          <w:rFonts w:ascii="Arial" w:hAnsi="Arial" w:cs="Arial"/>
          <w:sz w:val="24"/>
          <w:szCs w:val="24"/>
        </w:rPr>
        <w:t>is dependent</w:t>
      </w:r>
      <w:r w:rsidRPr="00CC1E88">
        <w:rPr>
          <w:rFonts w:ascii="Arial" w:hAnsi="Arial" w:cs="Arial"/>
          <w:sz w:val="24"/>
          <w:szCs w:val="24"/>
        </w:rPr>
        <w:t xml:space="preserve"> on compliance from all parts of the supply chain, excluding those exempted. The assumption within the policy is that limited enforcement is required to achieve a high level or total compliance. External factors could discourage businesses from complying thus increasing the need for greater enforcement, likely at a higher cost.</w:t>
      </w:r>
    </w:p>
    <w:p w14:paraId="5F559CD3" w14:textId="440F6580" w:rsidR="002E6250" w:rsidRPr="00CC1E88" w:rsidRDefault="002E6250" w:rsidP="00B51046">
      <w:pPr>
        <w:pStyle w:val="ListParagraph"/>
        <w:ind w:left="360"/>
        <w:rPr>
          <w:rFonts w:ascii="Arial" w:hAnsi="Arial" w:cs="Arial"/>
          <w:sz w:val="24"/>
          <w:szCs w:val="24"/>
        </w:rPr>
      </w:pPr>
    </w:p>
    <w:p w14:paraId="726E3785" w14:textId="77777777" w:rsidR="002E6250" w:rsidRPr="00CC1E88" w:rsidRDefault="002E6250" w:rsidP="00B51046">
      <w:pPr>
        <w:pStyle w:val="ListParagraph"/>
        <w:numPr>
          <w:ilvl w:val="0"/>
          <w:numId w:val="5"/>
        </w:numPr>
        <w:rPr>
          <w:rFonts w:ascii="Arial" w:hAnsi="Arial" w:cs="Arial"/>
          <w:sz w:val="24"/>
          <w:szCs w:val="24"/>
        </w:rPr>
      </w:pPr>
      <w:r w:rsidRPr="00CC1E88">
        <w:rPr>
          <w:rFonts w:ascii="Arial" w:hAnsi="Arial" w:cs="Arial"/>
          <w:sz w:val="24"/>
          <w:szCs w:val="24"/>
        </w:rPr>
        <w:t xml:space="preserve">Defra will monitor the implementation of this policy through engagement with key stakeholder groups such as trade associations and the NHS. Early indications of unintended consequences would include greater than expected impacts to businesses of implementation, lack of availability of non-plastic wet wipes for consumers and a disruption in supply for exempted purposes. </w:t>
      </w:r>
    </w:p>
    <w:p w14:paraId="052EF61C" w14:textId="77777777" w:rsidR="002E6250" w:rsidRPr="00CC1E88" w:rsidRDefault="002E6250" w:rsidP="00B51046">
      <w:pPr>
        <w:pStyle w:val="ListParagraph"/>
        <w:ind w:left="360"/>
        <w:rPr>
          <w:rFonts w:ascii="Arial" w:hAnsi="Arial" w:cs="Arial"/>
          <w:sz w:val="24"/>
          <w:szCs w:val="24"/>
        </w:rPr>
      </w:pPr>
    </w:p>
    <w:p w14:paraId="6067F590" w14:textId="5F48C32A" w:rsidR="002E6250" w:rsidRPr="00CC1E88" w:rsidRDefault="002E6250" w:rsidP="00B51046">
      <w:pPr>
        <w:pStyle w:val="ListParagraph"/>
        <w:numPr>
          <w:ilvl w:val="0"/>
          <w:numId w:val="5"/>
        </w:numPr>
        <w:rPr>
          <w:rFonts w:ascii="Arial" w:hAnsi="Arial" w:cs="Arial"/>
          <w:sz w:val="24"/>
          <w:szCs w:val="24"/>
        </w:rPr>
      </w:pPr>
      <w:r w:rsidRPr="00CC1E88">
        <w:rPr>
          <w:rFonts w:ascii="Arial" w:hAnsi="Arial" w:cs="Arial"/>
          <w:sz w:val="24"/>
          <w:szCs w:val="24"/>
        </w:rPr>
        <w:t xml:space="preserve">The effect of this policy will be reviewed in line with the standard 5-year post implementation review process. </w:t>
      </w:r>
    </w:p>
    <w:p w14:paraId="02E59A96" w14:textId="57291B6E" w:rsidR="004235F0" w:rsidRPr="007A518A" w:rsidRDefault="004235F0" w:rsidP="64403BC5">
      <w:pPr>
        <w:rPr>
          <w:rFonts w:ascii="Arial" w:hAnsi="Arial" w:cs="Arial"/>
          <w:sz w:val="24"/>
          <w:szCs w:val="24"/>
        </w:rPr>
      </w:pPr>
    </w:p>
    <w:sectPr w:rsidR="004235F0" w:rsidRPr="007A518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0AB6" w14:textId="77777777" w:rsidR="003A6464" w:rsidRDefault="003A6464" w:rsidP="00E158EC">
      <w:pPr>
        <w:spacing w:after="0" w:line="240" w:lineRule="auto"/>
      </w:pPr>
      <w:r>
        <w:separator/>
      </w:r>
    </w:p>
  </w:endnote>
  <w:endnote w:type="continuationSeparator" w:id="0">
    <w:p w14:paraId="6F76FEC3" w14:textId="77777777" w:rsidR="003A6464" w:rsidRDefault="003A6464" w:rsidP="00E158EC">
      <w:pPr>
        <w:spacing w:after="0" w:line="240" w:lineRule="auto"/>
      </w:pPr>
      <w:r>
        <w:continuationSeparator/>
      </w:r>
    </w:p>
  </w:endnote>
  <w:endnote w:type="continuationNotice" w:id="1">
    <w:p w14:paraId="1CD1A620" w14:textId="77777777" w:rsidR="003A6464" w:rsidRDefault="003A6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738499"/>
      <w:docPartObj>
        <w:docPartGallery w:val="Page Numbers (Bottom of Page)"/>
        <w:docPartUnique/>
      </w:docPartObj>
    </w:sdtPr>
    <w:sdtEndPr>
      <w:rPr>
        <w:rFonts w:ascii="Arial" w:hAnsi="Arial" w:cs="Arial"/>
      </w:rPr>
    </w:sdtEndPr>
    <w:sdtContent>
      <w:p w14:paraId="20A47ECE" w14:textId="5DAFB058" w:rsidR="00454476" w:rsidRPr="007A518A" w:rsidRDefault="00454476">
        <w:pPr>
          <w:pStyle w:val="Footer"/>
          <w:jc w:val="right"/>
          <w:rPr>
            <w:rFonts w:ascii="Arial" w:hAnsi="Arial" w:cs="Arial"/>
          </w:rPr>
        </w:pPr>
        <w:r w:rsidRPr="007A518A">
          <w:rPr>
            <w:rFonts w:ascii="Arial" w:hAnsi="Arial" w:cs="Arial"/>
          </w:rPr>
          <w:fldChar w:fldCharType="begin"/>
        </w:r>
        <w:r w:rsidRPr="007A518A">
          <w:rPr>
            <w:rFonts w:ascii="Arial" w:hAnsi="Arial" w:cs="Arial"/>
          </w:rPr>
          <w:instrText xml:space="preserve"> PAGE   \* MERGEFORMAT </w:instrText>
        </w:r>
        <w:r w:rsidRPr="007A518A">
          <w:rPr>
            <w:rFonts w:ascii="Arial" w:hAnsi="Arial" w:cs="Arial"/>
          </w:rPr>
          <w:fldChar w:fldCharType="separate"/>
        </w:r>
        <w:r w:rsidRPr="007A518A">
          <w:rPr>
            <w:rFonts w:ascii="Arial" w:hAnsi="Arial" w:cs="Arial"/>
          </w:rPr>
          <w:t>2</w:t>
        </w:r>
        <w:r w:rsidRPr="007A518A">
          <w:rPr>
            <w:rFonts w:ascii="Arial" w:hAnsi="Arial" w:cs="Arial"/>
          </w:rPr>
          <w:fldChar w:fldCharType="end"/>
        </w:r>
      </w:p>
    </w:sdtContent>
  </w:sdt>
  <w:p w14:paraId="41BE3595" w14:textId="77777777" w:rsidR="00454476" w:rsidRDefault="0045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2E2D" w14:textId="77777777" w:rsidR="003A6464" w:rsidRDefault="003A6464" w:rsidP="00E158EC">
      <w:pPr>
        <w:spacing w:after="0" w:line="240" w:lineRule="auto"/>
      </w:pPr>
      <w:r>
        <w:separator/>
      </w:r>
    </w:p>
  </w:footnote>
  <w:footnote w:type="continuationSeparator" w:id="0">
    <w:p w14:paraId="099BDEFE" w14:textId="77777777" w:rsidR="003A6464" w:rsidRDefault="003A6464" w:rsidP="00E158EC">
      <w:pPr>
        <w:spacing w:after="0" w:line="240" w:lineRule="auto"/>
      </w:pPr>
      <w:r>
        <w:continuationSeparator/>
      </w:r>
    </w:p>
  </w:footnote>
  <w:footnote w:type="continuationNotice" w:id="1">
    <w:p w14:paraId="44D9A7AC" w14:textId="77777777" w:rsidR="003A6464" w:rsidRDefault="003A6464">
      <w:pPr>
        <w:spacing w:after="0" w:line="240" w:lineRule="auto"/>
      </w:pPr>
    </w:p>
  </w:footnote>
  <w:footnote w:id="2">
    <w:p w14:paraId="7D5A601E" w14:textId="59C357B8" w:rsidR="00F526CA" w:rsidRDefault="00F526CA">
      <w:pPr>
        <w:pStyle w:val="FootnoteText"/>
      </w:pPr>
      <w:r>
        <w:rPr>
          <w:rStyle w:val="FootnoteReference"/>
        </w:rPr>
        <w:footnoteRef/>
      </w:r>
      <w:r>
        <w:t xml:space="preserve"> </w:t>
      </w:r>
      <w:hyperlink w:history="1">
        <w:r w:rsidR="00DA66F9" w:rsidRPr="00C210C7">
          <w:rPr>
            <w:rStyle w:val="Hyperlink"/>
            <w:rFonts w:cs="Arial"/>
          </w:rPr>
          <w:t>Summary of responses and government response - GOV.UK (www.gov.uk)</w:t>
        </w:r>
      </w:hyperlink>
    </w:p>
  </w:footnote>
  <w:footnote w:id="3">
    <w:p w14:paraId="4140ACCC" w14:textId="1010989C" w:rsidR="00007BA2" w:rsidRDefault="00007BA2">
      <w:pPr>
        <w:pStyle w:val="FootnoteText"/>
      </w:pPr>
      <w:r>
        <w:rPr>
          <w:rStyle w:val="FootnoteReference"/>
        </w:rPr>
        <w:footnoteRef/>
      </w:r>
      <w:r>
        <w:t xml:space="preserve"> </w:t>
      </w:r>
      <w:hyperlink r:id="rId1" w:history="1">
        <w:r w:rsidRPr="00470403">
          <w:rPr>
            <w:rStyle w:val="Hyperlink"/>
          </w:rPr>
          <w:t>https://www.gov.wales/reducing-single-use-plastic-wales</w:t>
        </w:r>
      </w:hyperlink>
      <w:r>
        <w:t xml:space="preserve"> </w:t>
      </w:r>
    </w:p>
  </w:footnote>
  <w:footnote w:id="4">
    <w:p w14:paraId="671BABAA" w14:textId="65F51E80" w:rsidR="00A22F86" w:rsidRDefault="00A22F86">
      <w:pPr>
        <w:pStyle w:val="FootnoteText"/>
      </w:pPr>
      <w:r>
        <w:rPr>
          <w:rStyle w:val="FootnoteReference"/>
        </w:rPr>
        <w:footnoteRef/>
      </w:r>
      <w:r>
        <w:t xml:space="preserve"> </w:t>
      </w:r>
      <w:hyperlink r:id="rId2" w:history="1">
        <w:r w:rsidR="000D45D3">
          <w:rPr>
            <w:rStyle w:val="Hyperlink"/>
          </w:rPr>
          <w:t>The Environmental Protection (Single-use Plastic Products) (Scotland) Regulations 2021 (legislation.gov.uk)</w:t>
        </w:r>
      </w:hyperlink>
    </w:p>
  </w:footnote>
  <w:footnote w:id="5">
    <w:p w14:paraId="7EA15A03" w14:textId="77777777" w:rsidR="00CD30ED" w:rsidRDefault="00CD30ED" w:rsidP="00CD30ED">
      <w:pPr>
        <w:pStyle w:val="FootnoteText"/>
      </w:pPr>
      <w:r w:rsidRPr="00F660D9">
        <w:rPr>
          <w:rStyle w:val="FootnoteReference"/>
          <w:rFonts w:cs="Arial"/>
        </w:rPr>
        <w:footnoteRef/>
      </w:r>
      <w:r w:rsidRPr="00F660D9">
        <w:rPr>
          <w:rFonts w:cs="Arial"/>
        </w:rPr>
        <w:t xml:space="preserve"> </w:t>
      </w:r>
      <w:hyperlink r:id="rId3" w:history="1">
        <w:r w:rsidRPr="00F660D9">
          <w:rPr>
            <w:rStyle w:val="Hyperlink"/>
            <w:rFonts w:cs="Arial"/>
          </w:rPr>
          <w:t>Far-reaching ban on single-use plastics in England - GOV.UK (www.gov.uk)</w:t>
        </w:r>
      </w:hyperlink>
    </w:p>
  </w:footnote>
  <w:footnote w:id="6">
    <w:p w14:paraId="41322C04" w14:textId="0BABE836" w:rsidR="006C2028" w:rsidRDefault="006C2028">
      <w:pPr>
        <w:pStyle w:val="FootnoteText"/>
      </w:pPr>
      <w:r>
        <w:rPr>
          <w:rStyle w:val="FootnoteReference"/>
        </w:rPr>
        <w:footnoteRef/>
      </w:r>
      <w:r>
        <w:t xml:space="preserve"> </w:t>
      </w:r>
      <w:hyperlink r:id="rId4" w:history="1">
        <w:r w:rsidR="00722299">
          <w:rPr>
            <w:rStyle w:val="Hyperlink"/>
          </w:rPr>
          <w:t>The Environmental Protection (Single-use Plastic Products) (Wales) Act | GOV.WALES</w:t>
        </w:r>
      </w:hyperlink>
    </w:p>
  </w:footnote>
  <w:footnote w:id="7">
    <w:p w14:paraId="5583B1CB" w14:textId="77777777" w:rsidR="00CF2139" w:rsidRDefault="00CF2139" w:rsidP="00CF2139">
      <w:pPr>
        <w:pStyle w:val="FootnoteText"/>
      </w:pPr>
      <w:r w:rsidRPr="003609DA">
        <w:rPr>
          <w:rStyle w:val="FootnoteReference"/>
          <w:sz w:val="20"/>
        </w:rPr>
        <w:footnoteRef/>
      </w:r>
      <w:r w:rsidRPr="003609DA">
        <w:rPr>
          <w:sz w:val="20"/>
        </w:rPr>
        <w:t xml:space="preserve"> </w:t>
      </w:r>
      <w:r w:rsidRPr="00197193">
        <w:rPr>
          <w:szCs w:val="16"/>
        </w:rPr>
        <w:t xml:space="preserve">Defra commissioned report by </w:t>
      </w:r>
      <w:proofErr w:type="gramStart"/>
      <w:r w:rsidRPr="00197193">
        <w:rPr>
          <w:szCs w:val="16"/>
        </w:rPr>
        <w:t>Valpak</w:t>
      </w:r>
      <w:proofErr w:type="gramEnd"/>
    </w:p>
  </w:footnote>
  <w:footnote w:id="8">
    <w:p w14:paraId="6CECB1B8" w14:textId="7EC64395" w:rsidR="00893F6C" w:rsidRPr="00B51046" w:rsidRDefault="00893F6C">
      <w:pPr>
        <w:pStyle w:val="FootnoteText"/>
        <w:rPr>
          <w:sz w:val="20"/>
        </w:rPr>
      </w:pPr>
      <w:r w:rsidRPr="00B51046">
        <w:rPr>
          <w:rStyle w:val="FootnoteReference"/>
          <w:sz w:val="20"/>
        </w:rPr>
        <w:footnoteRef/>
      </w:r>
      <w:r w:rsidRPr="00B51046">
        <w:rPr>
          <w:sz w:val="20"/>
        </w:rPr>
        <w:t xml:space="preserve"> </w:t>
      </w:r>
      <w:r w:rsidR="00B54347" w:rsidRPr="00197193">
        <w:rPr>
          <w:szCs w:val="16"/>
        </w:rPr>
        <w:t xml:space="preserve">These include </w:t>
      </w:r>
      <w:r w:rsidR="00437A13" w:rsidRPr="00197193">
        <w:rPr>
          <w:szCs w:val="16"/>
        </w:rPr>
        <w:t>the costs of top selling wet wipe products from each category across five major supermarkets and high street retailers</w:t>
      </w:r>
      <w:r w:rsidR="006734E1" w:rsidRPr="00197193">
        <w:rPr>
          <w:szCs w:val="16"/>
        </w:rPr>
        <w:t>. This is sourced from Valpak.</w:t>
      </w:r>
    </w:p>
  </w:footnote>
  <w:footnote w:id="9">
    <w:p w14:paraId="2BB86F70" w14:textId="7CB8E618" w:rsidR="00B00CB1" w:rsidRPr="003609DA" w:rsidRDefault="00B00CB1">
      <w:pPr>
        <w:pStyle w:val="FootnoteText"/>
        <w:rPr>
          <w:sz w:val="20"/>
        </w:rPr>
      </w:pPr>
      <w:r w:rsidRPr="003609DA">
        <w:rPr>
          <w:rStyle w:val="FootnoteReference"/>
          <w:sz w:val="20"/>
        </w:rPr>
        <w:footnoteRef/>
      </w:r>
      <w:r w:rsidRPr="003609DA">
        <w:rPr>
          <w:sz w:val="20"/>
        </w:rPr>
        <w:t xml:space="preserve"> </w:t>
      </w:r>
      <w:hyperlink r:id="rId5" w:history="1">
        <w:r w:rsidRPr="003609DA">
          <w:rPr>
            <w:rStyle w:val="Hyperlink"/>
            <w:sz w:val="20"/>
          </w:rPr>
          <w:t>https://www.gov.uk/government/publications/25-year-environment-plan</w:t>
        </w:r>
      </w:hyperlink>
      <w:r w:rsidRPr="003609DA">
        <w:rPr>
          <w:sz w:val="20"/>
        </w:rPr>
        <w:t xml:space="preserve"> </w:t>
      </w:r>
    </w:p>
  </w:footnote>
  <w:footnote w:id="10">
    <w:p w14:paraId="7A66D671" w14:textId="55E73EF2" w:rsidR="00E72C7E" w:rsidRPr="003609DA" w:rsidRDefault="00E72C7E">
      <w:pPr>
        <w:pStyle w:val="FootnoteText"/>
        <w:rPr>
          <w:sz w:val="20"/>
        </w:rPr>
      </w:pPr>
      <w:r w:rsidRPr="003609DA">
        <w:rPr>
          <w:rStyle w:val="FootnoteReference"/>
          <w:sz w:val="20"/>
        </w:rPr>
        <w:footnoteRef/>
      </w:r>
      <w:r w:rsidRPr="003609DA">
        <w:rPr>
          <w:sz w:val="20"/>
        </w:rPr>
        <w:t xml:space="preserve"> </w:t>
      </w:r>
      <w:hyperlink r:id="rId6" w:history="1">
        <w:r w:rsidRPr="003609DA">
          <w:rPr>
            <w:rStyle w:val="Hyperlink"/>
            <w:sz w:val="20"/>
          </w:rPr>
          <w:t>https://consult.defra.gov.uk/environmental-quality/call-for-evidence-on-commonly-littered-and-problem/</w:t>
        </w:r>
      </w:hyperlink>
    </w:p>
  </w:footnote>
  <w:footnote w:id="11">
    <w:p w14:paraId="302D2F46" w14:textId="72C93E8C" w:rsidR="00E72C7E" w:rsidRPr="00B51046" w:rsidRDefault="00E72C7E">
      <w:pPr>
        <w:pStyle w:val="FootnoteText"/>
        <w:rPr>
          <w:sz w:val="20"/>
        </w:rPr>
      </w:pPr>
      <w:r w:rsidRPr="003609DA">
        <w:rPr>
          <w:rStyle w:val="FootnoteReference"/>
          <w:sz w:val="20"/>
        </w:rPr>
        <w:footnoteRef/>
      </w:r>
      <w:r w:rsidRPr="003609DA">
        <w:rPr>
          <w:sz w:val="20"/>
        </w:rPr>
        <w:t xml:space="preserve"> </w:t>
      </w:r>
      <w:hyperlink r:id="rId7" w:history="1">
        <w:r w:rsidRPr="003609DA">
          <w:rPr>
            <w:rStyle w:val="Hyperlink"/>
            <w:sz w:val="20"/>
          </w:rPr>
          <w:t>https://www.gov.uk/government/consultations/single-use-plastic-banning-the-supply-of-commonly-littered-single-use-plastic-items/outcome/summary-of-responses-and-government-response</w:t>
        </w:r>
      </w:hyperlink>
      <w:r w:rsidRPr="003609DA">
        <w:rPr>
          <w:sz w:val="20"/>
        </w:rPr>
        <w:t>)</w:t>
      </w:r>
    </w:p>
  </w:footnote>
  <w:footnote w:id="12">
    <w:p w14:paraId="08461515" w14:textId="77777777" w:rsidR="00B12378" w:rsidRPr="00B51046" w:rsidRDefault="00B12378" w:rsidP="00B12378">
      <w:pPr>
        <w:pStyle w:val="FootnoteText"/>
        <w:rPr>
          <w:sz w:val="20"/>
        </w:rPr>
      </w:pPr>
      <w:r w:rsidRPr="00B51046">
        <w:rPr>
          <w:rStyle w:val="FootnoteReference"/>
          <w:sz w:val="20"/>
        </w:rPr>
        <w:footnoteRef/>
      </w:r>
      <w:r w:rsidRPr="00B51046">
        <w:rPr>
          <w:sz w:val="20"/>
        </w:rPr>
        <w:t xml:space="preserve"> Office for National Statistics UK business: activity, size and location table 4:  </w:t>
      </w:r>
      <w:hyperlink r:id="rId8" w:history="1">
        <w:r w:rsidRPr="00B51046">
          <w:rPr>
            <w:rStyle w:val="Hyperlink"/>
            <w:sz w:val="20"/>
          </w:rPr>
          <w:t>https://www.ons.gov.uk/businessindustryandtrade/business/activitysizeandlocation/datasets/ukbusinessactivitysizeandlocation</w:t>
        </w:r>
      </w:hyperlink>
      <w:r w:rsidRPr="00B51046">
        <w:rPr>
          <w:sz w:val="20"/>
        </w:rPr>
        <w:t xml:space="preserve"> </w:t>
      </w:r>
    </w:p>
  </w:footnote>
  <w:footnote w:id="13">
    <w:p w14:paraId="03A3874C" w14:textId="77777777" w:rsidR="00B12378" w:rsidRPr="00B51046" w:rsidRDefault="00B12378" w:rsidP="00B12378">
      <w:pPr>
        <w:pStyle w:val="FootnoteText"/>
        <w:rPr>
          <w:sz w:val="20"/>
        </w:rPr>
      </w:pPr>
      <w:r w:rsidRPr="00B51046">
        <w:rPr>
          <w:rStyle w:val="FootnoteReference"/>
          <w:sz w:val="20"/>
        </w:rPr>
        <w:footnoteRef/>
      </w:r>
      <w:r w:rsidRPr="00B51046">
        <w:rPr>
          <w:sz w:val="20"/>
        </w:rPr>
        <w:t xml:space="preserve"> </w:t>
      </w:r>
      <w:hyperlink r:id="rId9" w:history="1">
        <w:r w:rsidRPr="00B51046">
          <w:rPr>
            <w:rStyle w:val="Hyperlink"/>
            <w:sz w:val="20"/>
          </w:rPr>
          <w:t xml:space="preserve">Office for National Statistics ‘Earnings and hours worked’, gross hourly </w:t>
        </w:r>
        <w:proofErr w:type="gramStart"/>
        <w:r w:rsidRPr="00B51046">
          <w:rPr>
            <w:rStyle w:val="Hyperlink"/>
            <w:sz w:val="20"/>
          </w:rPr>
          <w:t>pay</w:t>
        </w:r>
        <w:proofErr w:type="gramEnd"/>
        <w:r w:rsidRPr="00B51046">
          <w:rPr>
            <w:rStyle w:val="Hyperlink"/>
            <w:sz w:val="20"/>
          </w:rPr>
          <w:t xml:space="preserve"> 2022</w:t>
        </w:r>
      </w:hyperlink>
      <w:r w:rsidRPr="00B51046">
        <w:rPr>
          <w:sz w:val="20"/>
        </w:rPr>
        <w:t xml:space="preserve"> </w:t>
      </w:r>
    </w:p>
  </w:footnote>
  <w:footnote w:id="14">
    <w:p w14:paraId="338A18B8" w14:textId="77777777" w:rsidR="00B12378" w:rsidRDefault="00B12378" w:rsidP="00B12378">
      <w:pPr>
        <w:pStyle w:val="FootnoteText"/>
      </w:pPr>
      <w:r w:rsidRPr="00B51046">
        <w:rPr>
          <w:rStyle w:val="FootnoteReference"/>
          <w:sz w:val="20"/>
        </w:rPr>
        <w:footnoteRef/>
      </w:r>
      <w:r w:rsidRPr="00B51046">
        <w:rPr>
          <w:sz w:val="20"/>
        </w:rPr>
        <w:t xml:space="preserve"> </w:t>
      </w:r>
      <w:hyperlink r:id="rId10" w:history="1">
        <w:r w:rsidRPr="00B51046">
          <w:rPr>
            <w:rStyle w:val="Hyperlink"/>
            <w:sz w:val="20"/>
          </w:rPr>
          <w:t>RPC_short_guidance_note_-_Implementation_costs__August_2019.pdf (publishing.service.gov.uk)</w:t>
        </w:r>
      </w:hyperlink>
    </w:p>
  </w:footnote>
  <w:footnote w:id="15">
    <w:p w14:paraId="5DD421BA" w14:textId="59D036A8" w:rsidR="008B1A79" w:rsidRPr="008B1A79" w:rsidRDefault="008B1A79">
      <w:pPr>
        <w:pStyle w:val="FootnoteText"/>
        <w:rPr>
          <w:sz w:val="20"/>
          <w:szCs w:val="24"/>
        </w:rPr>
      </w:pPr>
      <w:r>
        <w:rPr>
          <w:rStyle w:val="FootnoteReference"/>
        </w:rPr>
        <w:footnoteRef/>
      </w:r>
      <w:r>
        <w:t xml:space="preserve"> </w:t>
      </w:r>
      <w:r>
        <w:rPr>
          <w:sz w:val="20"/>
          <w:szCs w:val="24"/>
        </w:rPr>
        <w:t xml:space="preserve">Estimates are given to the nearest </w:t>
      </w:r>
      <w:proofErr w:type="gramStart"/>
      <w:r>
        <w:rPr>
          <w:sz w:val="20"/>
          <w:szCs w:val="24"/>
        </w:rPr>
        <w:t>£1,000</w:t>
      </w:r>
      <w:proofErr w:type="gramEnd"/>
    </w:p>
  </w:footnote>
  <w:footnote w:id="16">
    <w:p w14:paraId="5C071F28" w14:textId="6A7C3680" w:rsidR="00580182" w:rsidRPr="00FB083A" w:rsidRDefault="00580182">
      <w:pPr>
        <w:pStyle w:val="FootnoteText"/>
        <w:rPr>
          <w:b/>
          <w:bCs/>
          <w:sz w:val="20"/>
        </w:rPr>
      </w:pPr>
      <w:r w:rsidRPr="00FB083A">
        <w:rPr>
          <w:rStyle w:val="FootnoteReference"/>
          <w:sz w:val="20"/>
        </w:rPr>
        <w:footnoteRef/>
      </w:r>
      <w:r w:rsidRPr="00FB083A">
        <w:rPr>
          <w:sz w:val="20"/>
        </w:rPr>
        <w:t xml:space="preserve"> As set out in RPC guidance: </w:t>
      </w:r>
      <w:hyperlink r:id="rId11" w:history="1">
        <w:r w:rsidRPr="00FB083A">
          <w:rPr>
            <w:rStyle w:val="Hyperlink"/>
            <w:sz w:val="20"/>
          </w:rPr>
          <w:t>RPC_case_histories_-_direct_and_indirect_impacts__March_2019__1_.pdf (publishing.service.gov.uk)</w:t>
        </w:r>
      </w:hyperlink>
      <w:r w:rsidRPr="00FB083A">
        <w:rPr>
          <w:sz w:val="20"/>
        </w:rPr>
        <w:t xml:space="preserve"> </w:t>
      </w:r>
    </w:p>
  </w:footnote>
  <w:footnote w:id="17">
    <w:p w14:paraId="0AA0644F" w14:textId="77777777" w:rsidR="00F87F8B" w:rsidRPr="00FB083A" w:rsidRDefault="00F87F8B" w:rsidP="00F87F8B">
      <w:pPr>
        <w:pStyle w:val="FootnoteText"/>
        <w:rPr>
          <w:sz w:val="20"/>
        </w:rPr>
      </w:pPr>
      <w:r w:rsidRPr="00FB083A">
        <w:rPr>
          <w:rStyle w:val="FootnoteReference"/>
          <w:sz w:val="20"/>
        </w:rPr>
        <w:footnoteRef/>
      </w:r>
      <w:r w:rsidRPr="00FB083A">
        <w:rPr>
          <w:sz w:val="20"/>
        </w:rPr>
        <w:t xml:space="preserve"> </w:t>
      </w:r>
      <w:hyperlink r:id="rId12" w:history="1">
        <w:r w:rsidRPr="00FB083A">
          <w:rPr>
            <w:rStyle w:val="Hyperlink"/>
            <w:sz w:val="20"/>
          </w:rPr>
          <w:t>Non-financial business economy, UK regional results: Sections A to S - Office for National Statistics</w:t>
        </w:r>
      </w:hyperlink>
      <w:r w:rsidRPr="00FB083A">
        <w:rPr>
          <w:sz w:val="20"/>
        </w:rPr>
        <w:t xml:space="preserve"> </w:t>
      </w:r>
    </w:p>
  </w:footnote>
  <w:footnote w:id="18">
    <w:p w14:paraId="6C2BB8F0" w14:textId="4883AE31" w:rsidR="009809B2" w:rsidRPr="00FB083A" w:rsidRDefault="009809B2">
      <w:pPr>
        <w:pStyle w:val="FootnoteText"/>
        <w:rPr>
          <w:sz w:val="20"/>
        </w:rPr>
      </w:pPr>
      <w:r w:rsidRPr="00FB083A">
        <w:rPr>
          <w:rStyle w:val="FootnoteReference"/>
          <w:sz w:val="20"/>
        </w:rPr>
        <w:footnoteRef/>
      </w:r>
      <w:r w:rsidRPr="00FB083A">
        <w:rPr>
          <w:sz w:val="20"/>
        </w:rPr>
        <w:t xml:space="preserve"> </w:t>
      </w:r>
      <w:r w:rsidR="0033626B" w:rsidRPr="00FB083A">
        <w:rPr>
          <w:sz w:val="20"/>
        </w:rPr>
        <w:t xml:space="preserve">Defra are seeking to gather further evidence on this at </w:t>
      </w:r>
      <w:proofErr w:type="gramStart"/>
      <w:r w:rsidR="0033626B" w:rsidRPr="00FB083A">
        <w:rPr>
          <w:sz w:val="20"/>
        </w:rPr>
        <w:t>consultation</w:t>
      </w:r>
      <w:proofErr w:type="gramEnd"/>
    </w:p>
  </w:footnote>
  <w:footnote w:id="19">
    <w:p w14:paraId="4634EB5D" w14:textId="07B9F8BA" w:rsidR="00F87F8B" w:rsidRPr="00B51046" w:rsidRDefault="00F87F8B" w:rsidP="00F87F8B">
      <w:pPr>
        <w:pStyle w:val="FootnoteText"/>
        <w:rPr>
          <w:sz w:val="20"/>
        </w:rPr>
      </w:pPr>
      <w:r w:rsidRPr="00FB083A">
        <w:rPr>
          <w:rStyle w:val="FootnoteReference"/>
          <w:sz w:val="20"/>
        </w:rPr>
        <w:footnoteRef/>
      </w:r>
      <w:hyperlink r:id="rId13" w:history="1">
        <w:r w:rsidR="00FE698E" w:rsidRPr="00FB083A">
          <w:rPr>
            <w:rStyle w:val="Hyperlink"/>
            <w:sz w:val="20"/>
          </w:rPr>
          <w:t>Enterprises by employment and turnover size - Office for National Statistics (ons.gov.uk)</w:t>
        </w:r>
      </w:hyperlink>
      <w:r w:rsidR="00FE698E" w:rsidRPr="00FB083A">
        <w:rPr>
          <w:sz w:val="20"/>
        </w:rPr>
        <w:t xml:space="preserve"> </w:t>
      </w:r>
    </w:p>
  </w:footnote>
  <w:footnote w:id="20">
    <w:p w14:paraId="25FE08A0" w14:textId="3F2AF7B0" w:rsidR="00085ED2" w:rsidRPr="007A518A" w:rsidRDefault="00085ED2">
      <w:pPr>
        <w:pStyle w:val="FootnoteText"/>
        <w:rPr>
          <w:sz w:val="20"/>
        </w:rPr>
      </w:pPr>
      <w:r w:rsidRPr="007A518A">
        <w:rPr>
          <w:rStyle w:val="FootnoteReference"/>
          <w:sz w:val="20"/>
        </w:rPr>
        <w:footnoteRef/>
      </w:r>
      <w:r w:rsidRPr="007A518A">
        <w:rPr>
          <w:sz w:val="20"/>
        </w:rPr>
        <w:t xml:space="preserve"> Nomis, </w:t>
      </w:r>
      <w:r w:rsidR="005C2026">
        <w:rPr>
          <w:sz w:val="20"/>
        </w:rPr>
        <w:t>UK</w:t>
      </w:r>
      <w:r w:rsidRPr="007A518A">
        <w:rPr>
          <w:sz w:val="20"/>
        </w:rPr>
        <w:t xml:space="preserve"> business counts – entered by industry and employment size band</w:t>
      </w:r>
      <w:r w:rsidR="008A6D21" w:rsidRPr="007A518A">
        <w:rPr>
          <w:sz w:val="20"/>
        </w:rPr>
        <w:t xml:space="preserve"> and filtered for 202</w:t>
      </w:r>
      <w:r w:rsidR="00964B03" w:rsidRPr="007A518A">
        <w:rPr>
          <w:sz w:val="20"/>
        </w:rPr>
        <w:t>2</w:t>
      </w:r>
      <w:r w:rsidRPr="007A518A">
        <w:rPr>
          <w:sz w:val="20"/>
        </w:rPr>
        <w:t>.</w:t>
      </w:r>
    </w:p>
  </w:footnote>
  <w:footnote w:id="21">
    <w:p w14:paraId="4B59D9FA" w14:textId="2AEA392F" w:rsidR="00A20C0E" w:rsidRPr="003609DA" w:rsidRDefault="00A20C0E" w:rsidP="00A20C0E">
      <w:pPr>
        <w:pStyle w:val="Heading1"/>
        <w:spacing w:before="0" w:beforeAutospacing="0" w:after="0" w:afterAutospacing="0"/>
        <w:rPr>
          <w:rFonts w:ascii="Arial" w:hAnsi="Arial" w:cs="Arial"/>
          <w:b w:val="0"/>
          <w:color w:val="2E2E2E"/>
          <w:sz w:val="20"/>
          <w:szCs w:val="20"/>
        </w:rPr>
      </w:pPr>
      <w:r w:rsidRPr="003609DA">
        <w:rPr>
          <w:rStyle w:val="FootnoteReference"/>
          <w:rFonts w:ascii="Arial" w:hAnsi="Arial" w:cs="Arial"/>
          <w:b w:val="0"/>
          <w:sz w:val="20"/>
          <w:szCs w:val="20"/>
        </w:rPr>
        <w:footnoteRef/>
      </w:r>
      <w:r w:rsidRPr="003609DA">
        <w:rPr>
          <w:rFonts w:ascii="Arial" w:hAnsi="Arial" w:cs="Arial"/>
          <w:sz w:val="20"/>
          <w:szCs w:val="20"/>
        </w:rPr>
        <w:t xml:space="preserve"> </w:t>
      </w:r>
      <w:r w:rsidRPr="003609DA">
        <w:rPr>
          <w:rFonts w:ascii="Arial" w:hAnsi="Arial" w:cs="Arial"/>
          <w:b w:val="0"/>
          <w:sz w:val="20"/>
          <w:szCs w:val="20"/>
        </w:rPr>
        <w:t xml:space="preserve">Lee et al (2021) </w:t>
      </w:r>
      <w:hyperlink r:id="rId14" w:history="1">
        <w:r w:rsidRPr="003609DA">
          <w:rPr>
            <w:rStyle w:val="Hyperlink"/>
            <w:rFonts w:ascii="Arial" w:hAnsi="Arial" w:cs="Arial"/>
            <w:b w:val="0"/>
            <w:sz w:val="20"/>
            <w:szCs w:val="20"/>
          </w:rPr>
          <w:t>Discharge of microplastics fibres from wet wipes in aquatic and solid environments under different release conditions</w:t>
        </w:r>
      </w:hyperlink>
    </w:p>
  </w:footnote>
  <w:footnote w:id="22">
    <w:p w14:paraId="0E03F46B" w14:textId="77777777" w:rsidR="0045360B" w:rsidRPr="00B51046" w:rsidRDefault="0045360B" w:rsidP="0045360B">
      <w:pPr>
        <w:pStyle w:val="FootnoteText"/>
        <w:rPr>
          <w:rFonts w:cs="Arial"/>
          <w:sz w:val="20"/>
        </w:rPr>
      </w:pPr>
      <w:r w:rsidRPr="00B51046">
        <w:rPr>
          <w:rStyle w:val="FootnoteReference"/>
          <w:rFonts w:cs="Arial"/>
          <w:sz w:val="20"/>
        </w:rPr>
        <w:footnoteRef/>
      </w:r>
      <w:r w:rsidRPr="00B51046">
        <w:rPr>
          <w:rFonts w:cs="Arial"/>
          <w:sz w:val="20"/>
        </w:rPr>
        <w:t xml:space="preserve"> 70% PET and 30% Viscose used as representative composition of wet wipes containing plastic in Zhang et al 2021 life cycle environmental impact assessment. Wet wipes containing plastics can be made up of a variety of </w:t>
      </w:r>
      <w:proofErr w:type="gramStart"/>
      <w:r w:rsidRPr="00B51046">
        <w:rPr>
          <w:rFonts w:cs="Arial"/>
          <w:sz w:val="20"/>
        </w:rPr>
        <w:t>compositions</w:t>
      </w:r>
      <w:proofErr w:type="gramEnd"/>
      <w:r w:rsidRPr="00B51046">
        <w:rPr>
          <w:rFonts w:cs="Arial"/>
          <w:sz w:val="20"/>
        </w:rPr>
        <w:t xml:space="preserve"> but this is taken as representative in the study.</w:t>
      </w:r>
    </w:p>
  </w:footnote>
  <w:footnote w:id="23">
    <w:p w14:paraId="48C45F5F" w14:textId="77777777" w:rsidR="0045360B" w:rsidRPr="00B51046" w:rsidRDefault="0045360B" w:rsidP="0045360B">
      <w:pPr>
        <w:pStyle w:val="FootnoteText"/>
        <w:rPr>
          <w:rFonts w:cs="Arial"/>
          <w:sz w:val="20"/>
        </w:rPr>
      </w:pPr>
      <w:r w:rsidRPr="00B51046">
        <w:rPr>
          <w:rStyle w:val="FootnoteReference"/>
          <w:rFonts w:cs="Arial"/>
          <w:sz w:val="20"/>
        </w:rPr>
        <w:footnoteRef/>
      </w:r>
      <w:r w:rsidRPr="00B51046">
        <w:rPr>
          <w:rFonts w:cs="Arial"/>
          <w:sz w:val="20"/>
        </w:rPr>
        <w:t xml:space="preserve"> </w:t>
      </w:r>
      <w:r w:rsidRPr="00B51046">
        <w:rPr>
          <w:rFonts w:cs="Arial"/>
          <w:color w:val="222222"/>
          <w:sz w:val="20"/>
          <w:shd w:val="clear" w:color="auto" w:fill="FFFFFF"/>
        </w:rPr>
        <w:t xml:space="preserve">Zhang, Y., Wen, Z., Lin, W., Hu, Y., </w:t>
      </w:r>
      <w:proofErr w:type="spellStart"/>
      <w:r w:rsidRPr="00B51046">
        <w:rPr>
          <w:rFonts w:cs="Arial"/>
          <w:color w:val="222222"/>
          <w:sz w:val="20"/>
          <w:shd w:val="clear" w:color="auto" w:fill="FFFFFF"/>
        </w:rPr>
        <w:t>Kosajan</w:t>
      </w:r>
      <w:proofErr w:type="spellEnd"/>
      <w:r w:rsidRPr="00B51046">
        <w:rPr>
          <w:rFonts w:cs="Arial"/>
          <w:color w:val="222222"/>
          <w:sz w:val="20"/>
          <w:shd w:val="clear" w:color="auto" w:fill="FFFFFF"/>
        </w:rPr>
        <w:t>, V. and Zhang, T., 2021. Life-cycle environmental impact assessment and plastic pollution prevention measures of wet wipes. </w:t>
      </w:r>
      <w:r w:rsidRPr="00B51046">
        <w:rPr>
          <w:rFonts w:cs="Arial"/>
          <w:i/>
          <w:iCs/>
          <w:color w:val="222222"/>
          <w:sz w:val="20"/>
          <w:shd w:val="clear" w:color="auto" w:fill="FFFFFF"/>
        </w:rPr>
        <w:t>Resources, Conservation and Recycling</w:t>
      </w:r>
      <w:r w:rsidRPr="00B51046">
        <w:rPr>
          <w:rFonts w:cs="Arial"/>
          <w:color w:val="222222"/>
          <w:sz w:val="20"/>
          <w:shd w:val="clear" w:color="auto" w:fill="FFFFFF"/>
        </w:rPr>
        <w:t>, </w:t>
      </w:r>
      <w:r w:rsidRPr="00B51046">
        <w:rPr>
          <w:rFonts w:cs="Arial"/>
          <w:i/>
          <w:iCs/>
          <w:color w:val="222222"/>
          <w:sz w:val="20"/>
          <w:shd w:val="clear" w:color="auto" w:fill="FFFFFF"/>
        </w:rPr>
        <w:t>174</w:t>
      </w:r>
      <w:r w:rsidRPr="00B51046">
        <w:rPr>
          <w:rFonts w:cs="Arial"/>
          <w:color w:val="222222"/>
          <w:sz w:val="20"/>
          <w:shd w:val="clear" w:color="auto" w:fill="FFFFFF"/>
        </w:rPr>
        <w:t>, p.105803.</w:t>
      </w:r>
    </w:p>
  </w:footnote>
  <w:footnote w:id="24">
    <w:p w14:paraId="308BA9B0" w14:textId="77777777" w:rsidR="0045360B" w:rsidRPr="00B51046" w:rsidRDefault="0045360B" w:rsidP="0045360B">
      <w:pPr>
        <w:pStyle w:val="FootnoteText"/>
        <w:rPr>
          <w:rFonts w:cs="Arial"/>
          <w:sz w:val="20"/>
        </w:rPr>
      </w:pPr>
      <w:r w:rsidRPr="00B51046">
        <w:rPr>
          <w:rStyle w:val="FootnoteReference"/>
          <w:rFonts w:cs="Arial"/>
          <w:sz w:val="20"/>
        </w:rPr>
        <w:footnoteRef/>
      </w:r>
      <w:r w:rsidRPr="00B51046">
        <w:rPr>
          <w:rFonts w:cs="Arial"/>
          <w:sz w:val="20"/>
        </w:rPr>
        <w:t xml:space="preserve"> Government GHG conversion factors </w:t>
      </w:r>
      <w:hyperlink r:id="rId15" w:history="1">
        <w:r w:rsidRPr="00B51046">
          <w:rPr>
            <w:rStyle w:val="Hyperlink"/>
            <w:rFonts w:cs="Arial"/>
            <w:sz w:val="20"/>
          </w:rPr>
          <w:t>https://www.gov.uk/government/publications/greenhouse-gas-reporting-conversion-factors-2023</w:t>
        </w:r>
      </w:hyperlink>
      <w:r w:rsidRPr="00B51046">
        <w:rPr>
          <w:rFonts w:cs="Arial"/>
          <w:sz w:val="20"/>
        </w:rPr>
        <w:t xml:space="preserve"> </w:t>
      </w:r>
    </w:p>
  </w:footnote>
  <w:footnote w:id="25">
    <w:p w14:paraId="78F9872C" w14:textId="77777777" w:rsidR="0045360B" w:rsidRDefault="0045360B" w:rsidP="0045360B">
      <w:pPr>
        <w:pStyle w:val="FootnoteText"/>
      </w:pPr>
      <w:r w:rsidRPr="00B51046">
        <w:rPr>
          <w:rStyle w:val="FootnoteReference"/>
          <w:rFonts w:cs="Arial"/>
          <w:sz w:val="20"/>
        </w:rPr>
        <w:footnoteRef/>
      </w:r>
      <w:r w:rsidRPr="00B51046">
        <w:rPr>
          <w:rFonts w:cs="Arial"/>
          <w:sz w:val="20"/>
        </w:rPr>
        <w:t xml:space="preserve"> Defra assumes this UK domestic production proportion holds for </w:t>
      </w:r>
      <w:proofErr w:type="gramStart"/>
      <w:r w:rsidRPr="00B51046">
        <w:rPr>
          <w:rFonts w:cs="Arial"/>
          <w:sz w:val="20"/>
        </w:rPr>
        <w:t>England</w:t>
      </w:r>
      <w:proofErr w:type="gramEnd"/>
    </w:p>
  </w:footnote>
  <w:footnote w:id="26">
    <w:p w14:paraId="1A3139CD" w14:textId="59A2ACC0" w:rsidR="00D653CE" w:rsidRPr="00B51046" w:rsidRDefault="00D653CE">
      <w:pPr>
        <w:pStyle w:val="FootnoteText"/>
        <w:rPr>
          <w:sz w:val="20"/>
        </w:rPr>
      </w:pPr>
      <w:r w:rsidRPr="00B51046">
        <w:rPr>
          <w:rStyle w:val="FootnoteReference"/>
          <w:sz w:val="20"/>
        </w:rPr>
        <w:footnoteRef/>
      </w:r>
      <w:hyperlink r:id="rId16" w:history="1">
        <w:r w:rsidR="0020681D" w:rsidRPr="00FB0D79">
          <w:rPr>
            <w:rStyle w:val="Hyperlink"/>
            <w:sz w:val="20"/>
          </w:rPr>
          <w:t>https://assets.publishing.service.gov.uk/government/uploads/system/uploads/attachment_data/file/1161317/2023-ghg-cf-methodology-paper.pdf</w:t>
        </w:r>
      </w:hyperlink>
      <w:r w:rsidRPr="00B51046">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9E7"/>
    <w:multiLevelType w:val="hybridMultilevel"/>
    <w:tmpl w:val="1A3A9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13589"/>
    <w:multiLevelType w:val="hybridMultilevel"/>
    <w:tmpl w:val="F80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02544"/>
    <w:multiLevelType w:val="hybridMultilevel"/>
    <w:tmpl w:val="AE64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02E2F"/>
    <w:multiLevelType w:val="hybridMultilevel"/>
    <w:tmpl w:val="D512A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F2511"/>
    <w:multiLevelType w:val="hybridMultilevel"/>
    <w:tmpl w:val="59FA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364CE"/>
    <w:multiLevelType w:val="hybridMultilevel"/>
    <w:tmpl w:val="FFFFFFFF"/>
    <w:lvl w:ilvl="0" w:tplc="ECDE9436">
      <w:start w:val="1"/>
      <w:numFmt w:val="bullet"/>
      <w:lvlText w:val=""/>
      <w:lvlJc w:val="left"/>
      <w:pPr>
        <w:ind w:left="720" w:hanging="360"/>
      </w:pPr>
      <w:rPr>
        <w:rFonts w:ascii="Symbol" w:hAnsi="Symbol" w:hint="default"/>
      </w:rPr>
    </w:lvl>
    <w:lvl w:ilvl="1" w:tplc="4F66505A">
      <w:start w:val="1"/>
      <w:numFmt w:val="bullet"/>
      <w:lvlText w:val="o"/>
      <w:lvlJc w:val="left"/>
      <w:pPr>
        <w:ind w:left="1440" w:hanging="360"/>
      </w:pPr>
      <w:rPr>
        <w:rFonts w:ascii="Courier New" w:hAnsi="Courier New" w:cs="Times New Roman" w:hint="default"/>
      </w:rPr>
    </w:lvl>
    <w:lvl w:ilvl="2" w:tplc="0BB8E4C0">
      <w:start w:val="1"/>
      <w:numFmt w:val="bullet"/>
      <w:lvlText w:val=""/>
      <w:lvlJc w:val="left"/>
      <w:pPr>
        <w:ind w:left="2160" w:hanging="360"/>
      </w:pPr>
      <w:rPr>
        <w:rFonts w:ascii="Wingdings" w:hAnsi="Wingdings" w:hint="default"/>
      </w:rPr>
    </w:lvl>
    <w:lvl w:ilvl="3" w:tplc="1E748F7E">
      <w:start w:val="1"/>
      <w:numFmt w:val="bullet"/>
      <w:lvlText w:val=""/>
      <w:lvlJc w:val="left"/>
      <w:pPr>
        <w:ind w:left="2880" w:hanging="360"/>
      </w:pPr>
      <w:rPr>
        <w:rFonts w:ascii="Symbol" w:hAnsi="Symbol" w:hint="default"/>
      </w:rPr>
    </w:lvl>
    <w:lvl w:ilvl="4" w:tplc="69B4B300">
      <w:start w:val="1"/>
      <w:numFmt w:val="bullet"/>
      <w:lvlText w:val="o"/>
      <w:lvlJc w:val="left"/>
      <w:pPr>
        <w:ind w:left="3600" w:hanging="360"/>
      </w:pPr>
      <w:rPr>
        <w:rFonts w:ascii="Courier New" w:hAnsi="Courier New" w:cs="Times New Roman" w:hint="default"/>
      </w:rPr>
    </w:lvl>
    <w:lvl w:ilvl="5" w:tplc="7528DAF4">
      <w:start w:val="1"/>
      <w:numFmt w:val="bullet"/>
      <w:lvlText w:val=""/>
      <w:lvlJc w:val="left"/>
      <w:pPr>
        <w:ind w:left="4320" w:hanging="360"/>
      </w:pPr>
      <w:rPr>
        <w:rFonts w:ascii="Wingdings" w:hAnsi="Wingdings" w:hint="default"/>
      </w:rPr>
    </w:lvl>
    <w:lvl w:ilvl="6" w:tplc="3C665F32">
      <w:start w:val="1"/>
      <w:numFmt w:val="bullet"/>
      <w:lvlText w:val=""/>
      <w:lvlJc w:val="left"/>
      <w:pPr>
        <w:ind w:left="5040" w:hanging="360"/>
      </w:pPr>
      <w:rPr>
        <w:rFonts w:ascii="Symbol" w:hAnsi="Symbol" w:hint="default"/>
      </w:rPr>
    </w:lvl>
    <w:lvl w:ilvl="7" w:tplc="7DA80D72">
      <w:start w:val="1"/>
      <w:numFmt w:val="bullet"/>
      <w:lvlText w:val="o"/>
      <w:lvlJc w:val="left"/>
      <w:pPr>
        <w:ind w:left="5760" w:hanging="360"/>
      </w:pPr>
      <w:rPr>
        <w:rFonts w:ascii="Courier New" w:hAnsi="Courier New" w:cs="Times New Roman" w:hint="default"/>
      </w:rPr>
    </w:lvl>
    <w:lvl w:ilvl="8" w:tplc="2EC49F0A">
      <w:start w:val="1"/>
      <w:numFmt w:val="bullet"/>
      <w:lvlText w:val=""/>
      <w:lvlJc w:val="left"/>
      <w:pPr>
        <w:ind w:left="6480" w:hanging="360"/>
      </w:pPr>
      <w:rPr>
        <w:rFonts w:ascii="Wingdings" w:hAnsi="Wingdings" w:hint="default"/>
      </w:rPr>
    </w:lvl>
  </w:abstractNum>
  <w:abstractNum w:abstractNumId="6" w15:restartNumberingAfterBreak="0">
    <w:nsid w:val="49A45EA9"/>
    <w:multiLevelType w:val="hybridMultilevel"/>
    <w:tmpl w:val="A372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A715D"/>
    <w:multiLevelType w:val="hybridMultilevel"/>
    <w:tmpl w:val="9CBA0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11FB8"/>
    <w:multiLevelType w:val="hybridMultilevel"/>
    <w:tmpl w:val="FDE28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A0709"/>
    <w:multiLevelType w:val="hybridMultilevel"/>
    <w:tmpl w:val="365E2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A74A8"/>
    <w:multiLevelType w:val="hybridMultilevel"/>
    <w:tmpl w:val="6A90A4D2"/>
    <w:lvl w:ilvl="0" w:tplc="05364DF6">
      <w:start w:val="7"/>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61638"/>
    <w:multiLevelType w:val="hybridMultilevel"/>
    <w:tmpl w:val="FFFFFFFF"/>
    <w:lvl w:ilvl="0" w:tplc="2EFCD6D2">
      <w:start w:val="1"/>
      <w:numFmt w:val="bullet"/>
      <w:lvlText w:val=""/>
      <w:lvlJc w:val="left"/>
      <w:pPr>
        <w:ind w:left="720" w:hanging="360"/>
      </w:pPr>
      <w:rPr>
        <w:rFonts w:ascii="Symbol" w:hAnsi="Symbol" w:hint="default"/>
      </w:rPr>
    </w:lvl>
    <w:lvl w:ilvl="1" w:tplc="CAE42A3A">
      <w:start w:val="1"/>
      <w:numFmt w:val="bullet"/>
      <w:lvlText w:val="o"/>
      <w:lvlJc w:val="left"/>
      <w:pPr>
        <w:ind w:left="1440" w:hanging="360"/>
      </w:pPr>
      <w:rPr>
        <w:rFonts w:ascii="Courier New" w:hAnsi="Courier New" w:cs="Times New Roman" w:hint="default"/>
      </w:rPr>
    </w:lvl>
    <w:lvl w:ilvl="2" w:tplc="3E4C482E">
      <w:start w:val="1"/>
      <w:numFmt w:val="bullet"/>
      <w:lvlText w:val=""/>
      <w:lvlJc w:val="left"/>
      <w:pPr>
        <w:ind w:left="2160" w:hanging="360"/>
      </w:pPr>
      <w:rPr>
        <w:rFonts w:ascii="Wingdings" w:hAnsi="Wingdings" w:hint="default"/>
      </w:rPr>
    </w:lvl>
    <w:lvl w:ilvl="3" w:tplc="7B48F71E">
      <w:start w:val="1"/>
      <w:numFmt w:val="bullet"/>
      <w:lvlText w:val=""/>
      <w:lvlJc w:val="left"/>
      <w:pPr>
        <w:ind w:left="2880" w:hanging="360"/>
      </w:pPr>
      <w:rPr>
        <w:rFonts w:ascii="Symbol" w:hAnsi="Symbol" w:hint="default"/>
      </w:rPr>
    </w:lvl>
    <w:lvl w:ilvl="4" w:tplc="D9A4142A">
      <w:start w:val="1"/>
      <w:numFmt w:val="bullet"/>
      <w:lvlText w:val="o"/>
      <w:lvlJc w:val="left"/>
      <w:pPr>
        <w:ind w:left="3600" w:hanging="360"/>
      </w:pPr>
      <w:rPr>
        <w:rFonts w:ascii="Courier New" w:hAnsi="Courier New" w:cs="Times New Roman" w:hint="default"/>
      </w:rPr>
    </w:lvl>
    <w:lvl w:ilvl="5" w:tplc="FA0C40A6">
      <w:start w:val="1"/>
      <w:numFmt w:val="bullet"/>
      <w:lvlText w:val=""/>
      <w:lvlJc w:val="left"/>
      <w:pPr>
        <w:ind w:left="4320" w:hanging="360"/>
      </w:pPr>
      <w:rPr>
        <w:rFonts w:ascii="Wingdings" w:hAnsi="Wingdings" w:hint="default"/>
      </w:rPr>
    </w:lvl>
    <w:lvl w:ilvl="6" w:tplc="A83C7A62">
      <w:start w:val="1"/>
      <w:numFmt w:val="bullet"/>
      <w:lvlText w:val=""/>
      <w:lvlJc w:val="left"/>
      <w:pPr>
        <w:ind w:left="5040" w:hanging="360"/>
      </w:pPr>
      <w:rPr>
        <w:rFonts w:ascii="Symbol" w:hAnsi="Symbol" w:hint="default"/>
      </w:rPr>
    </w:lvl>
    <w:lvl w:ilvl="7" w:tplc="68342028">
      <w:start w:val="1"/>
      <w:numFmt w:val="bullet"/>
      <w:lvlText w:val="o"/>
      <w:lvlJc w:val="left"/>
      <w:pPr>
        <w:ind w:left="5760" w:hanging="360"/>
      </w:pPr>
      <w:rPr>
        <w:rFonts w:ascii="Courier New" w:hAnsi="Courier New" w:cs="Times New Roman" w:hint="default"/>
      </w:rPr>
    </w:lvl>
    <w:lvl w:ilvl="8" w:tplc="1B72648E">
      <w:start w:val="1"/>
      <w:numFmt w:val="bullet"/>
      <w:lvlText w:val=""/>
      <w:lvlJc w:val="left"/>
      <w:pPr>
        <w:ind w:left="6480" w:hanging="360"/>
      </w:pPr>
      <w:rPr>
        <w:rFonts w:ascii="Wingdings" w:hAnsi="Wingdings" w:hint="default"/>
      </w:rPr>
    </w:lvl>
  </w:abstractNum>
  <w:abstractNum w:abstractNumId="12" w15:restartNumberingAfterBreak="0">
    <w:nsid w:val="7348622D"/>
    <w:multiLevelType w:val="hybridMultilevel"/>
    <w:tmpl w:val="2500F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BA7CC0"/>
    <w:multiLevelType w:val="hybridMultilevel"/>
    <w:tmpl w:val="AB380AF2"/>
    <w:lvl w:ilvl="0" w:tplc="FFFFFFFF">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750134">
    <w:abstractNumId w:val="11"/>
  </w:num>
  <w:num w:numId="2" w16cid:durableId="1105732339">
    <w:abstractNumId w:val="5"/>
  </w:num>
  <w:num w:numId="3" w16cid:durableId="2142988934">
    <w:abstractNumId w:val="11"/>
  </w:num>
  <w:num w:numId="4" w16cid:durableId="1408191885">
    <w:abstractNumId w:val="5"/>
  </w:num>
  <w:num w:numId="5" w16cid:durableId="348217880">
    <w:abstractNumId w:val="13"/>
  </w:num>
  <w:num w:numId="6" w16cid:durableId="345206760">
    <w:abstractNumId w:val="12"/>
  </w:num>
  <w:num w:numId="7" w16cid:durableId="1796679632">
    <w:abstractNumId w:val="0"/>
  </w:num>
  <w:num w:numId="8" w16cid:durableId="643433272">
    <w:abstractNumId w:val="4"/>
  </w:num>
  <w:num w:numId="9" w16cid:durableId="424688201">
    <w:abstractNumId w:val="3"/>
  </w:num>
  <w:num w:numId="10" w16cid:durableId="621762940">
    <w:abstractNumId w:val="10"/>
  </w:num>
  <w:num w:numId="11" w16cid:durableId="220411632">
    <w:abstractNumId w:val="7"/>
  </w:num>
  <w:num w:numId="12" w16cid:durableId="1008752521">
    <w:abstractNumId w:val="8"/>
  </w:num>
  <w:num w:numId="13" w16cid:durableId="413210745">
    <w:abstractNumId w:val="1"/>
  </w:num>
  <w:num w:numId="14" w16cid:durableId="506554236">
    <w:abstractNumId w:val="9"/>
  </w:num>
  <w:num w:numId="15" w16cid:durableId="231432278">
    <w:abstractNumId w:val="2"/>
  </w:num>
  <w:num w:numId="16" w16cid:durableId="1180851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60A27"/>
    <w:rsid w:val="0000009A"/>
    <w:rsid w:val="000005EE"/>
    <w:rsid w:val="00000C66"/>
    <w:rsid w:val="00003982"/>
    <w:rsid w:val="0000584A"/>
    <w:rsid w:val="00005ACC"/>
    <w:rsid w:val="00005CEE"/>
    <w:rsid w:val="0000674C"/>
    <w:rsid w:val="00007548"/>
    <w:rsid w:val="00007833"/>
    <w:rsid w:val="00007BA2"/>
    <w:rsid w:val="000100DC"/>
    <w:rsid w:val="000110A8"/>
    <w:rsid w:val="0001298D"/>
    <w:rsid w:val="000138AA"/>
    <w:rsid w:val="00013B3C"/>
    <w:rsid w:val="000145D2"/>
    <w:rsid w:val="00017BBE"/>
    <w:rsid w:val="00020114"/>
    <w:rsid w:val="00021187"/>
    <w:rsid w:val="0002140D"/>
    <w:rsid w:val="000219F1"/>
    <w:rsid w:val="00021DA0"/>
    <w:rsid w:val="00022481"/>
    <w:rsid w:val="00022813"/>
    <w:rsid w:val="000228CE"/>
    <w:rsid w:val="00022994"/>
    <w:rsid w:val="00022A66"/>
    <w:rsid w:val="00023392"/>
    <w:rsid w:val="000237E1"/>
    <w:rsid w:val="0002479B"/>
    <w:rsid w:val="000308D1"/>
    <w:rsid w:val="00030D92"/>
    <w:rsid w:val="00030FAA"/>
    <w:rsid w:val="000313EB"/>
    <w:rsid w:val="00033687"/>
    <w:rsid w:val="00033A2D"/>
    <w:rsid w:val="0003471A"/>
    <w:rsid w:val="000350AE"/>
    <w:rsid w:val="00035229"/>
    <w:rsid w:val="00036362"/>
    <w:rsid w:val="000372D6"/>
    <w:rsid w:val="000376B4"/>
    <w:rsid w:val="00040C27"/>
    <w:rsid w:val="00042335"/>
    <w:rsid w:val="0004264F"/>
    <w:rsid w:val="000428C0"/>
    <w:rsid w:val="00043D7B"/>
    <w:rsid w:val="00043FE2"/>
    <w:rsid w:val="00044D0B"/>
    <w:rsid w:val="000457A7"/>
    <w:rsid w:val="00046A5E"/>
    <w:rsid w:val="000472CB"/>
    <w:rsid w:val="000500DF"/>
    <w:rsid w:val="00051068"/>
    <w:rsid w:val="0005177D"/>
    <w:rsid w:val="00052114"/>
    <w:rsid w:val="00052E9A"/>
    <w:rsid w:val="000556E5"/>
    <w:rsid w:val="00055AB9"/>
    <w:rsid w:val="00056E3F"/>
    <w:rsid w:val="000604E7"/>
    <w:rsid w:val="00060E87"/>
    <w:rsid w:val="00061328"/>
    <w:rsid w:val="00061C1F"/>
    <w:rsid w:val="0006252E"/>
    <w:rsid w:val="00062ABD"/>
    <w:rsid w:val="00063744"/>
    <w:rsid w:val="00063C41"/>
    <w:rsid w:val="00064AD6"/>
    <w:rsid w:val="00065056"/>
    <w:rsid w:val="00071A9E"/>
    <w:rsid w:val="000736D9"/>
    <w:rsid w:val="00073FA6"/>
    <w:rsid w:val="0007423A"/>
    <w:rsid w:val="0007437E"/>
    <w:rsid w:val="000748FA"/>
    <w:rsid w:val="00074AC9"/>
    <w:rsid w:val="00074B58"/>
    <w:rsid w:val="00074CE5"/>
    <w:rsid w:val="00076203"/>
    <w:rsid w:val="00076227"/>
    <w:rsid w:val="00076B84"/>
    <w:rsid w:val="00076D21"/>
    <w:rsid w:val="00081193"/>
    <w:rsid w:val="000820C7"/>
    <w:rsid w:val="000829F1"/>
    <w:rsid w:val="00085ED2"/>
    <w:rsid w:val="000873D5"/>
    <w:rsid w:val="000875E1"/>
    <w:rsid w:val="00090D04"/>
    <w:rsid w:val="00091E62"/>
    <w:rsid w:val="0009261E"/>
    <w:rsid w:val="0009343A"/>
    <w:rsid w:val="0009347F"/>
    <w:rsid w:val="00095328"/>
    <w:rsid w:val="000A1B73"/>
    <w:rsid w:val="000A2089"/>
    <w:rsid w:val="000A2504"/>
    <w:rsid w:val="000A377D"/>
    <w:rsid w:val="000A44C9"/>
    <w:rsid w:val="000A4DBC"/>
    <w:rsid w:val="000A63D3"/>
    <w:rsid w:val="000A6682"/>
    <w:rsid w:val="000A71FD"/>
    <w:rsid w:val="000A7340"/>
    <w:rsid w:val="000A766C"/>
    <w:rsid w:val="000B0E6E"/>
    <w:rsid w:val="000B165F"/>
    <w:rsid w:val="000B1FEF"/>
    <w:rsid w:val="000B459E"/>
    <w:rsid w:val="000B474F"/>
    <w:rsid w:val="000B55C4"/>
    <w:rsid w:val="000B6131"/>
    <w:rsid w:val="000B6AB6"/>
    <w:rsid w:val="000B7AED"/>
    <w:rsid w:val="000C03E3"/>
    <w:rsid w:val="000C09A5"/>
    <w:rsid w:val="000C129F"/>
    <w:rsid w:val="000C39B0"/>
    <w:rsid w:val="000C3C27"/>
    <w:rsid w:val="000C4B49"/>
    <w:rsid w:val="000C57E4"/>
    <w:rsid w:val="000C6B83"/>
    <w:rsid w:val="000C6E1D"/>
    <w:rsid w:val="000C6F29"/>
    <w:rsid w:val="000C7DB2"/>
    <w:rsid w:val="000D121F"/>
    <w:rsid w:val="000D2D78"/>
    <w:rsid w:val="000D40FE"/>
    <w:rsid w:val="000D429C"/>
    <w:rsid w:val="000D43B2"/>
    <w:rsid w:val="000D45D3"/>
    <w:rsid w:val="000D4BF6"/>
    <w:rsid w:val="000D4D8A"/>
    <w:rsid w:val="000D4FBF"/>
    <w:rsid w:val="000D505C"/>
    <w:rsid w:val="000D5D01"/>
    <w:rsid w:val="000D67F8"/>
    <w:rsid w:val="000D7259"/>
    <w:rsid w:val="000E159A"/>
    <w:rsid w:val="000E38C3"/>
    <w:rsid w:val="000E3B7D"/>
    <w:rsid w:val="000E3C84"/>
    <w:rsid w:val="000E3CA3"/>
    <w:rsid w:val="000E5725"/>
    <w:rsid w:val="000E6C7C"/>
    <w:rsid w:val="000E7E53"/>
    <w:rsid w:val="000F4920"/>
    <w:rsid w:val="000F496A"/>
    <w:rsid w:val="000F4D8E"/>
    <w:rsid w:val="000F73B2"/>
    <w:rsid w:val="000F7A3A"/>
    <w:rsid w:val="000F7FE9"/>
    <w:rsid w:val="00100DAF"/>
    <w:rsid w:val="0010187B"/>
    <w:rsid w:val="00103D90"/>
    <w:rsid w:val="0010423C"/>
    <w:rsid w:val="00104D47"/>
    <w:rsid w:val="00104F1E"/>
    <w:rsid w:val="0010665D"/>
    <w:rsid w:val="00106921"/>
    <w:rsid w:val="00106BD3"/>
    <w:rsid w:val="00106D2F"/>
    <w:rsid w:val="0011173D"/>
    <w:rsid w:val="00111B0E"/>
    <w:rsid w:val="00111C66"/>
    <w:rsid w:val="00111E5C"/>
    <w:rsid w:val="00113195"/>
    <w:rsid w:val="00113503"/>
    <w:rsid w:val="00113A05"/>
    <w:rsid w:val="00114D9D"/>
    <w:rsid w:val="001159B4"/>
    <w:rsid w:val="0011652A"/>
    <w:rsid w:val="0011690C"/>
    <w:rsid w:val="00124492"/>
    <w:rsid w:val="00125EDC"/>
    <w:rsid w:val="00126334"/>
    <w:rsid w:val="0012638A"/>
    <w:rsid w:val="00126F2F"/>
    <w:rsid w:val="00130E91"/>
    <w:rsid w:val="00131961"/>
    <w:rsid w:val="001338A7"/>
    <w:rsid w:val="00133CB3"/>
    <w:rsid w:val="0013446D"/>
    <w:rsid w:val="00140EE5"/>
    <w:rsid w:val="00141AED"/>
    <w:rsid w:val="00142C38"/>
    <w:rsid w:val="00143C94"/>
    <w:rsid w:val="00143EB5"/>
    <w:rsid w:val="0014706C"/>
    <w:rsid w:val="001475D0"/>
    <w:rsid w:val="0015152D"/>
    <w:rsid w:val="00151546"/>
    <w:rsid w:val="00151952"/>
    <w:rsid w:val="00151C89"/>
    <w:rsid w:val="00152DC7"/>
    <w:rsid w:val="001552C1"/>
    <w:rsid w:val="001560DA"/>
    <w:rsid w:val="001566E1"/>
    <w:rsid w:val="00156B73"/>
    <w:rsid w:val="00157634"/>
    <w:rsid w:val="00157F86"/>
    <w:rsid w:val="00161699"/>
    <w:rsid w:val="00162087"/>
    <w:rsid w:val="001632EB"/>
    <w:rsid w:val="00163BB5"/>
    <w:rsid w:val="00164432"/>
    <w:rsid w:val="0016532F"/>
    <w:rsid w:val="001653AB"/>
    <w:rsid w:val="001666B9"/>
    <w:rsid w:val="00167114"/>
    <w:rsid w:val="0016738D"/>
    <w:rsid w:val="001701AA"/>
    <w:rsid w:val="00170E01"/>
    <w:rsid w:val="00170E16"/>
    <w:rsid w:val="00172627"/>
    <w:rsid w:val="001728B3"/>
    <w:rsid w:val="00172C3C"/>
    <w:rsid w:val="00173047"/>
    <w:rsid w:val="00173329"/>
    <w:rsid w:val="00173BE4"/>
    <w:rsid w:val="0017402D"/>
    <w:rsid w:val="001742CA"/>
    <w:rsid w:val="001761FD"/>
    <w:rsid w:val="00177133"/>
    <w:rsid w:val="001771E8"/>
    <w:rsid w:val="001776C5"/>
    <w:rsid w:val="001808CC"/>
    <w:rsid w:val="00180AF1"/>
    <w:rsid w:val="00182919"/>
    <w:rsid w:val="00185ECD"/>
    <w:rsid w:val="00187B22"/>
    <w:rsid w:val="00187E1B"/>
    <w:rsid w:val="00187F24"/>
    <w:rsid w:val="00190484"/>
    <w:rsid w:val="001918C6"/>
    <w:rsid w:val="00192440"/>
    <w:rsid w:val="00196027"/>
    <w:rsid w:val="00197193"/>
    <w:rsid w:val="001A1408"/>
    <w:rsid w:val="001A214F"/>
    <w:rsid w:val="001A3BB8"/>
    <w:rsid w:val="001A423D"/>
    <w:rsid w:val="001A47A3"/>
    <w:rsid w:val="001A4DD9"/>
    <w:rsid w:val="001A5630"/>
    <w:rsid w:val="001A57E5"/>
    <w:rsid w:val="001A58CF"/>
    <w:rsid w:val="001A6A34"/>
    <w:rsid w:val="001A6CE2"/>
    <w:rsid w:val="001B094B"/>
    <w:rsid w:val="001B13AA"/>
    <w:rsid w:val="001B26FA"/>
    <w:rsid w:val="001B3973"/>
    <w:rsid w:val="001B4385"/>
    <w:rsid w:val="001B4C26"/>
    <w:rsid w:val="001B4F3F"/>
    <w:rsid w:val="001B535F"/>
    <w:rsid w:val="001B5DDF"/>
    <w:rsid w:val="001B7AAC"/>
    <w:rsid w:val="001C0666"/>
    <w:rsid w:val="001C2A02"/>
    <w:rsid w:val="001C2E60"/>
    <w:rsid w:val="001C364F"/>
    <w:rsid w:val="001C4192"/>
    <w:rsid w:val="001C4FEB"/>
    <w:rsid w:val="001C51B5"/>
    <w:rsid w:val="001C5F4E"/>
    <w:rsid w:val="001D0517"/>
    <w:rsid w:val="001D0581"/>
    <w:rsid w:val="001D4691"/>
    <w:rsid w:val="001D46EF"/>
    <w:rsid w:val="001D4F83"/>
    <w:rsid w:val="001D61A9"/>
    <w:rsid w:val="001E2F9E"/>
    <w:rsid w:val="001E3916"/>
    <w:rsid w:val="001E4997"/>
    <w:rsid w:val="001E593B"/>
    <w:rsid w:val="001E62D7"/>
    <w:rsid w:val="001F21CA"/>
    <w:rsid w:val="001F2432"/>
    <w:rsid w:val="001F248E"/>
    <w:rsid w:val="001F2DA3"/>
    <w:rsid w:val="001F3EA9"/>
    <w:rsid w:val="001F4607"/>
    <w:rsid w:val="001F53CF"/>
    <w:rsid w:val="001F669F"/>
    <w:rsid w:val="00200D48"/>
    <w:rsid w:val="00204FDF"/>
    <w:rsid w:val="00205935"/>
    <w:rsid w:val="00205E9D"/>
    <w:rsid w:val="002061B5"/>
    <w:rsid w:val="0020681D"/>
    <w:rsid w:val="00206952"/>
    <w:rsid w:val="002072EF"/>
    <w:rsid w:val="00207829"/>
    <w:rsid w:val="002100ED"/>
    <w:rsid w:val="002102E0"/>
    <w:rsid w:val="00211007"/>
    <w:rsid w:val="002110DB"/>
    <w:rsid w:val="002125D9"/>
    <w:rsid w:val="002149E6"/>
    <w:rsid w:val="00214C4D"/>
    <w:rsid w:val="00215336"/>
    <w:rsid w:val="002171C2"/>
    <w:rsid w:val="0021726B"/>
    <w:rsid w:val="00220192"/>
    <w:rsid w:val="002204AA"/>
    <w:rsid w:val="0022099F"/>
    <w:rsid w:val="00221554"/>
    <w:rsid w:val="00221B7B"/>
    <w:rsid w:val="00222D80"/>
    <w:rsid w:val="00223AD4"/>
    <w:rsid w:val="00223EED"/>
    <w:rsid w:val="00224878"/>
    <w:rsid w:val="00224E3E"/>
    <w:rsid w:val="002279C9"/>
    <w:rsid w:val="00232F27"/>
    <w:rsid w:val="0023418E"/>
    <w:rsid w:val="00234723"/>
    <w:rsid w:val="002347B5"/>
    <w:rsid w:val="00234C12"/>
    <w:rsid w:val="00235A91"/>
    <w:rsid w:val="00236437"/>
    <w:rsid w:val="0024065A"/>
    <w:rsid w:val="002413BA"/>
    <w:rsid w:val="00241C50"/>
    <w:rsid w:val="00242139"/>
    <w:rsid w:val="002429BA"/>
    <w:rsid w:val="002429C2"/>
    <w:rsid w:val="00242F69"/>
    <w:rsid w:val="002439A9"/>
    <w:rsid w:val="00243B21"/>
    <w:rsid w:val="002449D2"/>
    <w:rsid w:val="002449D4"/>
    <w:rsid w:val="00244B9F"/>
    <w:rsid w:val="002461CD"/>
    <w:rsid w:val="00246732"/>
    <w:rsid w:val="00250793"/>
    <w:rsid w:val="002510BD"/>
    <w:rsid w:val="00252F81"/>
    <w:rsid w:val="00254DA3"/>
    <w:rsid w:val="002555B1"/>
    <w:rsid w:val="0026069B"/>
    <w:rsid w:val="002616C4"/>
    <w:rsid w:val="0026182C"/>
    <w:rsid w:val="00262CA0"/>
    <w:rsid w:val="00262ECA"/>
    <w:rsid w:val="00263E0F"/>
    <w:rsid w:val="00263E68"/>
    <w:rsid w:val="00264331"/>
    <w:rsid w:val="0026633E"/>
    <w:rsid w:val="002675A3"/>
    <w:rsid w:val="00270E74"/>
    <w:rsid w:val="00271095"/>
    <w:rsid w:val="00272C05"/>
    <w:rsid w:val="00272CBC"/>
    <w:rsid w:val="0027330C"/>
    <w:rsid w:val="00274286"/>
    <w:rsid w:val="002753A1"/>
    <w:rsid w:val="0027624B"/>
    <w:rsid w:val="00276D80"/>
    <w:rsid w:val="002778A4"/>
    <w:rsid w:val="00277C2C"/>
    <w:rsid w:val="00281B69"/>
    <w:rsid w:val="00281E15"/>
    <w:rsid w:val="00281E6D"/>
    <w:rsid w:val="002836BF"/>
    <w:rsid w:val="00284CCF"/>
    <w:rsid w:val="00284D26"/>
    <w:rsid w:val="00285919"/>
    <w:rsid w:val="00285E30"/>
    <w:rsid w:val="00285E46"/>
    <w:rsid w:val="00286CB9"/>
    <w:rsid w:val="002875F7"/>
    <w:rsid w:val="00287A05"/>
    <w:rsid w:val="00290A1E"/>
    <w:rsid w:val="002925EA"/>
    <w:rsid w:val="0029338E"/>
    <w:rsid w:val="002934A6"/>
    <w:rsid w:val="00293CCF"/>
    <w:rsid w:val="00295433"/>
    <w:rsid w:val="00295C66"/>
    <w:rsid w:val="002974D5"/>
    <w:rsid w:val="002A0FA0"/>
    <w:rsid w:val="002A1947"/>
    <w:rsid w:val="002A2620"/>
    <w:rsid w:val="002A2A94"/>
    <w:rsid w:val="002A2FCC"/>
    <w:rsid w:val="002A4D9E"/>
    <w:rsid w:val="002A6039"/>
    <w:rsid w:val="002A79AF"/>
    <w:rsid w:val="002B0AF9"/>
    <w:rsid w:val="002B0C04"/>
    <w:rsid w:val="002B289A"/>
    <w:rsid w:val="002B2975"/>
    <w:rsid w:val="002B363B"/>
    <w:rsid w:val="002B3B62"/>
    <w:rsid w:val="002B4B2E"/>
    <w:rsid w:val="002B5120"/>
    <w:rsid w:val="002B569D"/>
    <w:rsid w:val="002B5B66"/>
    <w:rsid w:val="002B5C79"/>
    <w:rsid w:val="002B60EA"/>
    <w:rsid w:val="002C0920"/>
    <w:rsid w:val="002C1649"/>
    <w:rsid w:val="002C279A"/>
    <w:rsid w:val="002C3F1F"/>
    <w:rsid w:val="002C419D"/>
    <w:rsid w:val="002C5A9A"/>
    <w:rsid w:val="002C60ED"/>
    <w:rsid w:val="002C63E0"/>
    <w:rsid w:val="002C6655"/>
    <w:rsid w:val="002C6855"/>
    <w:rsid w:val="002C72B6"/>
    <w:rsid w:val="002C74E8"/>
    <w:rsid w:val="002C7E1A"/>
    <w:rsid w:val="002D09E4"/>
    <w:rsid w:val="002D1155"/>
    <w:rsid w:val="002D136F"/>
    <w:rsid w:val="002D3D7C"/>
    <w:rsid w:val="002D4742"/>
    <w:rsid w:val="002D6331"/>
    <w:rsid w:val="002D6C08"/>
    <w:rsid w:val="002D7B67"/>
    <w:rsid w:val="002E1B51"/>
    <w:rsid w:val="002E1BD8"/>
    <w:rsid w:val="002E2FC6"/>
    <w:rsid w:val="002E3FA4"/>
    <w:rsid w:val="002E48D8"/>
    <w:rsid w:val="002E4AFA"/>
    <w:rsid w:val="002E5009"/>
    <w:rsid w:val="002E5F47"/>
    <w:rsid w:val="002E6144"/>
    <w:rsid w:val="002E6250"/>
    <w:rsid w:val="002E6710"/>
    <w:rsid w:val="002E6D29"/>
    <w:rsid w:val="002E716E"/>
    <w:rsid w:val="002E7CC3"/>
    <w:rsid w:val="002F02A3"/>
    <w:rsid w:val="002F2319"/>
    <w:rsid w:val="002F36FE"/>
    <w:rsid w:val="002F45A3"/>
    <w:rsid w:val="002F6035"/>
    <w:rsid w:val="002F71B3"/>
    <w:rsid w:val="002F7319"/>
    <w:rsid w:val="00300AFA"/>
    <w:rsid w:val="0030173E"/>
    <w:rsid w:val="0030177A"/>
    <w:rsid w:val="00301BDA"/>
    <w:rsid w:val="0030268B"/>
    <w:rsid w:val="00306AF0"/>
    <w:rsid w:val="00306B20"/>
    <w:rsid w:val="00306EEC"/>
    <w:rsid w:val="003078B5"/>
    <w:rsid w:val="0031032B"/>
    <w:rsid w:val="003114A2"/>
    <w:rsid w:val="00311A8E"/>
    <w:rsid w:val="00314614"/>
    <w:rsid w:val="003152CB"/>
    <w:rsid w:val="003178FE"/>
    <w:rsid w:val="00320922"/>
    <w:rsid w:val="003213C0"/>
    <w:rsid w:val="0032145A"/>
    <w:rsid w:val="0032185F"/>
    <w:rsid w:val="0032270C"/>
    <w:rsid w:val="00323304"/>
    <w:rsid w:val="00323BAD"/>
    <w:rsid w:val="00324D0F"/>
    <w:rsid w:val="00326AC2"/>
    <w:rsid w:val="00326DFF"/>
    <w:rsid w:val="0033108A"/>
    <w:rsid w:val="003316F1"/>
    <w:rsid w:val="00331CFF"/>
    <w:rsid w:val="003341F4"/>
    <w:rsid w:val="00334528"/>
    <w:rsid w:val="00334C83"/>
    <w:rsid w:val="0033626B"/>
    <w:rsid w:val="0033698C"/>
    <w:rsid w:val="003369DD"/>
    <w:rsid w:val="0033724F"/>
    <w:rsid w:val="003406EA"/>
    <w:rsid w:val="00340FE7"/>
    <w:rsid w:val="0034133F"/>
    <w:rsid w:val="003422E5"/>
    <w:rsid w:val="0034262A"/>
    <w:rsid w:val="003431A4"/>
    <w:rsid w:val="0034331B"/>
    <w:rsid w:val="003434D0"/>
    <w:rsid w:val="00344B87"/>
    <w:rsid w:val="00344FB8"/>
    <w:rsid w:val="003458EB"/>
    <w:rsid w:val="00346676"/>
    <w:rsid w:val="00350C3C"/>
    <w:rsid w:val="003518DE"/>
    <w:rsid w:val="00352227"/>
    <w:rsid w:val="003522E0"/>
    <w:rsid w:val="00352E62"/>
    <w:rsid w:val="00353ACB"/>
    <w:rsid w:val="003547FD"/>
    <w:rsid w:val="003554B3"/>
    <w:rsid w:val="003609DA"/>
    <w:rsid w:val="00360DF8"/>
    <w:rsid w:val="00361B75"/>
    <w:rsid w:val="00361DBC"/>
    <w:rsid w:val="003630E6"/>
    <w:rsid w:val="003633B9"/>
    <w:rsid w:val="003639E6"/>
    <w:rsid w:val="003646A0"/>
    <w:rsid w:val="00364BD2"/>
    <w:rsid w:val="00365D73"/>
    <w:rsid w:val="00366ADF"/>
    <w:rsid w:val="00366F1B"/>
    <w:rsid w:val="00370034"/>
    <w:rsid w:val="00370499"/>
    <w:rsid w:val="0037091B"/>
    <w:rsid w:val="00371012"/>
    <w:rsid w:val="00371965"/>
    <w:rsid w:val="00371FE6"/>
    <w:rsid w:val="003721B5"/>
    <w:rsid w:val="0037348F"/>
    <w:rsid w:val="00374EE4"/>
    <w:rsid w:val="003802E3"/>
    <w:rsid w:val="003805F4"/>
    <w:rsid w:val="00380EBF"/>
    <w:rsid w:val="00380FE2"/>
    <w:rsid w:val="0038214A"/>
    <w:rsid w:val="00382A04"/>
    <w:rsid w:val="00382F82"/>
    <w:rsid w:val="00383C35"/>
    <w:rsid w:val="00383EEF"/>
    <w:rsid w:val="003865C0"/>
    <w:rsid w:val="00386CF2"/>
    <w:rsid w:val="00387688"/>
    <w:rsid w:val="003877D3"/>
    <w:rsid w:val="00387AA0"/>
    <w:rsid w:val="00387EB7"/>
    <w:rsid w:val="00387F97"/>
    <w:rsid w:val="0039028F"/>
    <w:rsid w:val="00390584"/>
    <w:rsid w:val="0039066B"/>
    <w:rsid w:val="003920BD"/>
    <w:rsid w:val="003A0372"/>
    <w:rsid w:val="003A0BA0"/>
    <w:rsid w:val="003A156C"/>
    <w:rsid w:val="003A1AB0"/>
    <w:rsid w:val="003A1BF1"/>
    <w:rsid w:val="003A1C48"/>
    <w:rsid w:val="003A1D92"/>
    <w:rsid w:val="003A365D"/>
    <w:rsid w:val="003A4236"/>
    <w:rsid w:val="003A4256"/>
    <w:rsid w:val="003A462D"/>
    <w:rsid w:val="003A5630"/>
    <w:rsid w:val="003A5834"/>
    <w:rsid w:val="003A6464"/>
    <w:rsid w:val="003A7044"/>
    <w:rsid w:val="003B0DCA"/>
    <w:rsid w:val="003B2F3A"/>
    <w:rsid w:val="003B378A"/>
    <w:rsid w:val="003B4086"/>
    <w:rsid w:val="003B41B4"/>
    <w:rsid w:val="003B468A"/>
    <w:rsid w:val="003B47C2"/>
    <w:rsid w:val="003B52E9"/>
    <w:rsid w:val="003B62FC"/>
    <w:rsid w:val="003B643A"/>
    <w:rsid w:val="003B6C4B"/>
    <w:rsid w:val="003B75A7"/>
    <w:rsid w:val="003C0A44"/>
    <w:rsid w:val="003C0EE8"/>
    <w:rsid w:val="003C2303"/>
    <w:rsid w:val="003C2628"/>
    <w:rsid w:val="003C2FE6"/>
    <w:rsid w:val="003C33B7"/>
    <w:rsid w:val="003C3BAC"/>
    <w:rsid w:val="003C3D22"/>
    <w:rsid w:val="003C4960"/>
    <w:rsid w:val="003C5031"/>
    <w:rsid w:val="003C5532"/>
    <w:rsid w:val="003C5714"/>
    <w:rsid w:val="003C6546"/>
    <w:rsid w:val="003C77E5"/>
    <w:rsid w:val="003C7C0C"/>
    <w:rsid w:val="003D0D57"/>
    <w:rsid w:val="003D1389"/>
    <w:rsid w:val="003D1E96"/>
    <w:rsid w:val="003D44F7"/>
    <w:rsid w:val="003D4A0F"/>
    <w:rsid w:val="003D4D09"/>
    <w:rsid w:val="003D5100"/>
    <w:rsid w:val="003D59C9"/>
    <w:rsid w:val="003D6E49"/>
    <w:rsid w:val="003D73AD"/>
    <w:rsid w:val="003E019A"/>
    <w:rsid w:val="003E024A"/>
    <w:rsid w:val="003E03BF"/>
    <w:rsid w:val="003E2600"/>
    <w:rsid w:val="003E2673"/>
    <w:rsid w:val="003E6AC5"/>
    <w:rsid w:val="003E739E"/>
    <w:rsid w:val="003E7B98"/>
    <w:rsid w:val="003E7C24"/>
    <w:rsid w:val="003E7DEB"/>
    <w:rsid w:val="003E7E54"/>
    <w:rsid w:val="003F0BEE"/>
    <w:rsid w:val="003F1320"/>
    <w:rsid w:val="003F1E1E"/>
    <w:rsid w:val="003F216B"/>
    <w:rsid w:val="003F22AE"/>
    <w:rsid w:val="003F2591"/>
    <w:rsid w:val="003F670C"/>
    <w:rsid w:val="003F6E94"/>
    <w:rsid w:val="003F76E4"/>
    <w:rsid w:val="00400236"/>
    <w:rsid w:val="00401D0C"/>
    <w:rsid w:val="00402845"/>
    <w:rsid w:val="00402CF4"/>
    <w:rsid w:val="00403C6B"/>
    <w:rsid w:val="00404791"/>
    <w:rsid w:val="00404D64"/>
    <w:rsid w:val="0040767F"/>
    <w:rsid w:val="00407DED"/>
    <w:rsid w:val="0041110E"/>
    <w:rsid w:val="0041206D"/>
    <w:rsid w:val="00412A3D"/>
    <w:rsid w:val="00412A70"/>
    <w:rsid w:val="00413FCD"/>
    <w:rsid w:val="00414247"/>
    <w:rsid w:val="004146FA"/>
    <w:rsid w:val="00415535"/>
    <w:rsid w:val="004161FB"/>
    <w:rsid w:val="0041788F"/>
    <w:rsid w:val="004178BE"/>
    <w:rsid w:val="00423152"/>
    <w:rsid w:val="0042342D"/>
    <w:rsid w:val="004235F0"/>
    <w:rsid w:val="00423794"/>
    <w:rsid w:val="0042641D"/>
    <w:rsid w:val="00427237"/>
    <w:rsid w:val="004275A6"/>
    <w:rsid w:val="00427719"/>
    <w:rsid w:val="0042771E"/>
    <w:rsid w:val="004303C0"/>
    <w:rsid w:val="00430A1D"/>
    <w:rsid w:val="00433147"/>
    <w:rsid w:val="00434520"/>
    <w:rsid w:val="00435668"/>
    <w:rsid w:val="00435BFB"/>
    <w:rsid w:val="00437555"/>
    <w:rsid w:val="00437A13"/>
    <w:rsid w:val="00437AEA"/>
    <w:rsid w:val="00440BDE"/>
    <w:rsid w:val="00440DA5"/>
    <w:rsid w:val="00441287"/>
    <w:rsid w:val="0044144F"/>
    <w:rsid w:val="00441F6E"/>
    <w:rsid w:val="00442F33"/>
    <w:rsid w:val="004430E6"/>
    <w:rsid w:val="00443CB2"/>
    <w:rsid w:val="00443E78"/>
    <w:rsid w:val="00444A16"/>
    <w:rsid w:val="00444B7C"/>
    <w:rsid w:val="00444D68"/>
    <w:rsid w:val="0044563A"/>
    <w:rsid w:val="00445893"/>
    <w:rsid w:val="00446249"/>
    <w:rsid w:val="0044693D"/>
    <w:rsid w:val="0044729E"/>
    <w:rsid w:val="0044791D"/>
    <w:rsid w:val="00447EBD"/>
    <w:rsid w:val="00450E19"/>
    <w:rsid w:val="0045148D"/>
    <w:rsid w:val="00451829"/>
    <w:rsid w:val="00452A85"/>
    <w:rsid w:val="0045360B"/>
    <w:rsid w:val="004541C8"/>
    <w:rsid w:val="00454476"/>
    <w:rsid w:val="00454F2A"/>
    <w:rsid w:val="00455472"/>
    <w:rsid w:val="00455EED"/>
    <w:rsid w:val="00457157"/>
    <w:rsid w:val="00457563"/>
    <w:rsid w:val="00457EE8"/>
    <w:rsid w:val="00460312"/>
    <w:rsid w:val="004610AF"/>
    <w:rsid w:val="00461813"/>
    <w:rsid w:val="00461E44"/>
    <w:rsid w:val="00461F08"/>
    <w:rsid w:val="0046287E"/>
    <w:rsid w:val="004653B7"/>
    <w:rsid w:val="0046579F"/>
    <w:rsid w:val="00465DF1"/>
    <w:rsid w:val="00466912"/>
    <w:rsid w:val="00466A41"/>
    <w:rsid w:val="00467FA2"/>
    <w:rsid w:val="004700BB"/>
    <w:rsid w:val="004704C9"/>
    <w:rsid w:val="00471844"/>
    <w:rsid w:val="00471854"/>
    <w:rsid w:val="00472118"/>
    <w:rsid w:val="00473616"/>
    <w:rsid w:val="00474E3F"/>
    <w:rsid w:val="0047526D"/>
    <w:rsid w:val="00475A13"/>
    <w:rsid w:val="004760E9"/>
    <w:rsid w:val="00476D6A"/>
    <w:rsid w:val="00476E81"/>
    <w:rsid w:val="00480391"/>
    <w:rsid w:val="004809C1"/>
    <w:rsid w:val="00481B94"/>
    <w:rsid w:val="0048315B"/>
    <w:rsid w:val="004841F5"/>
    <w:rsid w:val="004843E9"/>
    <w:rsid w:val="004862A3"/>
    <w:rsid w:val="00486721"/>
    <w:rsid w:val="00487179"/>
    <w:rsid w:val="00487B57"/>
    <w:rsid w:val="004905D6"/>
    <w:rsid w:val="00490880"/>
    <w:rsid w:val="004910F8"/>
    <w:rsid w:val="00491888"/>
    <w:rsid w:val="00491E2E"/>
    <w:rsid w:val="00494A20"/>
    <w:rsid w:val="004953B3"/>
    <w:rsid w:val="00496379"/>
    <w:rsid w:val="004964B2"/>
    <w:rsid w:val="004964F6"/>
    <w:rsid w:val="00497139"/>
    <w:rsid w:val="00497FCD"/>
    <w:rsid w:val="004A0203"/>
    <w:rsid w:val="004A0728"/>
    <w:rsid w:val="004A1E25"/>
    <w:rsid w:val="004A38BB"/>
    <w:rsid w:val="004A511C"/>
    <w:rsid w:val="004A5866"/>
    <w:rsid w:val="004A5C31"/>
    <w:rsid w:val="004A633D"/>
    <w:rsid w:val="004A64E8"/>
    <w:rsid w:val="004B0BD7"/>
    <w:rsid w:val="004B1A78"/>
    <w:rsid w:val="004B1ED1"/>
    <w:rsid w:val="004B20E4"/>
    <w:rsid w:val="004B31ED"/>
    <w:rsid w:val="004B335A"/>
    <w:rsid w:val="004B3D93"/>
    <w:rsid w:val="004B62E6"/>
    <w:rsid w:val="004B73B6"/>
    <w:rsid w:val="004B76B3"/>
    <w:rsid w:val="004C079B"/>
    <w:rsid w:val="004C104E"/>
    <w:rsid w:val="004C12C6"/>
    <w:rsid w:val="004C16BF"/>
    <w:rsid w:val="004C2331"/>
    <w:rsid w:val="004C2C98"/>
    <w:rsid w:val="004C382A"/>
    <w:rsid w:val="004C3DBA"/>
    <w:rsid w:val="004C5667"/>
    <w:rsid w:val="004C5B24"/>
    <w:rsid w:val="004C5EAA"/>
    <w:rsid w:val="004C61AB"/>
    <w:rsid w:val="004C6ACD"/>
    <w:rsid w:val="004D067B"/>
    <w:rsid w:val="004D155A"/>
    <w:rsid w:val="004D1FE1"/>
    <w:rsid w:val="004D2974"/>
    <w:rsid w:val="004D3AC6"/>
    <w:rsid w:val="004D3C74"/>
    <w:rsid w:val="004D5192"/>
    <w:rsid w:val="004D5B1E"/>
    <w:rsid w:val="004D5D10"/>
    <w:rsid w:val="004D6CBF"/>
    <w:rsid w:val="004E0105"/>
    <w:rsid w:val="004E03AD"/>
    <w:rsid w:val="004E1367"/>
    <w:rsid w:val="004E1599"/>
    <w:rsid w:val="004E2561"/>
    <w:rsid w:val="004E2ED4"/>
    <w:rsid w:val="004E3152"/>
    <w:rsid w:val="004E5FBC"/>
    <w:rsid w:val="004F0B94"/>
    <w:rsid w:val="004F0CCD"/>
    <w:rsid w:val="004F10AA"/>
    <w:rsid w:val="004F1ABF"/>
    <w:rsid w:val="004F34E7"/>
    <w:rsid w:val="004F3705"/>
    <w:rsid w:val="004F4144"/>
    <w:rsid w:val="004F4C96"/>
    <w:rsid w:val="004F5630"/>
    <w:rsid w:val="004F6445"/>
    <w:rsid w:val="004F7457"/>
    <w:rsid w:val="005010AD"/>
    <w:rsid w:val="00501481"/>
    <w:rsid w:val="005015E9"/>
    <w:rsid w:val="00501D44"/>
    <w:rsid w:val="00503A29"/>
    <w:rsid w:val="00503D40"/>
    <w:rsid w:val="005051A5"/>
    <w:rsid w:val="005056E0"/>
    <w:rsid w:val="00505736"/>
    <w:rsid w:val="00505B4E"/>
    <w:rsid w:val="00506075"/>
    <w:rsid w:val="00506CAE"/>
    <w:rsid w:val="00506FBA"/>
    <w:rsid w:val="005104A1"/>
    <w:rsid w:val="00511E1A"/>
    <w:rsid w:val="00513387"/>
    <w:rsid w:val="005135B7"/>
    <w:rsid w:val="0051448D"/>
    <w:rsid w:val="00515399"/>
    <w:rsid w:val="00515BF8"/>
    <w:rsid w:val="00516F95"/>
    <w:rsid w:val="005173DE"/>
    <w:rsid w:val="00517B13"/>
    <w:rsid w:val="0052058A"/>
    <w:rsid w:val="00521569"/>
    <w:rsid w:val="0052278A"/>
    <w:rsid w:val="005231F0"/>
    <w:rsid w:val="005240DB"/>
    <w:rsid w:val="00524307"/>
    <w:rsid w:val="00524BA0"/>
    <w:rsid w:val="00524D45"/>
    <w:rsid w:val="0052658B"/>
    <w:rsid w:val="00527AC6"/>
    <w:rsid w:val="0053073E"/>
    <w:rsid w:val="00531A17"/>
    <w:rsid w:val="00532ADE"/>
    <w:rsid w:val="005333CD"/>
    <w:rsid w:val="0053342B"/>
    <w:rsid w:val="0053359B"/>
    <w:rsid w:val="005335EE"/>
    <w:rsid w:val="00533940"/>
    <w:rsid w:val="0053498C"/>
    <w:rsid w:val="00535411"/>
    <w:rsid w:val="00535671"/>
    <w:rsid w:val="00535884"/>
    <w:rsid w:val="00536C3B"/>
    <w:rsid w:val="00537B29"/>
    <w:rsid w:val="00537BDF"/>
    <w:rsid w:val="00541A76"/>
    <w:rsid w:val="0054267D"/>
    <w:rsid w:val="00542E42"/>
    <w:rsid w:val="00543052"/>
    <w:rsid w:val="00543B2B"/>
    <w:rsid w:val="00543BB3"/>
    <w:rsid w:val="0054528A"/>
    <w:rsid w:val="00546220"/>
    <w:rsid w:val="00546DA1"/>
    <w:rsid w:val="00546FBF"/>
    <w:rsid w:val="00547F7D"/>
    <w:rsid w:val="00550566"/>
    <w:rsid w:val="00551D96"/>
    <w:rsid w:val="005529FF"/>
    <w:rsid w:val="005531A4"/>
    <w:rsid w:val="005532B3"/>
    <w:rsid w:val="00554B00"/>
    <w:rsid w:val="00554DFF"/>
    <w:rsid w:val="0055589D"/>
    <w:rsid w:val="00555A18"/>
    <w:rsid w:val="00556C06"/>
    <w:rsid w:val="00557D06"/>
    <w:rsid w:val="00557D09"/>
    <w:rsid w:val="00557D99"/>
    <w:rsid w:val="00560643"/>
    <w:rsid w:val="00560D5A"/>
    <w:rsid w:val="0056110A"/>
    <w:rsid w:val="00561D55"/>
    <w:rsid w:val="00562F2B"/>
    <w:rsid w:val="00563836"/>
    <w:rsid w:val="0056453E"/>
    <w:rsid w:val="00565744"/>
    <w:rsid w:val="00566A33"/>
    <w:rsid w:val="0056755D"/>
    <w:rsid w:val="005678D8"/>
    <w:rsid w:val="00570205"/>
    <w:rsid w:val="00570568"/>
    <w:rsid w:val="00573C00"/>
    <w:rsid w:val="00575EBF"/>
    <w:rsid w:val="00576011"/>
    <w:rsid w:val="005775E7"/>
    <w:rsid w:val="00580182"/>
    <w:rsid w:val="005807A7"/>
    <w:rsid w:val="005808F4"/>
    <w:rsid w:val="00580C62"/>
    <w:rsid w:val="00580F72"/>
    <w:rsid w:val="00581110"/>
    <w:rsid w:val="00583955"/>
    <w:rsid w:val="00583DA7"/>
    <w:rsid w:val="00584CEA"/>
    <w:rsid w:val="00585DFF"/>
    <w:rsid w:val="00587663"/>
    <w:rsid w:val="00590B1C"/>
    <w:rsid w:val="00590F76"/>
    <w:rsid w:val="0059113B"/>
    <w:rsid w:val="0059144D"/>
    <w:rsid w:val="005919CF"/>
    <w:rsid w:val="005925AA"/>
    <w:rsid w:val="00592794"/>
    <w:rsid w:val="005939F0"/>
    <w:rsid w:val="00595D2A"/>
    <w:rsid w:val="00595DE6"/>
    <w:rsid w:val="005973F7"/>
    <w:rsid w:val="005A076B"/>
    <w:rsid w:val="005A11F2"/>
    <w:rsid w:val="005A1288"/>
    <w:rsid w:val="005A2227"/>
    <w:rsid w:val="005A247D"/>
    <w:rsid w:val="005A4C17"/>
    <w:rsid w:val="005A5723"/>
    <w:rsid w:val="005A6D5A"/>
    <w:rsid w:val="005A7BF9"/>
    <w:rsid w:val="005A7DC3"/>
    <w:rsid w:val="005A7E36"/>
    <w:rsid w:val="005B016D"/>
    <w:rsid w:val="005B07C0"/>
    <w:rsid w:val="005B0A9B"/>
    <w:rsid w:val="005B0EEA"/>
    <w:rsid w:val="005B19D2"/>
    <w:rsid w:val="005B2556"/>
    <w:rsid w:val="005B2781"/>
    <w:rsid w:val="005B2E9D"/>
    <w:rsid w:val="005B2EB7"/>
    <w:rsid w:val="005B3F88"/>
    <w:rsid w:val="005B5404"/>
    <w:rsid w:val="005B58F6"/>
    <w:rsid w:val="005B5B2D"/>
    <w:rsid w:val="005B6528"/>
    <w:rsid w:val="005B7122"/>
    <w:rsid w:val="005B734D"/>
    <w:rsid w:val="005B78B9"/>
    <w:rsid w:val="005C1E3B"/>
    <w:rsid w:val="005C2026"/>
    <w:rsid w:val="005C3AA3"/>
    <w:rsid w:val="005C4545"/>
    <w:rsid w:val="005C4A90"/>
    <w:rsid w:val="005C50C2"/>
    <w:rsid w:val="005C6E32"/>
    <w:rsid w:val="005D1E34"/>
    <w:rsid w:val="005D2517"/>
    <w:rsid w:val="005D2DAF"/>
    <w:rsid w:val="005D44D6"/>
    <w:rsid w:val="005D472D"/>
    <w:rsid w:val="005D47C0"/>
    <w:rsid w:val="005D4A6E"/>
    <w:rsid w:val="005D4ED7"/>
    <w:rsid w:val="005E0323"/>
    <w:rsid w:val="005E1C29"/>
    <w:rsid w:val="005E350E"/>
    <w:rsid w:val="005E4E9C"/>
    <w:rsid w:val="005E521B"/>
    <w:rsid w:val="005E6EE3"/>
    <w:rsid w:val="005E76C7"/>
    <w:rsid w:val="005F2566"/>
    <w:rsid w:val="005F2FFC"/>
    <w:rsid w:val="005F4120"/>
    <w:rsid w:val="005F47FC"/>
    <w:rsid w:val="005F7C29"/>
    <w:rsid w:val="0060010C"/>
    <w:rsid w:val="00601435"/>
    <w:rsid w:val="00602BC0"/>
    <w:rsid w:val="00603DBC"/>
    <w:rsid w:val="006046BA"/>
    <w:rsid w:val="00604C26"/>
    <w:rsid w:val="00605918"/>
    <w:rsid w:val="00606876"/>
    <w:rsid w:val="0060757E"/>
    <w:rsid w:val="006102BE"/>
    <w:rsid w:val="00611DEC"/>
    <w:rsid w:val="00612C37"/>
    <w:rsid w:val="00613154"/>
    <w:rsid w:val="006132C3"/>
    <w:rsid w:val="0061519A"/>
    <w:rsid w:val="006153F9"/>
    <w:rsid w:val="006157B3"/>
    <w:rsid w:val="00616E45"/>
    <w:rsid w:val="00617832"/>
    <w:rsid w:val="00620CDC"/>
    <w:rsid w:val="00621D01"/>
    <w:rsid w:val="00621EB4"/>
    <w:rsid w:val="00624703"/>
    <w:rsid w:val="00624806"/>
    <w:rsid w:val="00625494"/>
    <w:rsid w:val="006258F6"/>
    <w:rsid w:val="00625E5B"/>
    <w:rsid w:val="00626D9A"/>
    <w:rsid w:val="00626F94"/>
    <w:rsid w:val="006271B1"/>
    <w:rsid w:val="00630E69"/>
    <w:rsid w:val="00630EFD"/>
    <w:rsid w:val="00635DD2"/>
    <w:rsid w:val="00635EBB"/>
    <w:rsid w:val="00636333"/>
    <w:rsid w:val="006368B9"/>
    <w:rsid w:val="006369C0"/>
    <w:rsid w:val="00636DAC"/>
    <w:rsid w:val="00641365"/>
    <w:rsid w:val="00642D52"/>
    <w:rsid w:val="00644213"/>
    <w:rsid w:val="0064433E"/>
    <w:rsid w:val="006447BB"/>
    <w:rsid w:val="006462CD"/>
    <w:rsid w:val="00647696"/>
    <w:rsid w:val="00647AF3"/>
    <w:rsid w:val="00647D28"/>
    <w:rsid w:val="00650F05"/>
    <w:rsid w:val="00651703"/>
    <w:rsid w:val="00652B48"/>
    <w:rsid w:val="00653A8B"/>
    <w:rsid w:val="00653C75"/>
    <w:rsid w:val="00653D9B"/>
    <w:rsid w:val="00654020"/>
    <w:rsid w:val="006559AA"/>
    <w:rsid w:val="00656A78"/>
    <w:rsid w:val="00656ECF"/>
    <w:rsid w:val="00660966"/>
    <w:rsid w:val="00660A27"/>
    <w:rsid w:val="006618F9"/>
    <w:rsid w:val="00661C1F"/>
    <w:rsid w:val="00662364"/>
    <w:rsid w:val="00662FEC"/>
    <w:rsid w:val="00663DEB"/>
    <w:rsid w:val="0066510E"/>
    <w:rsid w:val="0066603F"/>
    <w:rsid w:val="00671013"/>
    <w:rsid w:val="00671A36"/>
    <w:rsid w:val="006734D5"/>
    <w:rsid w:val="006734E1"/>
    <w:rsid w:val="006748CE"/>
    <w:rsid w:val="006752A2"/>
    <w:rsid w:val="00675A96"/>
    <w:rsid w:val="00675D14"/>
    <w:rsid w:val="00677E48"/>
    <w:rsid w:val="00682205"/>
    <w:rsid w:val="00682298"/>
    <w:rsid w:val="00683AA2"/>
    <w:rsid w:val="00685123"/>
    <w:rsid w:val="00685F52"/>
    <w:rsid w:val="00691FD9"/>
    <w:rsid w:val="006920D0"/>
    <w:rsid w:val="00692931"/>
    <w:rsid w:val="00693A0A"/>
    <w:rsid w:val="00695D94"/>
    <w:rsid w:val="00695FBE"/>
    <w:rsid w:val="00696296"/>
    <w:rsid w:val="006969F3"/>
    <w:rsid w:val="006978D3"/>
    <w:rsid w:val="00697EAD"/>
    <w:rsid w:val="0069A188"/>
    <w:rsid w:val="006A1363"/>
    <w:rsid w:val="006A16B1"/>
    <w:rsid w:val="006A17C5"/>
    <w:rsid w:val="006A1B12"/>
    <w:rsid w:val="006A1E5B"/>
    <w:rsid w:val="006A2A7E"/>
    <w:rsid w:val="006A37B6"/>
    <w:rsid w:val="006A384B"/>
    <w:rsid w:val="006A41B4"/>
    <w:rsid w:val="006A48BE"/>
    <w:rsid w:val="006A5371"/>
    <w:rsid w:val="006A5735"/>
    <w:rsid w:val="006A6886"/>
    <w:rsid w:val="006A770A"/>
    <w:rsid w:val="006A7740"/>
    <w:rsid w:val="006B0B91"/>
    <w:rsid w:val="006B0E64"/>
    <w:rsid w:val="006B2C00"/>
    <w:rsid w:val="006B3E16"/>
    <w:rsid w:val="006B78CA"/>
    <w:rsid w:val="006C2028"/>
    <w:rsid w:val="006C35BB"/>
    <w:rsid w:val="006C455C"/>
    <w:rsid w:val="006C5CB0"/>
    <w:rsid w:val="006C61B7"/>
    <w:rsid w:val="006D0021"/>
    <w:rsid w:val="006D0510"/>
    <w:rsid w:val="006D14C1"/>
    <w:rsid w:val="006D1B75"/>
    <w:rsid w:val="006D2167"/>
    <w:rsid w:val="006D42DB"/>
    <w:rsid w:val="006D4581"/>
    <w:rsid w:val="006D53AA"/>
    <w:rsid w:val="006D5406"/>
    <w:rsid w:val="006D5D00"/>
    <w:rsid w:val="006D67D5"/>
    <w:rsid w:val="006D682A"/>
    <w:rsid w:val="006D7958"/>
    <w:rsid w:val="006D7D96"/>
    <w:rsid w:val="006D7EAB"/>
    <w:rsid w:val="006E03F9"/>
    <w:rsid w:val="006E0510"/>
    <w:rsid w:val="006E1861"/>
    <w:rsid w:val="006E6E61"/>
    <w:rsid w:val="006E72E0"/>
    <w:rsid w:val="006F05A4"/>
    <w:rsid w:val="006F14A3"/>
    <w:rsid w:val="006F1532"/>
    <w:rsid w:val="006F1559"/>
    <w:rsid w:val="006F16FA"/>
    <w:rsid w:val="006F24AD"/>
    <w:rsid w:val="006F28D7"/>
    <w:rsid w:val="006F29B2"/>
    <w:rsid w:val="006F34D0"/>
    <w:rsid w:val="006F3625"/>
    <w:rsid w:val="006F4C53"/>
    <w:rsid w:val="006F4E85"/>
    <w:rsid w:val="006F4F3A"/>
    <w:rsid w:val="006F5790"/>
    <w:rsid w:val="006F6522"/>
    <w:rsid w:val="006F6641"/>
    <w:rsid w:val="006F75AA"/>
    <w:rsid w:val="0070027E"/>
    <w:rsid w:val="007002B9"/>
    <w:rsid w:val="00702C50"/>
    <w:rsid w:val="00702F1C"/>
    <w:rsid w:val="007035A1"/>
    <w:rsid w:val="0070575B"/>
    <w:rsid w:val="00705775"/>
    <w:rsid w:val="00705AEB"/>
    <w:rsid w:val="00706A63"/>
    <w:rsid w:val="00707757"/>
    <w:rsid w:val="0071069B"/>
    <w:rsid w:val="00710D47"/>
    <w:rsid w:val="00712244"/>
    <w:rsid w:val="007159EC"/>
    <w:rsid w:val="00715C94"/>
    <w:rsid w:val="00716C6D"/>
    <w:rsid w:val="0071750E"/>
    <w:rsid w:val="00717EE0"/>
    <w:rsid w:val="007200F3"/>
    <w:rsid w:val="0072044A"/>
    <w:rsid w:val="00720E08"/>
    <w:rsid w:val="00722299"/>
    <w:rsid w:val="007224D6"/>
    <w:rsid w:val="00722E8B"/>
    <w:rsid w:val="00725427"/>
    <w:rsid w:val="007260DD"/>
    <w:rsid w:val="00726362"/>
    <w:rsid w:val="0073002C"/>
    <w:rsid w:val="0073168D"/>
    <w:rsid w:val="00731C3F"/>
    <w:rsid w:val="00734238"/>
    <w:rsid w:val="00735032"/>
    <w:rsid w:val="00735F9A"/>
    <w:rsid w:val="00736690"/>
    <w:rsid w:val="00737808"/>
    <w:rsid w:val="00737974"/>
    <w:rsid w:val="00737C36"/>
    <w:rsid w:val="007409F1"/>
    <w:rsid w:val="00740FDD"/>
    <w:rsid w:val="007411BC"/>
    <w:rsid w:val="00741E92"/>
    <w:rsid w:val="00744497"/>
    <w:rsid w:val="00744633"/>
    <w:rsid w:val="00745236"/>
    <w:rsid w:val="0075073B"/>
    <w:rsid w:val="00750907"/>
    <w:rsid w:val="00750A73"/>
    <w:rsid w:val="00752B58"/>
    <w:rsid w:val="007534C8"/>
    <w:rsid w:val="00753535"/>
    <w:rsid w:val="0075367B"/>
    <w:rsid w:val="00753A3E"/>
    <w:rsid w:val="007546DB"/>
    <w:rsid w:val="00755AA6"/>
    <w:rsid w:val="00756802"/>
    <w:rsid w:val="00756A03"/>
    <w:rsid w:val="00756C70"/>
    <w:rsid w:val="007577C4"/>
    <w:rsid w:val="00761314"/>
    <w:rsid w:val="00762E4E"/>
    <w:rsid w:val="007630E7"/>
    <w:rsid w:val="00763184"/>
    <w:rsid w:val="00764CCC"/>
    <w:rsid w:val="0076595B"/>
    <w:rsid w:val="00765D7F"/>
    <w:rsid w:val="00765DFF"/>
    <w:rsid w:val="007662B7"/>
    <w:rsid w:val="00766543"/>
    <w:rsid w:val="00766844"/>
    <w:rsid w:val="007676D0"/>
    <w:rsid w:val="00771253"/>
    <w:rsid w:val="0077390D"/>
    <w:rsid w:val="00773EE1"/>
    <w:rsid w:val="007745D3"/>
    <w:rsid w:val="0077496C"/>
    <w:rsid w:val="0077575F"/>
    <w:rsid w:val="007766A7"/>
    <w:rsid w:val="00776A12"/>
    <w:rsid w:val="007779B8"/>
    <w:rsid w:val="00780B7A"/>
    <w:rsid w:val="00780F08"/>
    <w:rsid w:val="00782D05"/>
    <w:rsid w:val="00783488"/>
    <w:rsid w:val="00785A0B"/>
    <w:rsid w:val="007868A8"/>
    <w:rsid w:val="00787B79"/>
    <w:rsid w:val="00790283"/>
    <w:rsid w:val="00791A6F"/>
    <w:rsid w:val="00792505"/>
    <w:rsid w:val="00792CAB"/>
    <w:rsid w:val="00793F7F"/>
    <w:rsid w:val="00793F8A"/>
    <w:rsid w:val="00795796"/>
    <w:rsid w:val="007963D4"/>
    <w:rsid w:val="00797D20"/>
    <w:rsid w:val="007A0628"/>
    <w:rsid w:val="007A0B62"/>
    <w:rsid w:val="007A291C"/>
    <w:rsid w:val="007A2DDF"/>
    <w:rsid w:val="007A518A"/>
    <w:rsid w:val="007A54BA"/>
    <w:rsid w:val="007A5528"/>
    <w:rsid w:val="007A6C6C"/>
    <w:rsid w:val="007B0628"/>
    <w:rsid w:val="007B06F6"/>
    <w:rsid w:val="007B10FD"/>
    <w:rsid w:val="007B142F"/>
    <w:rsid w:val="007B16C7"/>
    <w:rsid w:val="007B1C4C"/>
    <w:rsid w:val="007B1EA8"/>
    <w:rsid w:val="007B2319"/>
    <w:rsid w:val="007B23A9"/>
    <w:rsid w:val="007B2527"/>
    <w:rsid w:val="007B2746"/>
    <w:rsid w:val="007B3B0E"/>
    <w:rsid w:val="007B4E3A"/>
    <w:rsid w:val="007B53F7"/>
    <w:rsid w:val="007B56C7"/>
    <w:rsid w:val="007B634D"/>
    <w:rsid w:val="007B6761"/>
    <w:rsid w:val="007C1077"/>
    <w:rsid w:val="007C1ADF"/>
    <w:rsid w:val="007C221C"/>
    <w:rsid w:val="007C50C2"/>
    <w:rsid w:val="007C52EC"/>
    <w:rsid w:val="007C767B"/>
    <w:rsid w:val="007D0012"/>
    <w:rsid w:val="007D19DC"/>
    <w:rsid w:val="007D2B08"/>
    <w:rsid w:val="007D38E2"/>
    <w:rsid w:val="007D4700"/>
    <w:rsid w:val="007D5027"/>
    <w:rsid w:val="007D5CA2"/>
    <w:rsid w:val="007D6950"/>
    <w:rsid w:val="007D6A9F"/>
    <w:rsid w:val="007D6AE2"/>
    <w:rsid w:val="007D6CAD"/>
    <w:rsid w:val="007E093C"/>
    <w:rsid w:val="007E0DD3"/>
    <w:rsid w:val="007E2086"/>
    <w:rsid w:val="007E238C"/>
    <w:rsid w:val="007E2F62"/>
    <w:rsid w:val="007E4701"/>
    <w:rsid w:val="007E4777"/>
    <w:rsid w:val="007E5313"/>
    <w:rsid w:val="007E5B38"/>
    <w:rsid w:val="007E637A"/>
    <w:rsid w:val="007E653B"/>
    <w:rsid w:val="007E6C97"/>
    <w:rsid w:val="007F01F7"/>
    <w:rsid w:val="007F0F53"/>
    <w:rsid w:val="007F222D"/>
    <w:rsid w:val="007F2EB8"/>
    <w:rsid w:val="007F3819"/>
    <w:rsid w:val="007F396C"/>
    <w:rsid w:val="007F3E83"/>
    <w:rsid w:val="007F418F"/>
    <w:rsid w:val="007F4D89"/>
    <w:rsid w:val="007F5DAD"/>
    <w:rsid w:val="007F6098"/>
    <w:rsid w:val="007F69CD"/>
    <w:rsid w:val="007F6B01"/>
    <w:rsid w:val="007F6E07"/>
    <w:rsid w:val="007F71C1"/>
    <w:rsid w:val="00801C96"/>
    <w:rsid w:val="00801EE5"/>
    <w:rsid w:val="0080354F"/>
    <w:rsid w:val="00804A95"/>
    <w:rsid w:val="00806CC8"/>
    <w:rsid w:val="00806F49"/>
    <w:rsid w:val="00807AF6"/>
    <w:rsid w:val="00807DB5"/>
    <w:rsid w:val="0081065B"/>
    <w:rsid w:val="0081098C"/>
    <w:rsid w:val="00811B81"/>
    <w:rsid w:val="00813452"/>
    <w:rsid w:val="008135A2"/>
    <w:rsid w:val="00814A6E"/>
    <w:rsid w:val="0081514E"/>
    <w:rsid w:val="00820302"/>
    <w:rsid w:val="008205D5"/>
    <w:rsid w:val="00820BD4"/>
    <w:rsid w:val="00821B57"/>
    <w:rsid w:val="00822377"/>
    <w:rsid w:val="00823CB9"/>
    <w:rsid w:val="00824BC8"/>
    <w:rsid w:val="0082639F"/>
    <w:rsid w:val="00826CC2"/>
    <w:rsid w:val="00827076"/>
    <w:rsid w:val="008302B6"/>
    <w:rsid w:val="008307FE"/>
    <w:rsid w:val="00832485"/>
    <w:rsid w:val="00833C06"/>
    <w:rsid w:val="00833CE2"/>
    <w:rsid w:val="00833F1D"/>
    <w:rsid w:val="00834E77"/>
    <w:rsid w:val="00836BC4"/>
    <w:rsid w:val="00837E3C"/>
    <w:rsid w:val="00840925"/>
    <w:rsid w:val="00842880"/>
    <w:rsid w:val="00843209"/>
    <w:rsid w:val="00843542"/>
    <w:rsid w:val="0084437F"/>
    <w:rsid w:val="0084763C"/>
    <w:rsid w:val="00851B72"/>
    <w:rsid w:val="00851FD9"/>
    <w:rsid w:val="00853163"/>
    <w:rsid w:val="0085491E"/>
    <w:rsid w:val="00854A13"/>
    <w:rsid w:val="00854B8C"/>
    <w:rsid w:val="008555FB"/>
    <w:rsid w:val="00856DFD"/>
    <w:rsid w:val="00857076"/>
    <w:rsid w:val="008605E9"/>
    <w:rsid w:val="0086189C"/>
    <w:rsid w:val="00865393"/>
    <w:rsid w:val="008664A8"/>
    <w:rsid w:val="008668BC"/>
    <w:rsid w:val="00866C34"/>
    <w:rsid w:val="00866E55"/>
    <w:rsid w:val="008677B5"/>
    <w:rsid w:val="00870C7F"/>
    <w:rsid w:val="008711D4"/>
    <w:rsid w:val="00873344"/>
    <w:rsid w:val="00873443"/>
    <w:rsid w:val="0087549D"/>
    <w:rsid w:val="0087711A"/>
    <w:rsid w:val="00877C91"/>
    <w:rsid w:val="008800B6"/>
    <w:rsid w:val="0088122D"/>
    <w:rsid w:val="0088135F"/>
    <w:rsid w:val="00884E0D"/>
    <w:rsid w:val="008853B8"/>
    <w:rsid w:val="00885E7C"/>
    <w:rsid w:val="0088612F"/>
    <w:rsid w:val="00886175"/>
    <w:rsid w:val="0089002D"/>
    <w:rsid w:val="00891C40"/>
    <w:rsid w:val="00892056"/>
    <w:rsid w:val="008927C5"/>
    <w:rsid w:val="00893686"/>
    <w:rsid w:val="00893F6C"/>
    <w:rsid w:val="00894A23"/>
    <w:rsid w:val="008956C2"/>
    <w:rsid w:val="00896D5D"/>
    <w:rsid w:val="00896D8C"/>
    <w:rsid w:val="008A1942"/>
    <w:rsid w:val="008A31F8"/>
    <w:rsid w:val="008A3A3E"/>
    <w:rsid w:val="008A4C8B"/>
    <w:rsid w:val="008A4D5B"/>
    <w:rsid w:val="008A6517"/>
    <w:rsid w:val="008A6D21"/>
    <w:rsid w:val="008A7DAD"/>
    <w:rsid w:val="008A7FA9"/>
    <w:rsid w:val="008B04DB"/>
    <w:rsid w:val="008B1A79"/>
    <w:rsid w:val="008B264D"/>
    <w:rsid w:val="008B3B6B"/>
    <w:rsid w:val="008B3BAB"/>
    <w:rsid w:val="008B440D"/>
    <w:rsid w:val="008B4537"/>
    <w:rsid w:val="008B47E4"/>
    <w:rsid w:val="008B622D"/>
    <w:rsid w:val="008B62CF"/>
    <w:rsid w:val="008B6899"/>
    <w:rsid w:val="008B7198"/>
    <w:rsid w:val="008B733E"/>
    <w:rsid w:val="008B76AE"/>
    <w:rsid w:val="008C014F"/>
    <w:rsid w:val="008C2044"/>
    <w:rsid w:val="008C29CD"/>
    <w:rsid w:val="008C3098"/>
    <w:rsid w:val="008C48E5"/>
    <w:rsid w:val="008C5D69"/>
    <w:rsid w:val="008C5FE6"/>
    <w:rsid w:val="008C7392"/>
    <w:rsid w:val="008C797E"/>
    <w:rsid w:val="008C79E0"/>
    <w:rsid w:val="008C7EA0"/>
    <w:rsid w:val="008C7F6B"/>
    <w:rsid w:val="008D22FC"/>
    <w:rsid w:val="008D2C28"/>
    <w:rsid w:val="008D377C"/>
    <w:rsid w:val="008D445C"/>
    <w:rsid w:val="008D463A"/>
    <w:rsid w:val="008D55F5"/>
    <w:rsid w:val="008D6D95"/>
    <w:rsid w:val="008D71B0"/>
    <w:rsid w:val="008D7697"/>
    <w:rsid w:val="008E12CE"/>
    <w:rsid w:val="008E2845"/>
    <w:rsid w:val="008E3A75"/>
    <w:rsid w:val="008E41B2"/>
    <w:rsid w:val="008E41BD"/>
    <w:rsid w:val="008E49DA"/>
    <w:rsid w:val="008E60D3"/>
    <w:rsid w:val="008E612C"/>
    <w:rsid w:val="008E68FA"/>
    <w:rsid w:val="008E6F93"/>
    <w:rsid w:val="008E6FCE"/>
    <w:rsid w:val="008E7073"/>
    <w:rsid w:val="008F01CE"/>
    <w:rsid w:val="008F1BF0"/>
    <w:rsid w:val="008F1F02"/>
    <w:rsid w:val="008F364A"/>
    <w:rsid w:val="008F377E"/>
    <w:rsid w:val="008F4591"/>
    <w:rsid w:val="008F54DA"/>
    <w:rsid w:val="008F5787"/>
    <w:rsid w:val="008F5DF0"/>
    <w:rsid w:val="008F7183"/>
    <w:rsid w:val="008F79E5"/>
    <w:rsid w:val="00900A90"/>
    <w:rsid w:val="00901F1A"/>
    <w:rsid w:val="00902651"/>
    <w:rsid w:val="00902A30"/>
    <w:rsid w:val="00903C69"/>
    <w:rsid w:val="00904791"/>
    <w:rsid w:val="00905000"/>
    <w:rsid w:val="009055E8"/>
    <w:rsid w:val="00905C11"/>
    <w:rsid w:val="009070D8"/>
    <w:rsid w:val="009100C4"/>
    <w:rsid w:val="009110DE"/>
    <w:rsid w:val="009113B1"/>
    <w:rsid w:val="009116CE"/>
    <w:rsid w:val="00912C98"/>
    <w:rsid w:val="0091378E"/>
    <w:rsid w:val="00915B9E"/>
    <w:rsid w:val="00916202"/>
    <w:rsid w:val="009163BC"/>
    <w:rsid w:val="00916AE0"/>
    <w:rsid w:val="00917AAA"/>
    <w:rsid w:val="0092030C"/>
    <w:rsid w:val="00920717"/>
    <w:rsid w:val="00921592"/>
    <w:rsid w:val="009215CB"/>
    <w:rsid w:val="009220AE"/>
    <w:rsid w:val="0092236C"/>
    <w:rsid w:val="0092397F"/>
    <w:rsid w:val="009240FB"/>
    <w:rsid w:val="00925D1B"/>
    <w:rsid w:val="009269DB"/>
    <w:rsid w:val="00931FD3"/>
    <w:rsid w:val="009324BB"/>
    <w:rsid w:val="00932848"/>
    <w:rsid w:val="00932D93"/>
    <w:rsid w:val="00933A73"/>
    <w:rsid w:val="00936587"/>
    <w:rsid w:val="00936D1F"/>
    <w:rsid w:val="00940CB8"/>
    <w:rsid w:val="009425CA"/>
    <w:rsid w:val="00942D5F"/>
    <w:rsid w:val="00942DB6"/>
    <w:rsid w:val="00942EEA"/>
    <w:rsid w:val="00944358"/>
    <w:rsid w:val="009446E5"/>
    <w:rsid w:val="00944F5C"/>
    <w:rsid w:val="009455DF"/>
    <w:rsid w:val="00945720"/>
    <w:rsid w:val="00946821"/>
    <w:rsid w:val="00946DF6"/>
    <w:rsid w:val="00946E3A"/>
    <w:rsid w:val="00947A82"/>
    <w:rsid w:val="00947D11"/>
    <w:rsid w:val="00950E79"/>
    <w:rsid w:val="00952357"/>
    <w:rsid w:val="00953982"/>
    <w:rsid w:val="00953A64"/>
    <w:rsid w:val="00953FBA"/>
    <w:rsid w:val="00954AAD"/>
    <w:rsid w:val="009555B4"/>
    <w:rsid w:val="009557A8"/>
    <w:rsid w:val="00955AE3"/>
    <w:rsid w:val="00960088"/>
    <w:rsid w:val="009604C1"/>
    <w:rsid w:val="0096060E"/>
    <w:rsid w:val="0096097F"/>
    <w:rsid w:val="00960E63"/>
    <w:rsid w:val="009610AF"/>
    <w:rsid w:val="00961356"/>
    <w:rsid w:val="00961F41"/>
    <w:rsid w:val="00962670"/>
    <w:rsid w:val="009628F1"/>
    <w:rsid w:val="00962A83"/>
    <w:rsid w:val="00962DCA"/>
    <w:rsid w:val="00963BC3"/>
    <w:rsid w:val="00963FE7"/>
    <w:rsid w:val="00964378"/>
    <w:rsid w:val="00964B03"/>
    <w:rsid w:val="0096600D"/>
    <w:rsid w:val="00966389"/>
    <w:rsid w:val="009667B7"/>
    <w:rsid w:val="00966EB8"/>
    <w:rsid w:val="009671BA"/>
    <w:rsid w:val="009678D0"/>
    <w:rsid w:val="00967CDF"/>
    <w:rsid w:val="00967E64"/>
    <w:rsid w:val="009718AA"/>
    <w:rsid w:val="00972BD8"/>
    <w:rsid w:val="009731E8"/>
    <w:rsid w:val="00973734"/>
    <w:rsid w:val="00973DEF"/>
    <w:rsid w:val="00973EEA"/>
    <w:rsid w:val="0097454E"/>
    <w:rsid w:val="00974AAF"/>
    <w:rsid w:val="00975CE2"/>
    <w:rsid w:val="009772EE"/>
    <w:rsid w:val="0097765C"/>
    <w:rsid w:val="009776B9"/>
    <w:rsid w:val="009809B2"/>
    <w:rsid w:val="00980BFC"/>
    <w:rsid w:val="009829F9"/>
    <w:rsid w:val="00982ED5"/>
    <w:rsid w:val="00983FCA"/>
    <w:rsid w:val="009845E0"/>
    <w:rsid w:val="009851E1"/>
    <w:rsid w:val="00986A1A"/>
    <w:rsid w:val="00990832"/>
    <w:rsid w:val="0099160D"/>
    <w:rsid w:val="0099510F"/>
    <w:rsid w:val="0099598D"/>
    <w:rsid w:val="00996227"/>
    <w:rsid w:val="009978ED"/>
    <w:rsid w:val="00997987"/>
    <w:rsid w:val="00997DDF"/>
    <w:rsid w:val="009A135D"/>
    <w:rsid w:val="009A1E42"/>
    <w:rsid w:val="009A3378"/>
    <w:rsid w:val="009A46CF"/>
    <w:rsid w:val="009A5213"/>
    <w:rsid w:val="009A5491"/>
    <w:rsid w:val="009A5B47"/>
    <w:rsid w:val="009A611A"/>
    <w:rsid w:val="009A625F"/>
    <w:rsid w:val="009A6B56"/>
    <w:rsid w:val="009A7153"/>
    <w:rsid w:val="009A7554"/>
    <w:rsid w:val="009A7E39"/>
    <w:rsid w:val="009A7EAB"/>
    <w:rsid w:val="009B0B09"/>
    <w:rsid w:val="009B33EB"/>
    <w:rsid w:val="009B4403"/>
    <w:rsid w:val="009B463B"/>
    <w:rsid w:val="009B4D10"/>
    <w:rsid w:val="009B5EE6"/>
    <w:rsid w:val="009C03F7"/>
    <w:rsid w:val="009C0C3B"/>
    <w:rsid w:val="009C0EEC"/>
    <w:rsid w:val="009C0F61"/>
    <w:rsid w:val="009C27AE"/>
    <w:rsid w:val="009C2EC9"/>
    <w:rsid w:val="009C4BFB"/>
    <w:rsid w:val="009C4CB7"/>
    <w:rsid w:val="009C5293"/>
    <w:rsid w:val="009C623A"/>
    <w:rsid w:val="009C6B73"/>
    <w:rsid w:val="009C6D13"/>
    <w:rsid w:val="009D0140"/>
    <w:rsid w:val="009D02DF"/>
    <w:rsid w:val="009D1E94"/>
    <w:rsid w:val="009D1FB2"/>
    <w:rsid w:val="009D2B51"/>
    <w:rsid w:val="009D3243"/>
    <w:rsid w:val="009D56C4"/>
    <w:rsid w:val="009D58AB"/>
    <w:rsid w:val="009D5B91"/>
    <w:rsid w:val="009D6342"/>
    <w:rsid w:val="009D661C"/>
    <w:rsid w:val="009D6C05"/>
    <w:rsid w:val="009E183E"/>
    <w:rsid w:val="009E1A47"/>
    <w:rsid w:val="009E4542"/>
    <w:rsid w:val="009E4620"/>
    <w:rsid w:val="009E584C"/>
    <w:rsid w:val="009E5D49"/>
    <w:rsid w:val="009F1D9B"/>
    <w:rsid w:val="009F330D"/>
    <w:rsid w:val="009F549D"/>
    <w:rsid w:val="009F5563"/>
    <w:rsid w:val="009F6097"/>
    <w:rsid w:val="009F6D36"/>
    <w:rsid w:val="00A00326"/>
    <w:rsid w:val="00A01E3C"/>
    <w:rsid w:val="00A024F2"/>
    <w:rsid w:val="00A02521"/>
    <w:rsid w:val="00A0310B"/>
    <w:rsid w:val="00A04494"/>
    <w:rsid w:val="00A048B1"/>
    <w:rsid w:val="00A04B28"/>
    <w:rsid w:val="00A05A65"/>
    <w:rsid w:val="00A05F80"/>
    <w:rsid w:val="00A069D7"/>
    <w:rsid w:val="00A10993"/>
    <w:rsid w:val="00A14271"/>
    <w:rsid w:val="00A149B5"/>
    <w:rsid w:val="00A1515F"/>
    <w:rsid w:val="00A171EF"/>
    <w:rsid w:val="00A20314"/>
    <w:rsid w:val="00A20C0E"/>
    <w:rsid w:val="00A2163B"/>
    <w:rsid w:val="00A219D7"/>
    <w:rsid w:val="00A22E47"/>
    <w:rsid w:val="00A22F86"/>
    <w:rsid w:val="00A235C9"/>
    <w:rsid w:val="00A24DEB"/>
    <w:rsid w:val="00A25086"/>
    <w:rsid w:val="00A2711E"/>
    <w:rsid w:val="00A273E7"/>
    <w:rsid w:val="00A27DD8"/>
    <w:rsid w:val="00A306B6"/>
    <w:rsid w:val="00A31B31"/>
    <w:rsid w:val="00A33530"/>
    <w:rsid w:val="00A336CA"/>
    <w:rsid w:val="00A411FF"/>
    <w:rsid w:val="00A415D0"/>
    <w:rsid w:val="00A431C4"/>
    <w:rsid w:val="00A43B9F"/>
    <w:rsid w:val="00A43F02"/>
    <w:rsid w:val="00A45197"/>
    <w:rsid w:val="00A454EC"/>
    <w:rsid w:val="00A457A9"/>
    <w:rsid w:val="00A45DD0"/>
    <w:rsid w:val="00A4605D"/>
    <w:rsid w:val="00A472EC"/>
    <w:rsid w:val="00A5006D"/>
    <w:rsid w:val="00A52096"/>
    <w:rsid w:val="00A53E93"/>
    <w:rsid w:val="00A5410C"/>
    <w:rsid w:val="00A54196"/>
    <w:rsid w:val="00A56762"/>
    <w:rsid w:val="00A5688A"/>
    <w:rsid w:val="00A56938"/>
    <w:rsid w:val="00A603F3"/>
    <w:rsid w:val="00A60FEB"/>
    <w:rsid w:val="00A612EA"/>
    <w:rsid w:val="00A62D30"/>
    <w:rsid w:val="00A63487"/>
    <w:rsid w:val="00A64354"/>
    <w:rsid w:val="00A649D7"/>
    <w:rsid w:val="00A655CE"/>
    <w:rsid w:val="00A6562F"/>
    <w:rsid w:val="00A657E5"/>
    <w:rsid w:val="00A66535"/>
    <w:rsid w:val="00A66C48"/>
    <w:rsid w:val="00A70B14"/>
    <w:rsid w:val="00A70D40"/>
    <w:rsid w:val="00A71F6A"/>
    <w:rsid w:val="00A71F7A"/>
    <w:rsid w:val="00A734EB"/>
    <w:rsid w:val="00A738D0"/>
    <w:rsid w:val="00A7445E"/>
    <w:rsid w:val="00A75E41"/>
    <w:rsid w:val="00A75EB9"/>
    <w:rsid w:val="00A7616A"/>
    <w:rsid w:val="00A764B9"/>
    <w:rsid w:val="00A76719"/>
    <w:rsid w:val="00A77D36"/>
    <w:rsid w:val="00A807FF"/>
    <w:rsid w:val="00A80E75"/>
    <w:rsid w:val="00A81500"/>
    <w:rsid w:val="00A82716"/>
    <w:rsid w:val="00A82C58"/>
    <w:rsid w:val="00A82E99"/>
    <w:rsid w:val="00A83057"/>
    <w:rsid w:val="00A83B3D"/>
    <w:rsid w:val="00A83BB6"/>
    <w:rsid w:val="00A84B71"/>
    <w:rsid w:val="00A876A1"/>
    <w:rsid w:val="00A879A1"/>
    <w:rsid w:val="00A90262"/>
    <w:rsid w:val="00A90294"/>
    <w:rsid w:val="00A90D61"/>
    <w:rsid w:val="00A913BF"/>
    <w:rsid w:val="00A92739"/>
    <w:rsid w:val="00A927F0"/>
    <w:rsid w:val="00A94755"/>
    <w:rsid w:val="00A94767"/>
    <w:rsid w:val="00A95252"/>
    <w:rsid w:val="00A95B2B"/>
    <w:rsid w:val="00A96568"/>
    <w:rsid w:val="00A9725D"/>
    <w:rsid w:val="00A97A85"/>
    <w:rsid w:val="00AA1687"/>
    <w:rsid w:val="00AA1817"/>
    <w:rsid w:val="00AA2724"/>
    <w:rsid w:val="00AA33E3"/>
    <w:rsid w:val="00AA3CCD"/>
    <w:rsid w:val="00AA3EF6"/>
    <w:rsid w:val="00AA57AA"/>
    <w:rsid w:val="00AA65FF"/>
    <w:rsid w:val="00AA6D52"/>
    <w:rsid w:val="00AB02EA"/>
    <w:rsid w:val="00AB0E2A"/>
    <w:rsid w:val="00AB1599"/>
    <w:rsid w:val="00AB396C"/>
    <w:rsid w:val="00AB4104"/>
    <w:rsid w:val="00AB4340"/>
    <w:rsid w:val="00AB637E"/>
    <w:rsid w:val="00AB6D22"/>
    <w:rsid w:val="00AC0C02"/>
    <w:rsid w:val="00AC0D3E"/>
    <w:rsid w:val="00AC1676"/>
    <w:rsid w:val="00AC1F31"/>
    <w:rsid w:val="00AC3875"/>
    <w:rsid w:val="00AC3907"/>
    <w:rsid w:val="00AC4E8A"/>
    <w:rsid w:val="00AC5156"/>
    <w:rsid w:val="00AC61A8"/>
    <w:rsid w:val="00AC6B82"/>
    <w:rsid w:val="00AC71FD"/>
    <w:rsid w:val="00AC7681"/>
    <w:rsid w:val="00AD0437"/>
    <w:rsid w:val="00AD2183"/>
    <w:rsid w:val="00AD405C"/>
    <w:rsid w:val="00AD4AFA"/>
    <w:rsid w:val="00AD5A2E"/>
    <w:rsid w:val="00AD5E30"/>
    <w:rsid w:val="00AD6482"/>
    <w:rsid w:val="00AD79F1"/>
    <w:rsid w:val="00AD7FC8"/>
    <w:rsid w:val="00AE03A1"/>
    <w:rsid w:val="00AE0A81"/>
    <w:rsid w:val="00AE1044"/>
    <w:rsid w:val="00AE15F4"/>
    <w:rsid w:val="00AE2960"/>
    <w:rsid w:val="00AE2FB3"/>
    <w:rsid w:val="00AE4211"/>
    <w:rsid w:val="00AE5667"/>
    <w:rsid w:val="00AE6237"/>
    <w:rsid w:val="00AE7ACB"/>
    <w:rsid w:val="00AF0390"/>
    <w:rsid w:val="00AF06E9"/>
    <w:rsid w:val="00AF6799"/>
    <w:rsid w:val="00AF7DEE"/>
    <w:rsid w:val="00B00CB1"/>
    <w:rsid w:val="00B014E6"/>
    <w:rsid w:val="00B04AFE"/>
    <w:rsid w:val="00B05382"/>
    <w:rsid w:val="00B05B2C"/>
    <w:rsid w:val="00B06C21"/>
    <w:rsid w:val="00B06C36"/>
    <w:rsid w:val="00B07514"/>
    <w:rsid w:val="00B07D22"/>
    <w:rsid w:val="00B11523"/>
    <w:rsid w:val="00B12378"/>
    <w:rsid w:val="00B12B3C"/>
    <w:rsid w:val="00B1383E"/>
    <w:rsid w:val="00B14343"/>
    <w:rsid w:val="00B170B5"/>
    <w:rsid w:val="00B17743"/>
    <w:rsid w:val="00B1778F"/>
    <w:rsid w:val="00B20297"/>
    <w:rsid w:val="00B2060D"/>
    <w:rsid w:val="00B21274"/>
    <w:rsid w:val="00B24171"/>
    <w:rsid w:val="00B24431"/>
    <w:rsid w:val="00B24BAA"/>
    <w:rsid w:val="00B253FE"/>
    <w:rsid w:val="00B258D5"/>
    <w:rsid w:val="00B26D58"/>
    <w:rsid w:val="00B2732B"/>
    <w:rsid w:val="00B27F50"/>
    <w:rsid w:val="00B30247"/>
    <w:rsid w:val="00B30F15"/>
    <w:rsid w:val="00B312DC"/>
    <w:rsid w:val="00B319F8"/>
    <w:rsid w:val="00B31B8F"/>
    <w:rsid w:val="00B3222C"/>
    <w:rsid w:val="00B3316C"/>
    <w:rsid w:val="00B33343"/>
    <w:rsid w:val="00B33A64"/>
    <w:rsid w:val="00B34027"/>
    <w:rsid w:val="00B3414D"/>
    <w:rsid w:val="00B35194"/>
    <w:rsid w:val="00B372AF"/>
    <w:rsid w:val="00B40D06"/>
    <w:rsid w:val="00B41A2A"/>
    <w:rsid w:val="00B42922"/>
    <w:rsid w:val="00B44873"/>
    <w:rsid w:val="00B449AD"/>
    <w:rsid w:val="00B44BBB"/>
    <w:rsid w:val="00B455E6"/>
    <w:rsid w:val="00B47A3B"/>
    <w:rsid w:val="00B50E08"/>
    <w:rsid w:val="00B51046"/>
    <w:rsid w:val="00B53040"/>
    <w:rsid w:val="00B5307A"/>
    <w:rsid w:val="00B535A4"/>
    <w:rsid w:val="00B5366F"/>
    <w:rsid w:val="00B54160"/>
    <w:rsid w:val="00B54347"/>
    <w:rsid w:val="00B56B73"/>
    <w:rsid w:val="00B56F4D"/>
    <w:rsid w:val="00B57644"/>
    <w:rsid w:val="00B60A46"/>
    <w:rsid w:val="00B61F22"/>
    <w:rsid w:val="00B62341"/>
    <w:rsid w:val="00B626B8"/>
    <w:rsid w:val="00B62A27"/>
    <w:rsid w:val="00B62EF6"/>
    <w:rsid w:val="00B63A00"/>
    <w:rsid w:val="00B6424C"/>
    <w:rsid w:val="00B6451F"/>
    <w:rsid w:val="00B64D55"/>
    <w:rsid w:val="00B64EAE"/>
    <w:rsid w:val="00B66472"/>
    <w:rsid w:val="00B678BD"/>
    <w:rsid w:val="00B67D0D"/>
    <w:rsid w:val="00B7043E"/>
    <w:rsid w:val="00B72A0F"/>
    <w:rsid w:val="00B73223"/>
    <w:rsid w:val="00B733A3"/>
    <w:rsid w:val="00B74586"/>
    <w:rsid w:val="00B7683F"/>
    <w:rsid w:val="00B768FA"/>
    <w:rsid w:val="00B81581"/>
    <w:rsid w:val="00B820D5"/>
    <w:rsid w:val="00B84C09"/>
    <w:rsid w:val="00B86102"/>
    <w:rsid w:val="00B86770"/>
    <w:rsid w:val="00B86DFC"/>
    <w:rsid w:val="00B86F6B"/>
    <w:rsid w:val="00B873CD"/>
    <w:rsid w:val="00B90295"/>
    <w:rsid w:val="00B92BFF"/>
    <w:rsid w:val="00B92E1D"/>
    <w:rsid w:val="00B9333D"/>
    <w:rsid w:val="00B93367"/>
    <w:rsid w:val="00B93522"/>
    <w:rsid w:val="00B9376E"/>
    <w:rsid w:val="00B93FC4"/>
    <w:rsid w:val="00B96220"/>
    <w:rsid w:val="00B97394"/>
    <w:rsid w:val="00B97D2D"/>
    <w:rsid w:val="00BA1E9A"/>
    <w:rsid w:val="00BA284B"/>
    <w:rsid w:val="00BA2C98"/>
    <w:rsid w:val="00BA334D"/>
    <w:rsid w:val="00BA3659"/>
    <w:rsid w:val="00BA3CF3"/>
    <w:rsid w:val="00BA46BB"/>
    <w:rsid w:val="00BA67CC"/>
    <w:rsid w:val="00BA7A1E"/>
    <w:rsid w:val="00BB0613"/>
    <w:rsid w:val="00BB1E64"/>
    <w:rsid w:val="00BB3457"/>
    <w:rsid w:val="00BB37A8"/>
    <w:rsid w:val="00BB5330"/>
    <w:rsid w:val="00BB5EBA"/>
    <w:rsid w:val="00BB63F9"/>
    <w:rsid w:val="00BB65A2"/>
    <w:rsid w:val="00BB7228"/>
    <w:rsid w:val="00BB7808"/>
    <w:rsid w:val="00BB7ABD"/>
    <w:rsid w:val="00BB7C1F"/>
    <w:rsid w:val="00BC0EBA"/>
    <w:rsid w:val="00BC12CE"/>
    <w:rsid w:val="00BC3589"/>
    <w:rsid w:val="00BC35B5"/>
    <w:rsid w:val="00BC3B7D"/>
    <w:rsid w:val="00BC3FA8"/>
    <w:rsid w:val="00BC4ACA"/>
    <w:rsid w:val="00BC52B9"/>
    <w:rsid w:val="00BC5963"/>
    <w:rsid w:val="00BC5D65"/>
    <w:rsid w:val="00BC6D76"/>
    <w:rsid w:val="00BD0998"/>
    <w:rsid w:val="00BD15ED"/>
    <w:rsid w:val="00BD364D"/>
    <w:rsid w:val="00BD3DC9"/>
    <w:rsid w:val="00BD3E5C"/>
    <w:rsid w:val="00BD471B"/>
    <w:rsid w:val="00BD58AD"/>
    <w:rsid w:val="00BD666B"/>
    <w:rsid w:val="00BD747B"/>
    <w:rsid w:val="00BD7802"/>
    <w:rsid w:val="00BE00C2"/>
    <w:rsid w:val="00BE05DC"/>
    <w:rsid w:val="00BE08FF"/>
    <w:rsid w:val="00BE0DEB"/>
    <w:rsid w:val="00BE1633"/>
    <w:rsid w:val="00BE1D2C"/>
    <w:rsid w:val="00BE30E2"/>
    <w:rsid w:val="00BE41DC"/>
    <w:rsid w:val="00BE4E72"/>
    <w:rsid w:val="00BE50D7"/>
    <w:rsid w:val="00BE5CBD"/>
    <w:rsid w:val="00BE5FDF"/>
    <w:rsid w:val="00BE778B"/>
    <w:rsid w:val="00BF0166"/>
    <w:rsid w:val="00BF0DF2"/>
    <w:rsid w:val="00BF0ED1"/>
    <w:rsid w:val="00BF2589"/>
    <w:rsid w:val="00BF4E27"/>
    <w:rsid w:val="00BF5074"/>
    <w:rsid w:val="00BF5216"/>
    <w:rsid w:val="00BF53C8"/>
    <w:rsid w:val="00BF60E8"/>
    <w:rsid w:val="00C008A1"/>
    <w:rsid w:val="00C015E4"/>
    <w:rsid w:val="00C01AF0"/>
    <w:rsid w:val="00C022F1"/>
    <w:rsid w:val="00C02517"/>
    <w:rsid w:val="00C03362"/>
    <w:rsid w:val="00C034F3"/>
    <w:rsid w:val="00C05177"/>
    <w:rsid w:val="00C0550F"/>
    <w:rsid w:val="00C06B95"/>
    <w:rsid w:val="00C10055"/>
    <w:rsid w:val="00C10BF8"/>
    <w:rsid w:val="00C11245"/>
    <w:rsid w:val="00C11605"/>
    <w:rsid w:val="00C11AD6"/>
    <w:rsid w:val="00C131EB"/>
    <w:rsid w:val="00C13C4B"/>
    <w:rsid w:val="00C1492E"/>
    <w:rsid w:val="00C1521F"/>
    <w:rsid w:val="00C15A56"/>
    <w:rsid w:val="00C15AD7"/>
    <w:rsid w:val="00C16D44"/>
    <w:rsid w:val="00C17D5F"/>
    <w:rsid w:val="00C17FD6"/>
    <w:rsid w:val="00C21BDF"/>
    <w:rsid w:val="00C22CD0"/>
    <w:rsid w:val="00C22E4A"/>
    <w:rsid w:val="00C231AF"/>
    <w:rsid w:val="00C23B11"/>
    <w:rsid w:val="00C24D32"/>
    <w:rsid w:val="00C25296"/>
    <w:rsid w:val="00C26A9B"/>
    <w:rsid w:val="00C26C3B"/>
    <w:rsid w:val="00C30148"/>
    <w:rsid w:val="00C3152A"/>
    <w:rsid w:val="00C31A85"/>
    <w:rsid w:val="00C34FBB"/>
    <w:rsid w:val="00C3513F"/>
    <w:rsid w:val="00C35598"/>
    <w:rsid w:val="00C355C4"/>
    <w:rsid w:val="00C37725"/>
    <w:rsid w:val="00C40FFE"/>
    <w:rsid w:val="00C41B3A"/>
    <w:rsid w:val="00C41C23"/>
    <w:rsid w:val="00C43B7C"/>
    <w:rsid w:val="00C459AB"/>
    <w:rsid w:val="00C47512"/>
    <w:rsid w:val="00C5037A"/>
    <w:rsid w:val="00C54005"/>
    <w:rsid w:val="00C54078"/>
    <w:rsid w:val="00C54FFD"/>
    <w:rsid w:val="00C55749"/>
    <w:rsid w:val="00C5799A"/>
    <w:rsid w:val="00C57FD9"/>
    <w:rsid w:val="00C60593"/>
    <w:rsid w:val="00C640D5"/>
    <w:rsid w:val="00C65261"/>
    <w:rsid w:val="00C663DD"/>
    <w:rsid w:val="00C7050A"/>
    <w:rsid w:val="00C75B72"/>
    <w:rsid w:val="00C769AA"/>
    <w:rsid w:val="00C76DCB"/>
    <w:rsid w:val="00C7713F"/>
    <w:rsid w:val="00C77BB2"/>
    <w:rsid w:val="00C81738"/>
    <w:rsid w:val="00C81972"/>
    <w:rsid w:val="00C819CC"/>
    <w:rsid w:val="00C84ED0"/>
    <w:rsid w:val="00C8510A"/>
    <w:rsid w:val="00C8557D"/>
    <w:rsid w:val="00C86CDC"/>
    <w:rsid w:val="00C87FD9"/>
    <w:rsid w:val="00C90EBF"/>
    <w:rsid w:val="00C9171C"/>
    <w:rsid w:val="00C91D85"/>
    <w:rsid w:val="00C927EF"/>
    <w:rsid w:val="00C95197"/>
    <w:rsid w:val="00C95D45"/>
    <w:rsid w:val="00C97D83"/>
    <w:rsid w:val="00CA073A"/>
    <w:rsid w:val="00CA180A"/>
    <w:rsid w:val="00CA29DB"/>
    <w:rsid w:val="00CA3A04"/>
    <w:rsid w:val="00CA5A93"/>
    <w:rsid w:val="00CA7616"/>
    <w:rsid w:val="00CA7717"/>
    <w:rsid w:val="00CB01BF"/>
    <w:rsid w:val="00CB03CA"/>
    <w:rsid w:val="00CB2880"/>
    <w:rsid w:val="00CB2A14"/>
    <w:rsid w:val="00CB3485"/>
    <w:rsid w:val="00CB45BA"/>
    <w:rsid w:val="00CB48AA"/>
    <w:rsid w:val="00CC0361"/>
    <w:rsid w:val="00CC038B"/>
    <w:rsid w:val="00CC1210"/>
    <w:rsid w:val="00CC1DF3"/>
    <w:rsid w:val="00CC1E88"/>
    <w:rsid w:val="00CC286F"/>
    <w:rsid w:val="00CC337D"/>
    <w:rsid w:val="00CC3F50"/>
    <w:rsid w:val="00CC4B03"/>
    <w:rsid w:val="00CC54B6"/>
    <w:rsid w:val="00CC5E6D"/>
    <w:rsid w:val="00CD12B9"/>
    <w:rsid w:val="00CD2F87"/>
    <w:rsid w:val="00CD30ED"/>
    <w:rsid w:val="00CD340B"/>
    <w:rsid w:val="00CD3D90"/>
    <w:rsid w:val="00CD3F21"/>
    <w:rsid w:val="00CD556D"/>
    <w:rsid w:val="00CD581F"/>
    <w:rsid w:val="00CD6620"/>
    <w:rsid w:val="00CD6693"/>
    <w:rsid w:val="00CD737F"/>
    <w:rsid w:val="00CD7C65"/>
    <w:rsid w:val="00CE325B"/>
    <w:rsid w:val="00CE32E7"/>
    <w:rsid w:val="00CE3AFC"/>
    <w:rsid w:val="00CE5304"/>
    <w:rsid w:val="00CE65D4"/>
    <w:rsid w:val="00CE6664"/>
    <w:rsid w:val="00CE6814"/>
    <w:rsid w:val="00CE6B02"/>
    <w:rsid w:val="00CE7A58"/>
    <w:rsid w:val="00CF0159"/>
    <w:rsid w:val="00CF01F4"/>
    <w:rsid w:val="00CF2139"/>
    <w:rsid w:val="00CF2694"/>
    <w:rsid w:val="00CF2FD3"/>
    <w:rsid w:val="00CF37DB"/>
    <w:rsid w:val="00CF3E03"/>
    <w:rsid w:val="00CF4B95"/>
    <w:rsid w:val="00CF5045"/>
    <w:rsid w:val="00CF7C0E"/>
    <w:rsid w:val="00D0091F"/>
    <w:rsid w:val="00D02F78"/>
    <w:rsid w:val="00D03D70"/>
    <w:rsid w:val="00D053BF"/>
    <w:rsid w:val="00D07759"/>
    <w:rsid w:val="00D077B7"/>
    <w:rsid w:val="00D07A33"/>
    <w:rsid w:val="00D10A16"/>
    <w:rsid w:val="00D1143F"/>
    <w:rsid w:val="00D11BAC"/>
    <w:rsid w:val="00D11CC2"/>
    <w:rsid w:val="00D12552"/>
    <w:rsid w:val="00D15D60"/>
    <w:rsid w:val="00D16CC4"/>
    <w:rsid w:val="00D20507"/>
    <w:rsid w:val="00D2103F"/>
    <w:rsid w:val="00D21657"/>
    <w:rsid w:val="00D22943"/>
    <w:rsid w:val="00D23807"/>
    <w:rsid w:val="00D242AE"/>
    <w:rsid w:val="00D24D4A"/>
    <w:rsid w:val="00D2514F"/>
    <w:rsid w:val="00D25B48"/>
    <w:rsid w:val="00D25F45"/>
    <w:rsid w:val="00D271E3"/>
    <w:rsid w:val="00D3026C"/>
    <w:rsid w:val="00D31B81"/>
    <w:rsid w:val="00D31C0C"/>
    <w:rsid w:val="00D334FD"/>
    <w:rsid w:val="00D33C46"/>
    <w:rsid w:val="00D34655"/>
    <w:rsid w:val="00D3491C"/>
    <w:rsid w:val="00D34EBC"/>
    <w:rsid w:val="00D359DF"/>
    <w:rsid w:val="00D37779"/>
    <w:rsid w:val="00D406B0"/>
    <w:rsid w:val="00D42A34"/>
    <w:rsid w:val="00D4302B"/>
    <w:rsid w:val="00D432C2"/>
    <w:rsid w:val="00D43BF1"/>
    <w:rsid w:val="00D441E8"/>
    <w:rsid w:val="00D458F7"/>
    <w:rsid w:val="00D45AD6"/>
    <w:rsid w:val="00D4622A"/>
    <w:rsid w:val="00D46E5C"/>
    <w:rsid w:val="00D4781E"/>
    <w:rsid w:val="00D50400"/>
    <w:rsid w:val="00D51F3F"/>
    <w:rsid w:val="00D52073"/>
    <w:rsid w:val="00D53107"/>
    <w:rsid w:val="00D554F6"/>
    <w:rsid w:val="00D559EB"/>
    <w:rsid w:val="00D56B27"/>
    <w:rsid w:val="00D57987"/>
    <w:rsid w:val="00D61C0A"/>
    <w:rsid w:val="00D62463"/>
    <w:rsid w:val="00D62905"/>
    <w:rsid w:val="00D653CE"/>
    <w:rsid w:val="00D676AE"/>
    <w:rsid w:val="00D67A98"/>
    <w:rsid w:val="00D67E7A"/>
    <w:rsid w:val="00D707D2"/>
    <w:rsid w:val="00D72925"/>
    <w:rsid w:val="00D72EA8"/>
    <w:rsid w:val="00D740D0"/>
    <w:rsid w:val="00D771CD"/>
    <w:rsid w:val="00D7766C"/>
    <w:rsid w:val="00D807EE"/>
    <w:rsid w:val="00D828B1"/>
    <w:rsid w:val="00D831DB"/>
    <w:rsid w:val="00D84D37"/>
    <w:rsid w:val="00D857AC"/>
    <w:rsid w:val="00D86018"/>
    <w:rsid w:val="00D861F7"/>
    <w:rsid w:val="00D86539"/>
    <w:rsid w:val="00D86931"/>
    <w:rsid w:val="00D910E5"/>
    <w:rsid w:val="00D94CA2"/>
    <w:rsid w:val="00D9552F"/>
    <w:rsid w:val="00D95EDF"/>
    <w:rsid w:val="00D970D1"/>
    <w:rsid w:val="00D977A0"/>
    <w:rsid w:val="00D97A55"/>
    <w:rsid w:val="00D97BD9"/>
    <w:rsid w:val="00DA063B"/>
    <w:rsid w:val="00DA3E26"/>
    <w:rsid w:val="00DA5BE1"/>
    <w:rsid w:val="00DA66F9"/>
    <w:rsid w:val="00DA725E"/>
    <w:rsid w:val="00DA75D3"/>
    <w:rsid w:val="00DA7F5D"/>
    <w:rsid w:val="00DB1592"/>
    <w:rsid w:val="00DB29AE"/>
    <w:rsid w:val="00DB2D40"/>
    <w:rsid w:val="00DB339A"/>
    <w:rsid w:val="00DB3924"/>
    <w:rsid w:val="00DB3F3A"/>
    <w:rsid w:val="00DB44F5"/>
    <w:rsid w:val="00DB617C"/>
    <w:rsid w:val="00DB69D1"/>
    <w:rsid w:val="00DB6F32"/>
    <w:rsid w:val="00DB716B"/>
    <w:rsid w:val="00DB7DCA"/>
    <w:rsid w:val="00DC010E"/>
    <w:rsid w:val="00DC0A75"/>
    <w:rsid w:val="00DC1097"/>
    <w:rsid w:val="00DC1AB8"/>
    <w:rsid w:val="00DC22CC"/>
    <w:rsid w:val="00DC24ED"/>
    <w:rsid w:val="00DC2D1D"/>
    <w:rsid w:val="00DC303C"/>
    <w:rsid w:val="00DC3E07"/>
    <w:rsid w:val="00DC4B0D"/>
    <w:rsid w:val="00DC5400"/>
    <w:rsid w:val="00DC603F"/>
    <w:rsid w:val="00DC7023"/>
    <w:rsid w:val="00DC7F22"/>
    <w:rsid w:val="00DD04E4"/>
    <w:rsid w:val="00DD0FE4"/>
    <w:rsid w:val="00DD2EC3"/>
    <w:rsid w:val="00DD2F3F"/>
    <w:rsid w:val="00DD4212"/>
    <w:rsid w:val="00DD562C"/>
    <w:rsid w:val="00DE0773"/>
    <w:rsid w:val="00DE3E32"/>
    <w:rsid w:val="00DE4170"/>
    <w:rsid w:val="00DE694A"/>
    <w:rsid w:val="00DE7E1A"/>
    <w:rsid w:val="00DF0CC5"/>
    <w:rsid w:val="00DF1583"/>
    <w:rsid w:val="00DF17D6"/>
    <w:rsid w:val="00DF2C39"/>
    <w:rsid w:val="00DF2D78"/>
    <w:rsid w:val="00DF5DDF"/>
    <w:rsid w:val="00DF665C"/>
    <w:rsid w:val="00DF6FAC"/>
    <w:rsid w:val="00E006EB"/>
    <w:rsid w:val="00E00756"/>
    <w:rsid w:val="00E00F30"/>
    <w:rsid w:val="00E02638"/>
    <w:rsid w:val="00E02FAA"/>
    <w:rsid w:val="00E0384B"/>
    <w:rsid w:val="00E03C55"/>
    <w:rsid w:val="00E04259"/>
    <w:rsid w:val="00E05856"/>
    <w:rsid w:val="00E06B33"/>
    <w:rsid w:val="00E07045"/>
    <w:rsid w:val="00E07890"/>
    <w:rsid w:val="00E07C3B"/>
    <w:rsid w:val="00E11EBD"/>
    <w:rsid w:val="00E123C6"/>
    <w:rsid w:val="00E130AB"/>
    <w:rsid w:val="00E13675"/>
    <w:rsid w:val="00E14103"/>
    <w:rsid w:val="00E14BF1"/>
    <w:rsid w:val="00E1531D"/>
    <w:rsid w:val="00E156F1"/>
    <w:rsid w:val="00E158EC"/>
    <w:rsid w:val="00E15A94"/>
    <w:rsid w:val="00E167DB"/>
    <w:rsid w:val="00E16856"/>
    <w:rsid w:val="00E23F5E"/>
    <w:rsid w:val="00E25383"/>
    <w:rsid w:val="00E2694F"/>
    <w:rsid w:val="00E27E92"/>
    <w:rsid w:val="00E30D6E"/>
    <w:rsid w:val="00E32977"/>
    <w:rsid w:val="00E333EC"/>
    <w:rsid w:val="00E33666"/>
    <w:rsid w:val="00E3369C"/>
    <w:rsid w:val="00E33C7F"/>
    <w:rsid w:val="00E33F11"/>
    <w:rsid w:val="00E3786D"/>
    <w:rsid w:val="00E405B1"/>
    <w:rsid w:val="00E406C5"/>
    <w:rsid w:val="00E40EC6"/>
    <w:rsid w:val="00E42E04"/>
    <w:rsid w:val="00E42FB7"/>
    <w:rsid w:val="00E43792"/>
    <w:rsid w:val="00E46C8C"/>
    <w:rsid w:val="00E50371"/>
    <w:rsid w:val="00E50D4F"/>
    <w:rsid w:val="00E51759"/>
    <w:rsid w:val="00E51A2B"/>
    <w:rsid w:val="00E5411F"/>
    <w:rsid w:val="00E54E32"/>
    <w:rsid w:val="00E5504A"/>
    <w:rsid w:val="00E552EE"/>
    <w:rsid w:val="00E56280"/>
    <w:rsid w:val="00E5629E"/>
    <w:rsid w:val="00E57851"/>
    <w:rsid w:val="00E57A58"/>
    <w:rsid w:val="00E60158"/>
    <w:rsid w:val="00E60520"/>
    <w:rsid w:val="00E60E31"/>
    <w:rsid w:val="00E6199E"/>
    <w:rsid w:val="00E639E5"/>
    <w:rsid w:val="00E63C28"/>
    <w:rsid w:val="00E662BC"/>
    <w:rsid w:val="00E70171"/>
    <w:rsid w:val="00E72C7E"/>
    <w:rsid w:val="00E73040"/>
    <w:rsid w:val="00E742CE"/>
    <w:rsid w:val="00E753D4"/>
    <w:rsid w:val="00E75851"/>
    <w:rsid w:val="00E76351"/>
    <w:rsid w:val="00E778B1"/>
    <w:rsid w:val="00E81C82"/>
    <w:rsid w:val="00E81EC0"/>
    <w:rsid w:val="00E81EED"/>
    <w:rsid w:val="00E832B1"/>
    <w:rsid w:val="00E84C07"/>
    <w:rsid w:val="00E85074"/>
    <w:rsid w:val="00E8766C"/>
    <w:rsid w:val="00E87742"/>
    <w:rsid w:val="00E90882"/>
    <w:rsid w:val="00E93634"/>
    <w:rsid w:val="00E93709"/>
    <w:rsid w:val="00E93FD3"/>
    <w:rsid w:val="00E94500"/>
    <w:rsid w:val="00E94D07"/>
    <w:rsid w:val="00E9579D"/>
    <w:rsid w:val="00E9622E"/>
    <w:rsid w:val="00EA0944"/>
    <w:rsid w:val="00EA136C"/>
    <w:rsid w:val="00EA150E"/>
    <w:rsid w:val="00EA1941"/>
    <w:rsid w:val="00EA1B79"/>
    <w:rsid w:val="00EA1EB6"/>
    <w:rsid w:val="00EA2E59"/>
    <w:rsid w:val="00EA32D7"/>
    <w:rsid w:val="00EA32DD"/>
    <w:rsid w:val="00EA40BB"/>
    <w:rsid w:val="00EA42B5"/>
    <w:rsid w:val="00EA4D14"/>
    <w:rsid w:val="00EA4EC4"/>
    <w:rsid w:val="00EA5B21"/>
    <w:rsid w:val="00EA7B43"/>
    <w:rsid w:val="00EA7FC7"/>
    <w:rsid w:val="00EB0A9B"/>
    <w:rsid w:val="00EB0DF9"/>
    <w:rsid w:val="00EB160C"/>
    <w:rsid w:val="00EB1789"/>
    <w:rsid w:val="00EB2B4E"/>
    <w:rsid w:val="00EB35AF"/>
    <w:rsid w:val="00EB4658"/>
    <w:rsid w:val="00EB605A"/>
    <w:rsid w:val="00EB6062"/>
    <w:rsid w:val="00EB6A01"/>
    <w:rsid w:val="00EB6FA2"/>
    <w:rsid w:val="00EB717B"/>
    <w:rsid w:val="00EB76F9"/>
    <w:rsid w:val="00EB791A"/>
    <w:rsid w:val="00EB7D3A"/>
    <w:rsid w:val="00EC1A4B"/>
    <w:rsid w:val="00EC3BD3"/>
    <w:rsid w:val="00EC3CE4"/>
    <w:rsid w:val="00EC44AE"/>
    <w:rsid w:val="00EC47E3"/>
    <w:rsid w:val="00EC4C18"/>
    <w:rsid w:val="00EC6EDD"/>
    <w:rsid w:val="00EC72A9"/>
    <w:rsid w:val="00EC73CE"/>
    <w:rsid w:val="00EC7903"/>
    <w:rsid w:val="00ED09F4"/>
    <w:rsid w:val="00ED0AC8"/>
    <w:rsid w:val="00ED1704"/>
    <w:rsid w:val="00ED2DC3"/>
    <w:rsid w:val="00ED32B5"/>
    <w:rsid w:val="00ED45DE"/>
    <w:rsid w:val="00ED4654"/>
    <w:rsid w:val="00ED5286"/>
    <w:rsid w:val="00ED7BCB"/>
    <w:rsid w:val="00ED7BD4"/>
    <w:rsid w:val="00EE1F35"/>
    <w:rsid w:val="00EE2374"/>
    <w:rsid w:val="00EE240D"/>
    <w:rsid w:val="00EE33A5"/>
    <w:rsid w:val="00EE440F"/>
    <w:rsid w:val="00EE4EA1"/>
    <w:rsid w:val="00EE5498"/>
    <w:rsid w:val="00EE57A7"/>
    <w:rsid w:val="00EE66EE"/>
    <w:rsid w:val="00EE6E69"/>
    <w:rsid w:val="00EE75F8"/>
    <w:rsid w:val="00EE7D21"/>
    <w:rsid w:val="00EE7FDB"/>
    <w:rsid w:val="00EF0222"/>
    <w:rsid w:val="00EF103B"/>
    <w:rsid w:val="00EF15B7"/>
    <w:rsid w:val="00EF15DB"/>
    <w:rsid w:val="00EF2014"/>
    <w:rsid w:val="00EF26E3"/>
    <w:rsid w:val="00EF3394"/>
    <w:rsid w:val="00EF41A2"/>
    <w:rsid w:val="00EF557B"/>
    <w:rsid w:val="00F01DE1"/>
    <w:rsid w:val="00F02375"/>
    <w:rsid w:val="00F04A5B"/>
    <w:rsid w:val="00F04AF2"/>
    <w:rsid w:val="00F04BBF"/>
    <w:rsid w:val="00F05142"/>
    <w:rsid w:val="00F05878"/>
    <w:rsid w:val="00F0742C"/>
    <w:rsid w:val="00F10C5C"/>
    <w:rsid w:val="00F10EB8"/>
    <w:rsid w:val="00F10FEC"/>
    <w:rsid w:val="00F11BED"/>
    <w:rsid w:val="00F11EDC"/>
    <w:rsid w:val="00F12C4B"/>
    <w:rsid w:val="00F134AF"/>
    <w:rsid w:val="00F13A46"/>
    <w:rsid w:val="00F13B22"/>
    <w:rsid w:val="00F151D2"/>
    <w:rsid w:val="00F16346"/>
    <w:rsid w:val="00F17681"/>
    <w:rsid w:val="00F208FC"/>
    <w:rsid w:val="00F20E37"/>
    <w:rsid w:val="00F210C6"/>
    <w:rsid w:val="00F21194"/>
    <w:rsid w:val="00F23530"/>
    <w:rsid w:val="00F25A08"/>
    <w:rsid w:val="00F25F3F"/>
    <w:rsid w:val="00F2620B"/>
    <w:rsid w:val="00F26E08"/>
    <w:rsid w:val="00F27CCD"/>
    <w:rsid w:val="00F27EBC"/>
    <w:rsid w:val="00F30931"/>
    <w:rsid w:val="00F31782"/>
    <w:rsid w:val="00F31AFC"/>
    <w:rsid w:val="00F322E1"/>
    <w:rsid w:val="00F323C3"/>
    <w:rsid w:val="00F32C75"/>
    <w:rsid w:val="00F3328D"/>
    <w:rsid w:val="00F33916"/>
    <w:rsid w:val="00F34E13"/>
    <w:rsid w:val="00F34F4F"/>
    <w:rsid w:val="00F35722"/>
    <w:rsid w:val="00F373FE"/>
    <w:rsid w:val="00F37F4D"/>
    <w:rsid w:val="00F413CB"/>
    <w:rsid w:val="00F41FDC"/>
    <w:rsid w:val="00F440D3"/>
    <w:rsid w:val="00F447BE"/>
    <w:rsid w:val="00F44C2D"/>
    <w:rsid w:val="00F45A80"/>
    <w:rsid w:val="00F46767"/>
    <w:rsid w:val="00F46B3C"/>
    <w:rsid w:val="00F4747E"/>
    <w:rsid w:val="00F479FF"/>
    <w:rsid w:val="00F510BA"/>
    <w:rsid w:val="00F521B3"/>
    <w:rsid w:val="00F526CA"/>
    <w:rsid w:val="00F5299A"/>
    <w:rsid w:val="00F54B13"/>
    <w:rsid w:val="00F54BFA"/>
    <w:rsid w:val="00F55C29"/>
    <w:rsid w:val="00F56BD7"/>
    <w:rsid w:val="00F57634"/>
    <w:rsid w:val="00F57B03"/>
    <w:rsid w:val="00F57C89"/>
    <w:rsid w:val="00F60F3B"/>
    <w:rsid w:val="00F6180B"/>
    <w:rsid w:val="00F63F6F"/>
    <w:rsid w:val="00F646D9"/>
    <w:rsid w:val="00F64A5D"/>
    <w:rsid w:val="00F6556A"/>
    <w:rsid w:val="00F65749"/>
    <w:rsid w:val="00F66FCA"/>
    <w:rsid w:val="00F6710A"/>
    <w:rsid w:val="00F70481"/>
    <w:rsid w:val="00F70B13"/>
    <w:rsid w:val="00F72545"/>
    <w:rsid w:val="00F730B4"/>
    <w:rsid w:val="00F731E2"/>
    <w:rsid w:val="00F731F1"/>
    <w:rsid w:val="00F73D63"/>
    <w:rsid w:val="00F74575"/>
    <w:rsid w:val="00F755BF"/>
    <w:rsid w:val="00F75FD8"/>
    <w:rsid w:val="00F77365"/>
    <w:rsid w:val="00F773D2"/>
    <w:rsid w:val="00F775FB"/>
    <w:rsid w:val="00F77878"/>
    <w:rsid w:val="00F77A24"/>
    <w:rsid w:val="00F77E83"/>
    <w:rsid w:val="00F77EDF"/>
    <w:rsid w:val="00F80395"/>
    <w:rsid w:val="00F80643"/>
    <w:rsid w:val="00F80A16"/>
    <w:rsid w:val="00F80C91"/>
    <w:rsid w:val="00F81B7A"/>
    <w:rsid w:val="00F82352"/>
    <w:rsid w:val="00F82AC4"/>
    <w:rsid w:val="00F84E54"/>
    <w:rsid w:val="00F85535"/>
    <w:rsid w:val="00F86985"/>
    <w:rsid w:val="00F87BA7"/>
    <w:rsid w:val="00F87F8B"/>
    <w:rsid w:val="00F91234"/>
    <w:rsid w:val="00F93573"/>
    <w:rsid w:val="00F96189"/>
    <w:rsid w:val="00FA1E1D"/>
    <w:rsid w:val="00FA2A99"/>
    <w:rsid w:val="00FA4456"/>
    <w:rsid w:val="00FA470C"/>
    <w:rsid w:val="00FA52AD"/>
    <w:rsid w:val="00FA5845"/>
    <w:rsid w:val="00FA5ACA"/>
    <w:rsid w:val="00FA5D27"/>
    <w:rsid w:val="00FA7216"/>
    <w:rsid w:val="00FB083A"/>
    <w:rsid w:val="00FB08BD"/>
    <w:rsid w:val="00FB1B58"/>
    <w:rsid w:val="00FB316E"/>
    <w:rsid w:val="00FB486F"/>
    <w:rsid w:val="00FB52A4"/>
    <w:rsid w:val="00FB539D"/>
    <w:rsid w:val="00FB5A00"/>
    <w:rsid w:val="00FB66A5"/>
    <w:rsid w:val="00FB7145"/>
    <w:rsid w:val="00FB7686"/>
    <w:rsid w:val="00FC1CE9"/>
    <w:rsid w:val="00FC288C"/>
    <w:rsid w:val="00FC32D1"/>
    <w:rsid w:val="00FC3BC8"/>
    <w:rsid w:val="00FC3D08"/>
    <w:rsid w:val="00FC3FD6"/>
    <w:rsid w:val="00FC5394"/>
    <w:rsid w:val="00FC579E"/>
    <w:rsid w:val="00FC5E90"/>
    <w:rsid w:val="00FC63F7"/>
    <w:rsid w:val="00FC6AAA"/>
    <w:rsid w:val="00FD0E62"/>
    <w:rsid w:val="00FD21CD"/>
    <w:rsid w:val="00FD4E88"/>
    <w:rsid w:val="00FD5DA8"/>
    <w:rsid w:val="00FD5DD3"/>
    <w:rsid w:val="00FD7CAD"/>
    <w:rsid w:val="00FE0167"/>
    <w:rsid w:val="00FE049C"/>
    <w:rsid w:val="00FE05B9"/>
    <w:rsid w:val="00FE2E4D"/>
    <w:rsid w:val="00FE4124"/>
    <w:rsid w:val="00FE48C6"/>
    <w:rsid w:val="00FE4C9E"/>
    <w:rsid w:val="00FE564D"/>
    <w:rsid w:val="00FE5AF9"/>
    <w:rsid w:val="00FE685E"/>
    <w:rsid w:val="00FE698E"/>
    <w:rsid w:val="00FE7488"/>
    <w:rsid w:val="00FF05CF"/>
    <w:rsid w:val="00FF0BD9"/>
    <w:rsid w:val="00FF17DD"/>
    <w:rsid w:val="00FF19B9"/>
    <w:rsid w:val="00FF1F45"/>
    <w:rsid w:val="00FF2236"/>
    <w:rsid w:val="00FF302E"/>
    <w:rsid w:val="00FF32B2"/>
    <w:rsid w:val="00FF3378"/>
    <w:rsid w:val="00FF3DCB"/>
    <w:rsid w:val="00FF3EEF"/>
    <w:rsid w:val="00FF7E32"/>
    <w:rsid w:val="01364696"/>
    <w:rsid w:val="01455210"/>
    <w:rsid w:val="014CF810"/>
    <w:rsid w:val="01567142"/>
    <w:rsid w:val="015F35D9"/>
    <w:rsid w:val="017341FD"/>
    <w:rsid w:val="01734ACF"/>
    <w:rsid w:val="01A66F97"/>
    <w:rsid w:val="01DEE373"/>
    <w:rsid w:val="023CE22F"/>
    <w:rsid w:val="024850FA"/>
    <w:rsid w:val="024F827C"/>
    <w:rsid w:val="0275D0F7"/>
    <w:rsid w:val="027AB335"/>
    <w:rsid w:val="0292C0F4"/>
    <w:rsid w:val="02F289A6"/>
    <w:rsid w:val="0318AD32"/>
    <w:rsid w:val="033E8018"/>
    <w:rsid w:val="034F1359"/>
    <w:rsid w:val="039FDEE5"/>
    <w:rsid w:val="03A81E10"/>
    <w:rsid w:val="03DB859F"/>
    <w:rsid w:val="03E835B5"/>
    <w:rsid w:val="040BD339"/>
    <w:rsid w:val="04340A0B"/>
    <w:rsid w:val="043BAA22"/>
    <w:rsid w:val="044EFA20"/>
    <w:rsid w:val="0471DA35"/>
    <w:rsid w:val="0472822E"/>
    <w:rsid w:val="048D42A9"/>
    <w:rsid w:val="04B3EC33"/>
    <w:rsid w:val="04DA9E9A"/>
    <w:rsid w:val="04EF20B1"/>
    <w:rsid w:val="04F6F29A"/>
    <w:rsid w:val="05312447"/>
    <w:rsid w:val="055B4778"/>
    <w:rsid w:val="0569A102"/>
    <w:rsid w:val="057250B0"/>
    <w:rsid w:val="058D34C2"/>
    <w:rsid w:val="059C518E"/>
    <w:rsid w:val="05B2C3E4"/>
    <w:rsid w:val="05C46181"/>
    <w:rsid w:val="05FF4057"/>
    <w:rsid w:val="068CD690"/>
    <w:rsid w:val="069AFE06"/>
    <w:rsid w:val="06E106E1"/>
    <w:rsid w:val="06F9D66A"/>
    <w:rsid w:val="07099D6D"/>
    <w:rsid w:val="0717E8B8"/>
    <w:rsid w:val="072DBA41"/>
    <w:rsid w:val="078B45C7"/>
    <w:rsid w:val="0795119A"/>
    <w:rsid w:val="07AF01DF"/>
    <w:rsid w:val="07E93D28"/>
    <w:rsid w:val="07FD304D"/>
    <w:rsid w:val="07FD611E"/>
    <w:rsid w:val="083F81BD"/>
    <w:rsid w:val="08588D4D"/>
    <w:rsid w:val="08A4CF70"/>
    <w:rsid w:val="08A58F09"/>
    <w:rsid w:val="08A6F46C"/>
    <w:rsid w:val="08C26BDF"/>
    <w:rsid w:val="0927E59D"/>
    <w:rsid w:val="096EBF0F"/>
    <w:rsid w:val="09754BF9"/>
    <w:rsid w:val="097DC7DF"/>
    <w:rsid w:val="098C8003"/>
    <w:rsid w:val="09B2C4CB"/>
    <w:rsid w:val="09C140EF"/>
    <w:rsid w:val="09C717D2"/>
    <w:rsid w:val="09E73AD7"/>
    <w:rsid w:val="0A6FF9F8"/>
    <w:rsid w:val="0ACEB1CC"/>
    <w:rsid w:val="0ADC6E09"/>
    <w:rsid w:val="0AE8C1DD"/>
    <w:rsid w:val="0AED479D"/>
    <w:rsid w:val="0AED9848"/>
    <w:rsid w:val="0B1A3223"/>
    <w:rsid w:val="0B27179F"/>
    <w:rsid w:val="0B29F427"/>
    <w:rsid w:val="0B44146C"/>
    <w:rsid w:val="0B580B87"/>
    <w:rsid w:val="0B669BF1"/>
    <w:rsid w:val="0B9B70F4"/>
    <w:rsid w:val="0BC6E264"/>
    <w:rsid w:val="0BF596E1"/>
    <w:rsid w:val="0C15425F"/>
    <w:rsid w:val="0C2AB47B"/>
    <w:rsid w:val="0C3455AA"/>
    <w:rsid w:val="0C368AF2"/>
    <w:rsid w:val="0C4D7C1B"/>
    <w:rsid w:val="0C69F3EB"/>
    <w:rsid w:val="0C77CFDD"/>
    <w:rsid w:val="0CAAC9B9"/>
    <w:rsid w:val="0D0AA665"/>
    <w:rsid w:val="0D3F98AE"/>
    <w:rsid w:val="0D40DACF"/>
    <w:rsid w:val="0D53E641"/>
    <w:rsid w:val="0D6813DD"/>
    <w:rsid w:val="0DB664E7"/>
    <w:rsid w:val="0DBFE154"/>
    <w:rsid w:val="0DC1366C"/>
    <w:rsid w:val="0DCD306B"/>
    <w:rsid w:val="0DE43449"/>
    <w:rsid w:val="0DE58688"/>
    <w:rsid w:val="0DE5F13A"/>
    <w:rsid w:val="0DEA881C"/>
    <w:rsid w:val="0E153A5C"/>
    <w:rsid w:val="0E1A7C35"/>
    <w:rsid w:val="0EB64B20"/>
    <w:rsid w:val="0EDD273B"/>
    <w:rsid w:val="0EF646B0"/>
    <w:rsid w:val="0F0B1600"/>
    <w:rsid w:val="0F364CAD"/>
    <w:rsid w:val="0F4F4E7D"/>
    <w:rsid w:val="0FA67834"/>
    <w:rsid w:val="0FA846CB"/>
    <w:rsid w:val="0FB2B01F"/>
    <w:rsid w:val="0FC8B785"/>
    <w:rsid w:val="0FDDD2C1"/>
    <w:rsid w:val="0FDF7993"/>
    <w:rsid w:val="0FE6F069"/>
    <w:rsid w:val="0FE83951"/>
    <w:rsid w:val="0FFC4A67"/>
    <w:rsid w:val="1040D493"/>
    <w:rsid w:val="105E2E0E"/>
    <w:rsid w:val="109165B4"/>
    <w:rsid w:val="1094B69B"/>
    <w:rsid w:val="10AB701F"/>
    <w:rsid w:val="10D71384"/>
    <w:rsid w:val="10DA31C7"/>
    <w:rsid w:val="111D40B2"/>
    <w:rsid w:val="113E8E1D"/>
    <w:rsid w:val="1149A8BF"/>
    <w:rsid w:val="1151C250"/>
    <w:rsid w:val="116B5795"/>
    <w:rsid w:val="11AF7B22"/>
    <w:rsid w:val="11E60C4F"/>
    <w:rsid w:val="11F4D738"/>
    <w:rsid w:val="1202BF1D"/>
    <w:rsid w:val="1213920C"/>
    <w:rsid w:val="121AF162"/>
    <w:rsid w:val="1224B405"/>
    <w:rsid w:val="1237B9B6"/>
    <w:rsid w:val="124443FA"/>
    <w:rsid w:val="12C74D83"/>
    <w:rsid w:val="12C9F72A"/>
    <w:rsid w:val="12CC37E6"/>
    <w:rsid w:val="12E86CD1"/>
    <w:rsid w:val="12F6EFD1"/>
    <w:rsid w:val="1311503B"/>
    <w:rsid w:val="133BAD5C"/>
    <w:rsid w:val="134B590D"/>
    <w:rsid w:val="1359E1D3"/>
    <w:rsid w:val="139996DA"/>
    <w:rsid w:val="140E438E"/>
    <w:rsid w:val="140F5809"/>
    <w:rsid w:val="1427E547"/>
    <w:rsid w:val="14562429"/>
    <w:rsid w:val="145FB403"/>
    <w:rsid w:val="146BCC52"/>
    <w:rsid w:val="148BBEA2"/>
    <w:rsid w:val="14A3804B"/>
    <w:rsid w:val="14C0E8B1"/>
    <w:rsid w:val="14C38350"/>
    <w:rsid w:val="14D80C82"/>
    <w:rsid w:val="14E80F3C"/>
    <w:rsid w:val="14EE37CA"/>
    <w:rsid w:val="1504DC68"/>
    <w:rsid w:val="15109A96"/>
    <w:rsid w:val="152CF2B8"/>
    <w:rsid w:val="152E2BD1"/>
    <w:rsid w:val="154D35D3"/>
    <w:rsid w:val="15A81B0F"/>
    <w:rsid w:val="15C1FF68"/>
    <w:rsid w:val="15F0AAE3"/>
    <w:rsid w:val="15F0B1D5"/>
    <w:rsid w:val="15F9CF92"/>
    <w:rsid w:val="164DC4EF"/>
    <w:rsid w:val="16572900"/>
    <w:rsid w:val="165AE53E"/>
    <w:rsid w:val="16ABA38F"/>
    <w:rsid w:val="16C86854"/>
    <w:rsid w:val="16D9F302"/>
    <w:rsid w:val="16F9BDE0"/>
    <w:rsid w:val="170EF778"/>
    <w:rsid w:val="1717B386"/>
    <w:rsid w:val="173859EF"/>
    <w:rsid w:val="174F9A21"/>
    <w:rsid w:val="17839186"/>
    <w:rsid w:val="1784B69C"/>
    <w:rsid w:val="17DAFD19"/>
    <w:rsid w:val="18075CDD"/>
    <w:rsid w:val="18228D7A"/>
    <w:rsid w:val="182EBA9B"/>
    <w:rsid w:val="18668169"/>
    <w:rsid w:val="187AFCE9"/>
    <w:rsid w:val="18BC6338"/>
    <w:rsid w:val="18D23816"/>
    <w:rsid w:val="19126C76"/>
    <w:rsid w:val="19140EE6"/>
    <w:rsid w:val="1998DBAA"/>
    <w:rsid w:val="19FBBA42"/>
    <w:rsid w:val="1A090702"/>
    <w:rsid w:val="1A096121"/>
    <w:rsid w:val="1A164B9D"/>
    <w:rsid w:val="1A5DDFAD"/>
    <w:rsid w:val="1AAB66DD"/>
    <w:rsid w:val="1AC1BA38"/>
    <w:rsid w:val="1AE2E019"/>
    <w:rsid w:val="1B363C62"/>
    <w:rsid w:val="1B5DC604"/>
    <w:rsid w:val="1B93AA1B"/>
    <w:rsid w:val="1B94D3DF"/>
    <w:rsid w:val="1BA15438"/>
    <w:rsid w:val="1BB457FB"/>
    <w:rsid w:val="1BDD6E28"/>
    <w:rsid w:val="1C0A6E18"/>
    <w:rsid w:val="1C517F66"/>
    <w:rsid w:val="1C6B1324"/>
    <w:rsid w:val="1C7B4E65"/>
    <w:rsid w:val="1C826ACC"/>
    <w:rsid w:val="1C88E7AC"/>
    <w:rsid w:val="1C910196"/>
    <w:rsid w:val="1CA07903"/>
    <w:rsid w:val="1D160200"/>
    <w:rsid w:val="1D23BE35"/>
    <w:rsid w:val="1D2D4550"/>
    <w:rsid w:val="1D942ED4"/>
    <w:rsid w:val="1DACB8CD"/>
    <w:rsid w:val="1E08353B"/>
    <w:rsid w:val="1E14DFB3"/>
    <w:rsid w:val="1E1BC8A4"/>
    <w:rsid w:val="1E224E93"/>
    <w:rsid w:val="1E50FDDA"/>
    <w:rsid w:val="1E5C5C7C"/>
    <w:rsid w:val="1E66D352"/>
    <w:rsid w:val="1EC00B4C"/>
    <w:rsid w:val="1EE65D5A"/>
    <w:rsid w:val="1EEA2F2F"/>
    <w:rsid w:val="1EF05E51"/>
    <w:rsid w:val="1F0ACF8B"/>
    <w:rsid w:val="1F12B60E"/>
    <w:rsid w:val="1F34A171"/>
    <w:rsid w:val="1F642A3D"/>
    <w:rsid w:val="1F68B3D0"/>
    <w:rsid w:val="1F7CAB8D"/>
    <w:rsid w:val="1F7DD2A5"/>
    <w:rsid w:val="1FA06FA5"/>
    <w:rsid w:val="1FDDA66D"/>
    <w:rsid w:val="20139349"/>
    <w:rsid w:val="20342354"/>
    <w:rsid w:val="203D7ADF"/>
    <w:rsid w:val="204663A1"/>
    <w:rsid w:val="20747371"/>
    <w:rsid w:val="20ADF603"/>
    <w:rsid w:val="20BF0BE5"/>
    <w:rsid w:val="20DEEB46"/>
    <w:rsid w:val="20DEF414"/>
    <w:rsid w:val="21186518"/>
    <w:rsid w:val="213D5363"/>
    <w:rsid w:val="216E8551"/>
    <w:rsid w:val="2188DF4D"/>
    <w:rsid w:val="21C251BF"/>
    <w:rsid w:val="21D01174"/>
    <w:rsid w:val="21EA3893"/>
    <w:rsid w:val="21F31243"/>
    <w:rsid w:val="2210132F"/>
    <w:rsid w:val="2218C534"/>
    <w:rsid w:val="221AEF00"/>
    <w:rsid w:val="22223DDF"/>
    <w:rsid w:val="22479906"/>
    <w:rsid w:val="224DB5F3"/>
    <w:rsid w:val="2257B773"/>
    <w:rsid w:val="226910BB"/>
    <w:rsid w:val="2284696D"/>
    <w:rsid w:val="22953635"/>
    <w:rsid w:val="22DA3783"/>
    <w:rsid w:val="22EB528D"/>
    <w:rsid w:val="235C3017"/>
    <w:rsid w:val="23647B57"/>
    <w:rsid w:val="2367529F"/>
    <w:rsid w:val="236D1404"/>
    <w:rsid w:val="23D8C7AF"/>
    <w:rsid w:val="23FDE6B6"/>
    <w:rsid w:val="240C388A"/>
    <w:rsid w:val="24434A2D"/>
    <w:rsid w:val="244C8DFA"/>
    <w:rsid w:val="2465483B"/>
    <w:rsid w:val="2478F43F"/>
    <w:rsid w:val="248404DF"/>
    <w:rsid w:val="24C98145"/>
    <w:rsid w:val="24EA3EC1"/>
    <w:rsid w:val="24FC8578"/>
    <w:rsid w:val="252C2591"/>
    <w:rsid w:val="258C5D2C"/>
    <w:rsid w:val="25B6BC93"/>
    <w:rsid w:val="2605461A"/>
    <w:rsid w:val="26155BDD"/>
    <w:rsid w:val="26160000"/>
    <w:rsid w:val="2633BB64"/>
    <w:rsid w:val="264BA1A9"/>
    <w:rsid w:val="2651E9C9"/>
    <w:rsid w:val="2672E764"/>
    <w:rsid w:val="26921655"/>
    <w:rsid w:val="26A6BA4B"/>
    <w:rsid w:val="26B69F59"/>
    <w:rsid w:val="26B82D94"/>
    <w:rsid w:val="26C6E3CA"/>
    <w:rsid w:val="26D962ED"/>
    <w:rsid w:val="26E75020"/>
    <w:rsid w:val="26F1F4E8"/>
    <w:rsid w:val="274EF53B"/>
    <w:rsid w:val="2765E8B5"/>
    <w:rsid w:val="277AA019"/>
    <w:rsid w:val="277D4FA6"/>
    <w:rsid w:val="27983FEA"/>
    <w:rsid w:val="279EB022"/>
    <w:rsid w:val="27D08910"/>
    <w:rsid w:val="27E3DF6E"/>
    <w:rsid w:val="284C0E35"/>
    <w:rsid w:val="28855453"/>
    <w:rsid w:val="28B14242"/>
    <w:rsid w:val="28B5ED69"/>
    <w:rsid w:val="28BF2A75"/>
    <w:rsid w:val="28D8D92F"/>
    <w:rsid w:val="28EC6341"/>
    <w:rsid w:val="28F4487B"/>
    <w:rsid w:val="29223DFC"/>
    <w:rsid w:val="2936B100"/>
    <w:rsid w:val="29405C3D"/>
    <w:rsid w:val="294352E4"/>
    <w:rsid w:val="29557323"/>
    <w:rsid w:val="29874818"/>
    <w:rsid w:val="29966846"/>
    <w:rsid w:val="29B1677C"/>
    <w:rsid w:val="2A26C312"/>
    <w:rsid w:val="2A395025"/>
    <w:rsid w:val="2A495D1F"/>
    <w:rsid w:val="2A51EF0C"/>
    <w:rsid w:val="2A632537"/>
    <w:rsid w:val="2A653AA0"/>
    <w:rsid w:val="2A69F77F"/>
    <w:rsid w:val="2A7820C6"/>
    <w:rsid w:val="2A7F2ABC"/>
    <w:rsid w:val="2AA1FF62"/>
    <w:rsid w:val="2ABE0E5D"/>
    <w:rsid w:val="2AC487D1"/>
    <w:rsid w:val="2ACB1134"/>
    <w:rsid w:val="2AD6FD6C"/>
    <w:rsid w:val="2AE805BB"/>
    <w:rsid w:val="2AEF6F33"/>
    <w:rsid w:val="2AFC8A9A"/>
    <w:rsid w:val="2B027395"/>
    <w:rsid w:val="2B100527"/>
    <w:rsid w:val="2B109BDE"/>
    <w:rsid w:val="2B29EFC3"/>
    <w:rsid w:val="2B30FB1C"/>
    <w:rsid w:val="2B7A7593"/>
    <w:rsid w:val="2B867352"/>
    <w:rsid w:val="2B8909AC"/>
    <w:rsid w:val="2B9763D8"/>
    <w:rsid w:val="2BD3645D"/>
    <w:rsid w:val="2BD80948"/>
    <w:rsid w:val="2C0098B8"/>
    <w:rsid w:val="2C2F4224"/>
    <w:rsid w:val="2C46F53F"/>
    <w:rsid w:val="2C7DFF35"/>
    <w:rsid w:val="2C865474"/>
    <w:rsid w:val="2C89FEFD"/>
    <w:rsid w:val="2D0B6A01"/>
    <w:rsid w:val="2D5B3CE3"/>
    <w:rsid w:val="2D623A40"/>
    <w:rsid w:val="2D9FC6EF"/>
    <w:rsid w:val="2DCD4181"/>
    <w:rsid w:val="2E09074C"/>
    <w:rsid w:val="2E139B2A"/>
    <w:rsid w:val="2E2B4864"/>
    <w:rsid w:val="2E33BB7D"/>
    <w:rsid w:val="2E3ADC77"/>
    <w:rsid w:val="2E4DDD14"/>
    <w:rsid w:val="2E7A75F9"/>
    <w:rsid w:val="2EB92CDF"/>
    <w:rsid w:val="2ED5E3F3"/>
    <w:rsid w:val="2F0F0FF8"/>
    <w:rsid w:val="2F1B4E48"/>
    <w:rsid w:val="2F36F1A9"/>
    <w:rsid w:val="2F440CA2"/>
    <w:rsid w:val="2F4C2170"/>
    <w:rsid w:val="2F7C04A0"/>
    <w:rsid w:val="2F8C1459"/>
    <w:rsid w:val="2F91B814"/>
    <w:rsid w:val="2FA37D5C"/>
    <w:rsid w:val="2FBC5629"/>
    <w:rsid w:val="2FE88F00"/>
    <w:rsid w:val="2FEA9E30"/>
    <w:rsid w:val="300DAFC7"/>
    <w:rsid w:val="301A3E6D"/>
    <w:rsid w:val="301F68EB"/>
    <w:rsid w:val="302DBED5"/>
    <w:rsid w:val="3047F4B6"/>
    <w:rsid w:val="3064A8F7"/>
    <w:rsid w:val="30822C61"/>
    <w:rsid w:val="30CF53A2"/>
    <w:rsid w:val="30DFBCD3"/>
    <w:rsid w:val="31008E0F"/>
    <w:rsid w:val="311123A7"/>
    <w:rsid w:val="3114F38C"/>
    <w:rsid w:val="311697B5"/>
    <w:rsid w:val="31326025"/>
    <w:rsid w:val="31420AE3"/>
    <w:rsid w:val="31473854"/>
    <w:rsid w:val="31474CAC"/>
    <w:rsid w:val="3175E1BE"/>
    <w:rsid w:val="31905F2F"/>
    <w:rsid w:val="3190DF78"/>
    <w:rsid w:val="31911598"/>
    <w:rsid w:val="31E5A8DA"/>
    <w:rsid w:val="31FB7BBB"/>
    <w:rsid w:val="32086648"/>
    <w:rsid w:val="321870C1"/>
    <w:rsid w:val="3219FF72"/>
    <w:rsid w:val="32531127"/>
    <w:rsid w:val="325BE5E4"/>
    <w:rsid w:val="327B43A1"/>
    <w:rsid w:val="32855FFA"/>
    <w:rsid w:val="32A516C1"/>
    <w:rsid w:val="32BA7835"/>
    <w:rsid w:val="32F558F7"/>
    <w:rsid w:val="3314407C"/>
    <w:rsid w:val="337C36D1"/>
    <w:rsid w:val="33899E10"/>
    <w:rsid w:val="339730D2"/>
    <w:rsid w:val="33AF22FB"/>
    <w:rsid w:val="34286F99"/>
    <w:rsid w:val="342F0DC2"/>
    <w:rsid w:val="34307A9C"/>
    <w:rsid w:val="343ED99E"/>
    <w:rsid w:val="345FF9DE"/>
    <w:rsid w:val="346D4B5A"/>
    <w:rsid w:val="3475A810"/>
    <w:rsid w:val="34AF5DC2"/>
    <w:rsid w:val="34DB64AA"/>
    <w:rsid w:val="34DC2126"/>
    <w:rsid w:val="34E91370"/>
    <w:rsid w:val="34F5E500"/>
    <w:rsid w:val="350461C8"/>
    <w:rsid w:val="35353A37"/>
    <w:rsid w:val="353EF282"/>
    <w:rsid w:val="3571F6FF"/>
    <w:rsid w:val="358E3588"/>
    <w:rsid w:val="35A8577B"/>
    <w:rsid w:val="35BD6657"/>
    <w:rsid w:val="35E38C01"/>
    <w:rsid w:val="35EDABF5"/>
    <w:rsid w:val="36204A5A"/>
    <w:rsid w:val="362A5929"/>
    <w:rsid w:val="3651C441"/>
    <w:rsid w:val="366577B5"/>
    <w:rsid w:val="367FC059"/>
    <w:rsid w:val="36DA0522"/>
    <w:rsid w:val="36DE0D29"/>
    <w:rsid w:val="370454F7"/>
    <w:rsid w:val="3713E70C"/>
    <w:rsid w:val="372FD847"/>
    <w:rsid w:val="37425317"/>
    <w:rsid w:val="3743D925"/>
    <w:rsid w:val="3745F959"/>
    <w:rsid w:val="3749280B"/>
    <w:rsid w:val="3781D11C"/>
    <w:rsid w:val="37C9F527"/>
    <w:rsid w:val="37E2B0F1"/>
    <w:rsid w:val="37F38937"/>
    <w:rsid w:val="3802E986"/>
    <w:rsid w:val="380BF56B"/>
    <w:rsid w:val="38150F21"/>
    <w:rsid w:val="384054C5"/>
    <w:rsid w:val="38487115"/>
    <w:rsid w:val="384D06E6"/>
    <w:rsid w:val="38690371"/>
    <w:rsid w:val="38792551"/>
    <w:rsid w:val="38865383"/>
    <w:rsid w:val="38BC0842"/>
    <w:rsid w:val="38C39972"/>
    <w:rsid w:val="38C59D53"/>
    <w:rsid w:val="38E37BA7"/>
    <w:rsid w:val="38E77905"/>
    <w:rsid w:val="38E9F61D"/>
    <w:rsid w:val="3987867B"/>
    <w:rsid w:val="399E426E"/>
    <w:rsid w:val="39E7173D"/>
    <w:rsid w:val="39E800AB"/>
    <w:rsid w:val="39EA70F9"/>
    <w:rsid w:val="3A242CB7"/>
    <w:rsid w:val="3A3D4EA8"/>
    <w:rsid w:val="3A8BFF87"/>
    <w:rsid w:val="3ABF59CF"/>
    <w:rsid w:val="3AC1694E"/>
    <w:rsid w:val="3AE4E580"/>
    <w:rsid w:val="3AEB9E54"/>
    <w:rsid w:val="3AEBCEA1"/>
    <w:rsid w:val="3AECF260"/>
    <w:rsid w:val="3B22EB37"/>
    <w:rsid w:val="3B236B0D"/>
    <w:rsid w:val="3B565621"/>
    <w:rsid w:val="3B5C4EF1"/>
    <w:rsid w:val="3B7EB69E"/>
    <w:rsid w:val="3BB32F11"/>
    <w:rsid w:val="3BE14615"/>
    <w:rsid w:val="3C06AB70"/>
    <w:rsid w:val="3C13F30D"/>
    <w:rsid w:val="3C2334D9"/>
    <w:rsid w:val="3C398D25"/>
    <w:rsid w:val="3C552DE1"/>
    <w:rsid w:val="3C875FB9"/>
    <w:rsid w:val="3CAD6FFA"/>
    <w:rsid w:val="3D15A27B"/>
    <w:rsid w:val="3D2F589E"/>
    <w:rsid w:val="3D69A828"/>
    <w:rsid w:val="3D8B51C5"/>
    <w:rsid w:val="3DB5B7F9"/>
    <w:rsid w:val="3DE594AF"/>
    <w:rsid w:val="3E3850B3"/>
    <w:rsid w:val="3E63EFE7"/>
    <w:rsid w:val="3E8DCCDD"/>
    <w:rsid w:val="3E98D0AF"/>
    <w:rsid w:val="3EAA1596"/>
    <w:rsid w:val="3EAB2983"/>
    <w:rsid w:val="3EB086A9"/>
    <w:rsid w:val="3ECE1ED6"/>
    <w:rsid w:val="3EDB7C59"/>
    <w:rsid w:val="3F1B44B7"/>
    <w:rsid w:val="3F241A0D"/>
    <w:rsid w:val="3F55B3BE"/>
    <w:rsid w:val="3F5DE67F"/>
    <w:rsid w:val="3F83BB65"/>
    <w:rsid w:val="3F947C3D"/>
    <w:rsid w:val="3F9E53E7"/>
    <w:rsid w:val="3FA04D3C"/>
    <w:rsid w:val="401BF91D"/>
    <w:rsid w:val="409332F2"/>
    <w:rsid w:val="40B1097B"/>
    <w:rsid w:val="40B92126"/>
    <w:rsid w:val="41123F0C"/>
    <w:rsid w:val="4129A67C"/>
    <w:rsid w:val="4134D325"/>
    <w:rsid w:val="41364174"/>
    <w:rsid w:val="4138D329"/>
    <w:rsid w:val="4158734A"/>
    <w:rsid w:val="415A9A54"/>
    <w:rsid w:val="417FC41D"/>
    <w:rsid w:val="41952F8F"/>
    <w:rsid w:val="41C2C93C"/>
    <w:rsid w:val="41F4C24C"/>
    <w:rsid w:val="41FDD4D1"/>
    <w:rsid w:val="42222195"/>
    <w:rsid w:val="4243797C"/>
    <w:rsid w:val="4253F9D3"/>
    <w:rsid w:val="426E7445"/>
    <w:rsid w:val="428EBC85"/>
    <w:rsid w:val="42B73C3E"/>
    <w:rsid w:val="42F08B10"/>
    <w:rsid w:val="42FCCC24"/>
    <w:rsid w:val="430BC996"/>
    <w:rsid w:val="4350516D"/>
    <w:rsid w:val="4357E2F6"/>
    <w:rsid w:val="4369C63E"/>
    <w:rsid w:val="4373D083"/>
    <w:rsid w:val="43CA2275"/>
    <w:rsid w:val="43E8877B"/>
    <w:rsid w:val="43F9D42B"/>
    <w:rsid w:val="43FF0A21"/>
    <w:rsid w:val="440D6ABC"/>
    <w:rsid w:val="443243C7"/>
    <w:rsid w:val="44871E1C"/>
    <w:rsid w:val="448DFF81"/>
    <w:rsid w:val="44953AF3"/>
    <w:rsid w:val="44A53457"/>
    <w:rsid w:val="44C6A0AB"/>
    <w:rsid w:val="44D6511A"/>
    <w:rsid w:val="44D8C60E"/>
    <w:rsid w:val="44F05DEC"/>
    <w:rsid w:val="44F3F648"/>
    <w:rsid w:val="451A615C"/>
    <w:rsid w:val="452B2BA9"/>
    <w:rsid w:val="452FE56F"/>
    <w:rsid w:val="4534CEF8"/>
    <w:rsid w:val="4555AF03"/>
    <w:rsid w:val="45632744"/>
    <w:rsid w:val="459D416F"/>
    <w:rsid w:val="45B8084B"/>
    <w:rsid w:val="45C2B507"/>
    <w:rsid w:val="45FE25E1"/>
    <w:rsid w:val="4605A9F7"/>
    <w:rsid w:val="462BB8CC"/>
    <w:rsid w:val="462DF522"/>
    <w:rsid w:val="4649D129"/>
    <w:rsid w:val="468B3CE4"/>
    <w:rsid w:val="46A2B508"/>
    <w:rsid w:val="46B45159"/>
    <w:rsid w:val="46B797FA"/>
    <w:rsid w:val="46C404C2"/>
    <w:rsid w:val="46D68477"/>
    <w:rsid w:val="4713B9E7"/>
    <w:rsid w:val="47710F07"/>
    <w:rsid w:val="4772EF65"/>
    <w:rsid w:val="477B4258"/>
    <w:rsid w:val="477E8EFA"/>
    <w:rsid w:val="4793F0C1"/>
    <w:rsid w:val="47A2DB1E"/>
    <w:rsid w:val="47B26CE0"/>
    <w:rsid w:val="48110F07"/>
    <w:rsid w:val="484C8098"/>
    <w:rsid w:val="487E885A"/>
    <w:rsid w:val="48A538CC"/>
    <w:rsid w:val="48B04C72"/>
    <w:rsid w:val="48CE7D76"/>
    <w:rsid w:val="48DB68F6"/>
    <w:rsid w:val="48E038FE"/>
    <w:rsid w:val="48EDD580"/>
    <w:rsid w:val="4927AE64"/>
    <w:rsid w:val="493CBA56"/>
    <w:rsid w:val="49466634"/>
    <w:rsid w:val="494C5EB7"/>
    <w:rsid w:val="494D72D9"/>
    <w:rsid w:val="4990F891"/>
    <w:rsid w:val="49B2A420"/>
    <w:rsid w:val="49E05BD6"/>
    <w:rsid w:val="49E089D3"/>
    <w:rsid w:val="4A027A24"/>
    <w:rsid w:val="4A239AE9"/>
    <w:rsid w:val="4A2640CC"/>
    <w:rsid w:val="4A26764B"/>
    <w:rsid w:val="4A4D28FB"/>
    <w:rsid w:val="4A992CCA"/>
    <w:rsid w:val="4AE3297C"/>
    <w:rsid w:val="4AFB9477"/>
    <w:rsid w:val="4AFF006E"/>
    <w:rsid w:val="4B04EFD8"/>
    <w:rsid w:val="4B1A9AC5"/>
    <w:rsid w:val="4B31626B"/>
    <w:rsid w:val="4B379F84"/>
    <w:rsid w:val="4B4F39CE"/>
    <w:rsid w:val="4B59262F"/>
    <w:rsid w:val="4B732A0C"/>
    <w:rsid w:val="4BBB5626"/>
    <w:rsid w:val="4BC9A7D2"/>
    <w:rsid w:val="4BCFF815"/>
    <w:rsid w:val="4BD95FF2"/>
    <w:rsid w:val="4BE61F37"/>
    <w:rsid w:val="4BF052C0"/>
    <w:rsid w:val="4C0AB132"/>
    <w:rsid w:val="4C2C6E0D"/>
    <w:rsid w:val="4C5380EA"/>
    <w:rsid w:val="4C5A14FE"/>
    <w:rsid w:val="4C74BD20"/>
    <w:rsid w:val="4C779039"/>
    <w:rsid w:val="4CBC9915"/>
    <w:rsid w:val="4CC419FD"/>
    <w:rsid w:val="4CF5E706"/>
    <w:rsid w:val="4D47E026"/>
    <w:rsid w:val="4D48FDC6"/>
    <w:rsid w:val="4D57B328"/>
    <w:rsid w:val="4D8327E3"/>
    <w:rsid w:val="4DA2AEEC"/>
    <w:rsid w:val="4DD3C302"/>
    <w:rsid w:val="4DDDCA86"/>
    <w:rsid w:val="4DF72993"/>
    <w:rsid w:val="4DFC50CD"/>
    <w:rsid w:val="4E1D6762"/>
    <w:rsid w:val="4E259D7A"/>
    <w:rsid w:val="4E3CAEA7"/>
    <w:rsid w:val="4E411A03"/>
    <w:rsid w:val="4E7DBC63"/>
    <w:rsid w:val="4EAE5DBC"/>
    <w:rsid w:val="4ECD8078"/>
    <w:rsid w:val="4EE96C2B"/>
    <w:rsid w:val="4EED9AF9"/>
    <w:rsid w:val="4EFD16C3"/>
    <w:rsid w:val="4F1A2F1B"/>
    <w:rsid w:val="4F1C17A3"/>
    <w:rsid w:val="4F4F4DFF"/>
    <w:rsid w:val="4F514738"/>
    <w:rsid w:val="4F685CFB"/>
    <w:rsid w:val="4FB8B729"/>
    <w:rsid w:val="4FC08063"/>
    <w:rsid w:val="4FC3A93B"/>
    <w:rsid w:val="4FE841E2"/>
    <w:rsid w:val="4FF97B2A"/>
    <w:rsid w:val="4FFD1E70"/>
    <w:rsid w:val="503188BA"/>
    <w:rsid w:val="503AD9D6"/>
    <w:rsid w:val="50712A37"/>
    <w:rsid w:val="5085F971"/>
    <w:rsid w:val="50A4986A"/>
    <w:rsid w:val="50B6EF9B"/>
    <w:rsid w:val="50BA7E7C"/>
    <w:rsid w:val="50DC1D6F"/>
    <w:rsid w:val="50F09A7C"/>
    <w:rsid w:val="511DD896"/>
    <w:rsid w:val="51370C88"/>
    <w:rsid w:val="516C5995"/>
    <w:rsid w:val="517BEF45"/>
    <w:rsid w:val="519A80A3"/>
    <w:rsid w:val="51A00B82"/>
    <w:rsid w:val="51B4E9FF"/>
    <w:rsid w:val="51BDCC9F"/>
    <w:rsid w:val="51CEEE03"/>
    <w:rsid w:val="51CF7425"/>
    <w:rsid w:val="51E3D7C6"/>
    <w:rsid w:val="51E6E770"/>
    <w:rsid w:val="52005573"/>
    <w:rsid w:val="52499681"/>
    <w:rsid w:val="527A42BE"/>
    <w:rsid w:val="528E7F70"/>
    <w:rsid w:val="52B136AA"/>
    <w:rsid w:val="52BB2943"/>
    <w:rsid w:val="52C5408D"/>
    <w:rsid w:val="52C76127"/>
    <w:rsid w:val="52D67561"/>
    <w:rsid w:val="52FD987F"/>
    <w:rsid w:val="53192ECC"/>
    <w:rsid w:val="5320A1AA"/>
    <w:rsid w:val="533C809C"/>
    <w:rsid w:val="53BB94FA"/>
    <w:rsid w:val="5401C234"/>
    <w:rsid w:val="5416F4A9"/>
    <w:rsid w:val="541DDB0D"/>
    <w:rsid w:val="5431D2DA"/>
    <w:rsid w:val="544E23B7"/>
    <w:rsid w:val="5460137E"/>
    <w:rsid w:val="54AFE794"/>
    <w:rsid w:val="54BEBFCE"/>
    <w:rsid w:val="54EE5B33"/>
    <w:rsid w:val="5510F633"/>
    <w:rsid w:val="55209462"/>
    <w:rsid w:val="55359EBE"/>
    <w:rsid w:val="553F432D"/>
    <w:rsid w:val="5561F5A4"/>
    <w:rsid w:val="55629E55"/>
    <w:rsid w:val="55660575"/>
    <w:rsid w:val="5587B479"/>
    <w:rsid w:val="55D0F8C3"/>
    <w:rsid w:val="55D2146A"/>
    <w:rsid w:val="56123C7C"/>
    <w:rsid w:val="564C76CF"/>
    <w:rsid w:val="565F0C77"/>
    <w:rsid w:val="56722D4D"/>
    <w:rsid w:val="569FCD49"/>
    <w:rsid w:val="56A9A5A5"/>
    <w:rsid w:val="56B00BDB"/>
    <w:rsid w:val="56C15C8A"/>
    <w:rsid w:val="56D96B9C"/>
    <w:rsid w:val="56E3B3BA"/>
    <w:rsid w:val="57007313"/>
    <w:rsid w:val="575195ED"/>
    <w:rsid w:val="575D51E0"/>
    <w:rsid w:val="576F7956"/>
    <w:rsid w:val="57906407"/>
    <w:rsid w:val="57B3D8D7"/>
    <w:rsid w:val="57B8A8D1"/>
    <w:rsid w:val="57BBFA1E"/>
    <w:rsid w:val="580ADFD8"/>
    <w:rsid w:val="582719A2"/>
    <w:rsid w:val="5836B8A2"/>
    <w:rsid w:val="5862BC17"/>
    <w:rsid w:val="586BE235"/>
    <w:rsid w:val="5879C6D4"/>
    <w:rsid w:val="5924DA80"/>
    <w:rsid w:val="592C4BFE"/>
    <w:rsid w:val="593439A5"/>
    <w:rsid w:val="5938EDE9"/>
    <w:rsid w:val="59442BEA"/>
    <w:rsid w:val="59475DE5"/>
    <w:rsid w:val="5970F54F"/>
    <w:rsid w:val="59FA6FE6"/>
    <w:rsid w:val="5A0D1A66"/>
    <w:rsid w:val="5A1D1370"/>
    <w:rsid w:val="5A2F6CDA"/>
    <w:rsid w:val="5A3DC819"/>
    <w:rsid w:val="5A6ECF3D"/>
    <w:rsid w:val="5A725DE2"/>
    <w:rsid w:val="5A804CB2"/>
    <w:rsid w:val="5A94CA7B"/>
    <w:rsid w:val="5A9C5049"/>
    <w:rsid w:val="5AB90F51"/>
    <w:rsid w:val="5ABE7376"/>
    <w:rsid w:val="5B05153C"/>
    <w:rsid w:val="5B0595A6"/>
    <w:rsid w:val="5B1E1F65"/>
    <w:rsid w:val="5B21E2D1"/>
    <w:rsid w:val="5B3F63A1"/>
    <w:rsid w:val="5B94A18B"/>
    <w:rsid w:val="5BC8087A"/>
    <w:rsid w:val="5BE9CD66"/>
    <w:rsid w:val="5C0643DE"/>
    <w:rsid w:val="5C26B849"/>
    <w:rsid w:val="5C50C2BE"/>
    <w:rsid w:val="5C5F2FD2"/>
    <w:rsid w:val="5C81802D"/>
    <w:rsid w:val="5C8A83FA"/>
    <w:rsid w:val="5CA65BB3"/>
    <w:rsid w:val="5CAB6A19"/>
    <w:rsid w:val="5CCB9937"/>
    <w:rsid w:val="5CF90877"/>
    <w:rsid w:val="5CFCAB2A"/>
    <w:rsid w:val="5CFE7968"/>
    <w:rsid w:val="5D1B2AD5"/>
    <w:rsid w:val="5D216181"/>
    <w:rsid w:val="5D288D8E"/>
    <w:rsid w:val="5D3D344D"/>
    <w:rsid w:val="5D3FE2B1"/>
    <w:rsid w:val="5D53CF13"/>
    <w:rsid w:val="5D612BDF"/>
    <w:rsid w:val="5D6329AC"/>
    <w:rsid w:val="5DAB98F7"/>
    <w:rsid w:val="5DB1A0AB"/>
    <w:rsid w:val="5DBB4D8A"/>
    <w:rsid w:val="5DECE352"/>
    <w:rsid w:val="5DF6E773"/>
    <w:rsid w:val="5E2DFA51"/>
    <w:rsid w:val="5E5A83A2"/>
    <w:rsid w:val="5E645782"/>
    <w:rsid w:val="5E769011"/>
    <w:rsid w:val="5E805447"/>
    <w:rsid w:val="5E99A614"/>
    <w:rsid w:val="5EB49448"/>
    <w:rsid w:val="5EE11391"/>
    <w:rsid w:val="5F21D482"/>
    <w:rsid w:val="5F786B10"/>
    <w:rsid w:val="5F95DE0A"/>
    <w:rsid w:val="5FAD9B41"/>
    <w:rsid w:val="6007EE58"/>
    <w:rsid w:val="601FC7D0"/>
    <w:rsid w:val="60397C04"/>
    <w:rsid w:val="60592BFC"/>
    <w:rsid w:val="6065E56B"/>
    <w:rsid w:val="606FB734"/>
    <w:rsid w:val="6089C700"/>
    <w:rsid w:val="61053F0F"/>
    <w:rsid w:val="611D3C08"/>
    <w:rsid w:val="611F62B5"/>
    <w:rsid w:val="613A5398"/>
    <w:rsid w:val="6145A581"/>
    <w:rsid w:val="616918FA"/>
    <w:rsid w:val="61A6240C"/>
    <w:rsid w:val="61D0A560"/>
    <w:rsid w:val="61D454DC"/>
    <w:rsid w:val="61FC4F43"/>
    <w:rsid w:val="6221C7BE"/>
    <w:rsid w:val="622A0A22"/>
    <w:rsid w:val="623CF26C"/>
    <w:rsid w:val="6286174D"/>
    <w:rsid w:val="6297EDB7"/>
    <w:rsid w:val="62CCE2D1"/>
    <w:rsid w:val="62E65B53"/>
    <w:rsid w:val="62F11EAE"/>
    <w:rsid w:val="62F388E8"/>
    <w:rsid w:val="631B5C79"/>
    <w:rsid w:val="6334764E"/>
    <w:rsid w:val="633D4D54"/>
    <w:rsid w:val="634429B7"/>
    <w:rsid w:val="637F686E"/>
    <w:rsid w:val="63C44586"/>
    <w:rsid w:val="63C5ACFC"/>
    <w:rsid w:val="63FE0C9B"/>
    <w:rsid w:val="640C5823"/>
    <w:rsid w:val="64403BC5"/>
    <w:rsid w:val="64599AA7"/>
    <w:rsid w:val="6490EDD4"/>
    <w:rsid w:val="64CCFB38"/>
    <w:rsid w:val="6565C60D"/>
    <w:rsid w:val="65A2BC64"/>
    <w:rsid w:val="65C56EB7"/>
    <w:rsid w:val="66155440"/>
    <w:rsid w:val="662007D0"/>
    <w:rsid w:val="6687513D"/>
    <w:rsid w:val="669862CE"/>
    <w:rsid w:val="66BED905"/>
    <w:rsid w:val="66C59966"/>
    <w:rsid w:val="66C72890"/>
    <w:rsid w:val="66E373D3"/>
    <w:rsid w:val="6705CCD2"/>
    <w:rsid w:val="671A2B91"/>
    <w:rsid w:val="675EF8A8"/>
    <w:rsid w:val="6762E8F5"/>
    <w:rsid w:val="676C53A5"/>
    <w:rsid w:val="67E0E34F"/>
    <w:rsid w:val="67F277B1"/>
    <w:rsid w:val="68343FEE"/>
    <w:rsid w:val="6870CF8F"/>
    <w:rsid w:val="6878E920"/>
    <w:rsid w:val="6885BDC6"/>
    <w:rsid w:val="688E4441"/>
    <w:rsid w:val="68A05E91"/>
    <w:rsid w:val="68BFACBD"/>
    <w:rsid w:val="68C01A6E"/>
    <w:rsid w:val="68C363E9"/>
    <w:rsid w:val="68C99874"/>
    <w:rsid w:val="68E1D6C0"/>
    <w:rsid w:val="68EB8824"/>
    <w:rsid w:val="690E187B"/>
    <w:rsid w:val="6946BB6E"/>
    <w:rsid w:val="6955DE85"/>
    <w:rsid w:val="6956C2C0"/>
    <w:rsid w:val="695D3BD4"/>
    <w:rsid w:val="69681706"/>
    <w:rsid w:val="6981B42F"/>
    <w:rsid w:val="6984CE8C"/>
    <w:rsid w:val="699B0611"/>
    <w:rsid w:val="69ADEB23"/>
    <w:rsid w:val="69BA51AD"/>
    <w:rsid w:val="69CD2445"/>
    <w:rsid w:val="6A17436F"/>
    <w:rsid w:val="6A42399C"/>
    <w:rsid w:val="6A44C45B"/>
    <w:rsid w:val="6ADE64B9"/>
    <w:rsid w:val="6AE142D5"/>
    <w:rsid w:val="6AF874BD"/>
    <w:rsid w:val="6B1D8DF1"/>
    <w:rsid w:val="6B9A862F"/>
    <w:rsid w:val="6BB9BBDE"/>
    <w:rsid w:val="6BC67384"/>
    <w:rsid w:val="6BED0E7A"/>
    <w:rsid w:val="6BF3B5C1"/>
    <w:rsid w:val="6C13BDFD"/>
    <w:rsid w:val="6C8D0975"/>
    <w:rsid w:val="6C9400DC"/>
    <w:rsid w:val="6CDB32BF"/>
    <w:rsid w:val="6CE0113B"/>
    <w:rsid w:val="6CFAABBE"/>
    <w:rsid w:val="6CFD7B7A"/>
    <w:rsid w:val="6D1FB8B2"/>
    <w:rsid w:val="6D72E5B2"/>
    <w:rsid w:val="6D8178B6"/>
    <w:rsid w:val="6D8F2A53"/>
    <w:rsid w:val="6D9B8D29"/>
    <w:rsid w:val="6DACF90C"/>
    <w:rsid w:val="6DAD180D"/>
    <w:rsid w:val="6DF04265"/>
    <w:rsid w:val="6DF95807"/>
    <w:rsid w:val="6E04FB0A"/>
    <w:rsid w:val="6E21035C"/>
    <w:rsid w:val="6E24E308"/>
    <w:rsid w:val="6E398D27"/>
    <w:rsid w:val="6E83F96E"/>
    <w:rsid w:val="6E9D5499"/>
    <w:rsid w:val="6F09D1D3"/>
    <w:rsid w:val="6F4C0197"/>
    <w:rsid w:val="6F86B03D"/>
    <w:rsid w:val="6F990322"/>
    <w:rsid w:val="6FC4ECCB"/>
    <w:rsid w:val="6FEDFAF7"/>
    <w:rsid w:val="6FF3270A"/>
    <w:rsid w:val="701596AB"/>
    <w:rsid w:val="704481F1"/>
    <w:rsid w:val="705C1A99"/>
    <w:rsid w:val="709B878B"/>
    <w:rsid w:val="70AC128B"/>
    <w:rsid w:val="70BF5BF9"/>
    <w:rsid w:val="70C13C6A"/>
    <w:rsid w:val="70C85DB7"/>
    <w:rsid w:val="711C90F3"/>
    <w:rsid w:val="712DE04D"/>
    <w:rsid w:val="7133A8DB"/>
    <w:rsid w:val="713E5C5B"/>
    <w:rsid w:val="716E8A84"/>
    <w:rsid w:val="7170C6EC"/>
    <w:rsid w:val="71890800"/>
    <w:rsid w:val="71B1F5D2"/>
    <w:rsid w:val="71EF21A0"/>
    <w:rsid w:val="720ED419"/>
    <w:rsid w:val="72177E64"/>
    <w:rsid w:val="724E83BF"/>
    <w:rsid w:val="724F1942"/>
    <w:rsid w:val="7259069B"/>
    <w:rsid w:val="726479E4"/>
    <w:rsid w:val="726FD2D8"/>
    <w:rsid w:val="727BBDB0"/>
    <w:rsid w:val="72A11AC5"/>
    <w:rsid w:val="72C21837"/>
    <w:rsid w:val="72D5E047"/>
    <w:rsid w:val="72EDC5C0"/>
    <w:rsid w:val="73184804"/>
    <w:rsid w:val="73A77FA7"/>
    <w:rsid w:val="73C46814"/>
    <w:rsid w:val="73D203EF"/>
    <w:rsid w:val="740176C8"/>
    <w:rsid w:val="74050D69"/>
    <w:rsid w:val="747316C4"/>
    <w:rsid w:val="74A0CA8F"/>
    <w:rsid w:val="74AE21B6"/>
    <w:rsid w:val="74B40D7C"/>
    <w:rsid w:val="74CC5391"/>
    <w:rsid w:val="74FA0047"/>
    <w:rsid w:val="751D278F"/>
    <w:rsid w:val="753EB491"/>
    <w:rsid w:val="75AC686A"/>
    <w:rsid w:val="75B3CDF4"/>
    <w:rsid w:val="760D9716"/>
    <w:rsid w:val="764C5DC5"/>
    <w:rsid w:val="76618EC3"/>
    <w:rsid w:val="7662799F"/>
    <w:rsid w:val="766EA973"/>
    <w:rsid w:val="7673378F"/>
    <w:rsid w:val="76B1AABB"/>
    <w:rsid w:val="76BED9BC"/>
    <w:rsid w:val="76D65104"/>
    <w:rsid w:val="7706DB81"/>
    <w:rsid w:val="772A7B14"/>
    <w:rsid w:val="77460D0B"/>
    <w:rsid w:val="774A4FAF"/>
    <w:rsid w:val="7755D64A"/>
    <w:rsid w:val="777876D2"/>
    <w:rsid w:val="77913715"/>
    <w:rsid w:val="77935A5B"/>
    <w:rsid w:val="77AE7881"/>
    <w:rsid w:val="77C6A39C"/>
    <w:rsid w:val="77E02869"/>
    <w:rsid w:val="77F22F26"/>
    <w:rsid w:val="77FBC209"/>
    <w:rsid w:val="77FC18D2"/>
    <w:rsid w:val="78078CB0"/>
    <w:rsid w:val="7811B810"/>
    <w:rsid w:val="781891BB"/>
    <w:rsid w:val="787A1D41"/>
    <w:rsid w:val="787A6155"/>
    <w:rsid w:val="78A557EF"/>
    <w:rsid w:val="78D05138"/>
    <w:rsid w:val="78DA9839"/>
    <w:rsid w:val="790211FE"/>
    <w:rsid w:val="79205105"/>
    <w:rsid w:val="79478A73"/>
    <w:rsid w:val="795365A7"/>
    <w:rsid w:val="795DF498"/>
    <w:rsid w:val="79618513"/>
    <w:rsid w:val="79812125"/>
    <w:rsid w:val="79826B89"/>
    <w:rsid w:val="79F66F9B"/>
    <w:rsid w:val="7A08D074"/>
    <w:rsid w:val="7A1C0CBC"/>
    <w:rsid w:val="7A27D7B1"/>
    <w:rsid w:val="7A328620"/>
    <w:rsid w:val="7A4744D6"/>
    <w:rsid w:val="7A5258D3"/>
    <w:rsid w:val="7A5B7EF1"/>
    <w:rsid w:val="7A5F4A9A"/>
    <w:rsid w:val="7AEA4FA7"/>
    <w:rsid w:val="7AF744A2"/>
    <w:rsid w:val="7AFFB3FB"/>
    <w:rsid w:val="7B4B99F8"/>
    <w:rsid w:val="7B65D09A"/>
    <w:rsid w:val="7B9722DF"/>
    <w:rsid w:val="7B9EDF59"/>
    <w:rsid w:val="7BA21B32"/>
    <w:rsid w:val="7BB44735"/>
    <w:rsid w:val="7C27FBAD"/>
    <w:rsid w:val="7C346B75"/>
    <w:rsid w:val="7C6232FE"/>
    <w:rsid w:val="7C92DB1C"/>
    <w:rsid w:val="7CB41C1B"/>
    <w:rsid w:val="7CF1249C"/>
    <w:rsid w:val="7CF19C3C"/>
    <w:rsid w:val="7D1B68A2"/>
    <w:rsid w:val="7D213FDE"/>
    <w:rsid w:val="7D276868"/>
    <w:rsid w:val="7D3A4BF8"/>
    <w:rsid w:val="7DD3DDD6"/>
    <w:rsid w:val="7DFC64C5"/>
    <w:rsid w:val="7E3F5FE8"/>
    <w:rsid w:val="7E423C2B"/>
    <w:rsid w:val="7E629B13"/>
    <w:rsid w:val="7E799F3A"/>
    <w:rsid w:val="7E8178C5"/>
    <w:rsid w:val="7EB12B75"/>
    <w:rsid w:val="7EC2D10B"/>
    <w:rsid w:val="7EEE1D2D"/>
    <w:rsid w:val="7EFEBD72"/>
    <w:rsid w:val="7EFF49B4"/>
    <w:rsid w:val="7F1FA894"/>
    <w:rsid w:val="7F37D193"/>
    <w:rsid w:val="7F4D47E3"/>
    <w:rsid w:val="7F810F2F"/>
    <w:rsid w:val="7F8D5197"/>
    <w:rsid w:val="7F9751D1"/>
    <w:rsid w:val="7FA66769"/>
    <w:rsid w:val="7FB5F288"/>
    <w:rsid w:val="7FFB5E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8F0D"/>
  <w15:docId w15:val="{A028B6FC-357F-48F9-838C-E43626E9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0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252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03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03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A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3D6E49"/>
    <w:rPr>
      <w:sz w:val="16"/>
      <w:szCs w:val="16"/>
    </w:rPr>
  </w:style>
  <w:style w:type="paragraph" w:styleId="CommentText">
    <w:name w:val="annotation text"/>
    <w:basedOn w:val="Normal"/>
    <w:link w:val="CommentTextChar"/>
    <w:unhideWhenUsed/>
    <w:rsid w:val="003D6E49"/>
    <w:pPr>
      <w:spacing w:line="240" w:lineRule="auto"/>
    </w:pPr>
    <w:rPr>
      <w:sz w:val="20"/>
      <w:szCs w:val="20"/>
    </w:rPr>
  </w:style>
  <w:style w:type="character" w:customStyle="1" w:styleId="CommentTextChar">
    <w:name w:val="Comment Text Char"/>
    <w:basedOn w:val="DefaultParagraphFont"/>
    <w:link w:val="CommentText"/>
    <w:rsid w:val="003D6E49"/>
    <w:rPr>
      <w:sz w:val="20"/>
      <w:szCs w:val="20"/>
    </w:rPr>
  </w:style>
  <w:style w:type="paragraph" w:styleId="CommentSubject">
    <w:name w:val="annotation subject"/>
    <w:basedOn w:val="CommentText"/>
    <w:next w:val="CommentText"/>
    <w:link w:val="CommentSubjectChar"/>
    <w:uiPriority w:val="99"/>
    <w:semiHidden/>
    <w:unhideWhenUsed/>
    <w:rsid w:val="003D6E49"/>
    <w:rPr>
      <w:b/>
      <w:bCs/>
    </w:rPr>
  </w:style>
  <w:style w:type="character" w:customStyle="1" w:styleId="CommentSubjectChar">
    <w:name w:val="Comment Subject Char"/>
    <w:basedOn w:val="CommentTextChar"/>
    <w:link w:val="CommentSubject"/>
    <w:uiPriority w:val="99"/>
    <w:semiHidden/>
    <w:rsid w:val="003D6E49"/>
    <w:rPr>
      <w:b/>
      <w:bCs/>
      <w:sz w:val="20"/>
      <w:szCs w:val="20"/>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E158EC"/>
    <w:pPr>
      <w:spacing w:after="0" w:line="240" w:lineRule="auto"/>
    </w:pPr>
    <w:rPr>
      <w:rFonts w:ascii="Arial" w:eastAsia="SimSun" w:hAnsi="Arial" w:cs="Times New Roman"/>
      <w:sz w:val="16"/>
      <w:szCs w:val="20"/>
      <w:lang w:eastAsia="zh-CN"/>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E158EC"/>
    <w:rPr>
      <w:rFonts w:ascii="Arial" w:eastAsia="SimSun" w:hAnsi="Arial" w:cs="Times New Roman"/>
      <w:sz w:val="16"/>
      <w:szCs w:val="20"/>
      <w:lang w:eastAsia="zh-CN"/>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tr,ftref,FR"/>
    <w:uiPriority w:val="99"/>
    <w:qFormat/>
    <w:rsid w:val="00E158EC"/>
    <w:rPr>
      <w:sz w:val="22"/>
      <w:vertAlign w:val="superscript"/>
    </w:rPr>
  </w:style>
  <w:style w:type="character" w:styleId="Hyperlink">
    <w:name w:val="Hyperlink"/>
    <w:uiPriority w:val="99"/>
    <w:rsid w:val="00E158EC"/>
    <w:rPr>
      <w:color w:val="auto"/>
      <w:u w:val="single"/>
    </w:rPr>
  </w:style>
  <w:style w:type="paragraph" w:styleId="EndnoteText">
    <w:name w:val="endnote text"/>
    <w:basedOn w:val="Normal"/>
    <w:link w:val="EndnoteTextChar"/>
    <w:uiPriority w:val="99"/>
    <w:semiHidden/>
    <w:unhideWhenUsed/>
    <w:rsid w:val="006B3E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3E16"/>
    <w:rPr>
      <w:sz w:val="20"/>
      <w:szCs w:val="20"/>
    </w:rPr>
  </w:style>
  <w:style w:type="character" w:styleId="EndnoteReference">
    <w:name w:val="endnote reference"/>
    <w:basedOn w:val="DefaultParagraphFont"/>
    <w:uiPriority w:val="99"/>
    <w:semiHidden/>
    <w:unhideWhenUsed/>
    <w:rsid w:val="006B3E16"/>
    <w:rPr>
      <w:vertAlign w:val="superscript"/>
    </w:rPr>
  </w:style>
  <w:style w:type="character" w:styleId="UnresolvedMention">
    <w:name w:val="Unresolved Mention"/>
    <w:basedOn w:val="DefaultParagraphFont"/>
    <w:uiPriority w:val="99"/>
    <w:unhideWhenUsed/>
    <w:rsid w:val="006B3E16"/>
    <w:rPr>
      <w:color w:val="605E5C"/>
      <w:shd w:val="clear" w:color="auto" w:fill="E1DFDD"/>
    </w:rPr>
  </w:style>
  <w:style w:type="character" w:customStyle="1" w:styleId="Heading1Char">
    <w:name w:val="Heading 1 Char"/>
    <w:basedOn w:val="DefaultParagraphFont"/>
    <w:link w:val="Heading1"/>
    <w:uiPriority w:val="9"/>
    <w:rsid w:val="00A20C0E"/>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A20C0E"/>
  </w:style>
  <w:style w:type="paragraph" w:styleId="Title">
    <w:name w:val="Title"/>
    <w:basedOn w:val="Normal"/>
    <w:next w:val="Normal"/>
    <w:link w:val="TitleChar"/>
    <w:uiPriority w:val="10"/>
    <w:qFormat/>
    <w:rsid w:val="00D11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BA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52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67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81"/>
  </w:style>
  <w:style w:type="paragraph" w:styleId="Footer">
    <w:name w:val="footer"/>
    <w:basedOn w:val="Normal"/>
    <w:link w:val="FooterChar"/>
    <w:uiPriority w:val="99"/>
    <w:unhideWhenUsed/>
    <w:rsid w:val="00967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81"/>
  </w:style>
  <w:style w:type="character" w:customStyle="1" w:styleId="Heading3Char">
    <w:name w:val="Heading 3 Char"/>
    <w:basedOn w:val="DefaultParagraphFont"/>
    <w:link w:val="Heading3"/>
    <w:uiPriority w:val="9"/>
    <w:rsid w:val="004803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E03BF"/>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2C6855"/>
  </w:style>
  <w:style w:type="character" w:styleId="Mention">
    <w:name w:val="Mention"/>
    <w:basedOn w:val="DefaultParagraphFont"/>
    <w:uiPriority w:val="99"/>
    <w:unhideWhenUsed/>
    <w:rsid w:val="00A56762"/>
    <w:rPr>
      <w:color w:val="2B579A"/>
      <w:shd w:val="clear" w:color="auto" w:fill="E6E6E6"/>
    </w:rPr>
  </w:style>
  <w:style w:type="paragraph" w:styleId="Revision">
    <w:name w:val="Revision"/>
    <w:hidden/>
    <w:uiPriority w:val="99"/>
    <w:semiHidden/>
    <w:rsid w:val="00020114"/>
    <w:pPr>
      <w:spacing w:after="0" w:line="240" w:lineRule="auto"/>
    </w:pPr>
  </w:style>
  <w:style w:type="paragraph" w:customStyle="1" w:styleId="IASpacer">
    <w:name w:val="IASpacer"/>
    <w:basedOn w:val="Normal"/>
    <w:rsid w:val="00931FD3"/>
    <w:pPr>
      <w:spacing w:after="0" w:line="80" w:lineRule="exact"/>
    </w:pPr>
    <w:rPr>
      <w:rFonts w:ascii="Arial" w:eastAsia="SimSun" w:hAnsi="Arial" w:cs="Times New Roman"/>
      <w:szCs w:val="24"/>
      <w:lang w:eastAsia="zh-CN"/>
    </w:rPr>
  </w:style>
  <w:style w:type="character" w:customStyle="1" w:styleId="IATableLinesChar">
    <w:name w:val="IATableLines Char"/>
    <w:basedOn w:val="DefaultParagraphFont"/>
    <w:link w:val="IATableLines"/>
    <w:locked/>
    <w:rsid w:val="00931FD3"/>
    <w:rPr>
      <w:rFonts w:ascii="Arial" w:eastAsia="SimSun" w:hAnsi="Arial" w:cs="Arial"/>
      <w:spacing w:val="-5"/>
      <w:lang w:eastAsia="zh-CN"/>
    </w:rPr>
  </w:style>
  <w:style w:type="paragraph" w:customStyle="1" w:styleId="IATableLines">
    <w:name w:val="IATableLines"/>
    <w:basedOn w:val="Normal"/>
    <w:link w:val="IATableLinesChar"/>
    <w:rsid w:val="00931FD3"/>
    <w:pPr>
      <w:spacing w:after="0" w:line="240" w:lineRule="auto"/>
      <w:ind w:left="113" w:right="113"/>
    </w:pPr>
    <w:rPr>
      <w:rFonts w:ascii="Arial" w:eastAsia="SimSun" w:hAnsi="Arial" w:cs="Arial"/>
      <w:spacing w:val="-5"/>
      <w:lang w:eastAsia="zh-CN"/>
    </w:rPr>
  </w:style>
  <w:style w:type="paragraph" w:customStyle="1" w:styleId="IAIOQ1">
    <w:name w:val="IAIOQ1"/>
    <w:basedOn w:val="Normal"/>
    <w:rsid w:val="00931FD3"/>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IAIOQ2">
    <w:name w:val="IAIOQ2"/>
    <w:basedOn w:val="Normal"/>
    <w:rsid w:val="00931FD3"/>
    <w:pPr>
      <w:spacing w:before="50" w:after="50" w:line="240" w:lineRule="auto"/>
      <w:ind w:left="113" w:right="113"/>
    </w:pPr>
    <w:rPr>
      <w:rFonts w:ascii="Arial" w:eastAsia="SimSun" w:hAnsi="Arial" w:cs="Times New Roman"/>
      <w:b/>
      <w:color w:val="000000"/>
      <w:spacing w:val="-5"/>
      <w:sz w:val="20"/>
      <w:szCs w:val="20"/>
      <w:lang w:eastAsia="zh-CN"/>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866C34"/>
    <w:pPr>
      <w:ind w:left="720"/>
      <w:contextualSpacing/>
    </w:pPr>
  </w:style>
  <w:style w:type="table" w:styleId="TableGrid">
    <w:name w:val="Table Grid"/>
    <w:basedOn w:val="TableNormal"/>
    <w:uiPriority w:val="39"/>
    <w:rsid w:val="0018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C3A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aliases w:val="Simple Green"/>
    <w:basedOn w:val="TableNormal"/>
    <w:uiPriority w:val="46"/>
    <w:rsid w:val="00C459A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55AE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B12378"/>
  </w:style>
  <w:style w:type="paragraph" w:styleId="Caption">
    <w:name w:val="caption"/>
    <w:basedOn w:val="Normal"/>
    <w:next w:val="Normal"/>
    <w:unhideWhenUsed/>
    <w:qFormat/>
    <w:rsid w:val="00B12378"/>
    <w:pPr>
      <w:spacing w:after="200" w:line="240" w:lineRule="auto"/>
    </w:pPr>
    <w:rPr>
      <w:rFonts w:ascii="Arial" w:eastAsia="Times New Roman" w:hAnsi="Arial" w:cs="Times New Roman"/>
      <w:i/>
      <w:iCs/>
      <w:color w:val="44546A" w:themeColor="text2"/>
      <w:sz w:val="18"/>
      <w:szCs w:val="18"/>
    </w:rPr>
  </w:style>
  <w:style w:type="character" w:styleId="FollowedHyperlink">
    <w:name w:val="FollowedHyperlink"/>
    <w:basedOn w:val="DefaultParagraphFont"/>
    <w:uiPriority w:val="99"/>
    <w:semiHidden/>
    <w:unhideWhenUsed/>
    <w:rsid w:val="00222D80"/>
    <w:rPr>
      <w:color w:val="954F72" w:themeColor="followedHyperlink"/>
      <w:u w:val="single"/>
    </w:rPr>
  </w:style>
  <w:style w:type="paragraph" w:styleId="NoSpacing">
    <w:name w:val="No Spacing"/>
    <w:uiPriority w:val="1"/>
    <w:qFormat/>
    <w:rsid w:val="00C00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1382">
      <w:bodyDiv w:val="1"/>
      <w:marLeft w:val="0"/>
      <w:marRight w:val="0"/>
      <w:marTop w:val="0"/>
      <w:marBottom w:val="0"/>
      <w:divBdr>
        <w:top w:val="none" w:sz="0" w:space="0" w:color="auto"/>
        <w:left w:val="none" w:sz="0" w:space="0" w:color="auto"/>
        <w:bottom w:val="none" w:sz="0" w:space="0" w:color="auto"/>
        <w:right w:val="none" w:sz="0" w:space="0" w:color="auto"/>
      </w:divBdr>
    </w:div>
    <w:div w:id="54397223">
      <w:bodyDiv w:val="1"/>
      <w:marLeft w:val="0"/>
      <w:marRight w:val="0"/>
      <w:marTop w:val="0"/>
      <w:marBottom w:val="0"/>
      <w:divBdr>
        <w:top w:val="none" w:sz="0" w:space="0" w:color="auto"/>
        <w:left w:val="none" w:sz="0" w:space="0" w:color="auto"/>
        <w:bottom w:val="none" w:sz="0" w:space="0" w:color="auto"/>
        <w:right w:val="none" w:sz="0" w:space="0" w:color="auto"/>
      </w:divBdr>
    </w:div>
    <w:div w:id="56444806">
      <w:bodyDiv w:val="1"/>
      <w:marLeft w:val="0"/>
      <w:marRight w:val="0"/>
      <w:marTop w:val="0"/>
      <w:marBottom w:val="0"/>
      <w:divBdr>
        <w:top w:val="none" w:sz="0" w:space="0" w:color="auto"/>
        <w:left w:val="none" w:sz="0" w:space="0" w:color="auto"/>
        <w:bottom w:val="none" w:sz="0" w:space="0" w:color="auto"/>
        <w:right w:val="none" w:sz="0" w:space="0" w:color="auto"/>
      </w:divBdr>
    </w:div>
    <w:div w:id="66538060">
      <w:bodyDiv w:val="1"/>
      <w:marLeft w:val="0"/>
      <w:marRight w:val="0"/>
      <w:marTop w:val="0"/>
      <w:marBottom w:val="0"/>
      <w:divBdr>
        <w:top w:val="none" w:sz="0" w:space="0" w:color="auto"/>
        <w:left w:val="none" w:sz="0" w:space="0" w:color="auto"/>
        <w:bottom w:val="none" w:sz="0" w:space="0" w:color="auto"/>
        <w:right w:val="none" w:sz="0" w:space="0" w:color="auto"/>
      </w:divBdr>
    </w:div>
    <w:div w:id="194730257">
      <w:bodyDiv w:val="1"/>
      <w:marLeft w:val="0"/>
      <w:marRight w:val="0"/>
      <w:marTop w:val="0"/>
      <w:marBottom w:val="0"/>
      <w:divBdr>
        <w:top w:val="none" w:sz="0" w:space="0" w:color="auto"/>
        <w:left w:val="none" w:sz="0" w:space="0" w:color="auto"/>
        <w:bottom w:val="none" w:sz="0" w:space="0" w:color="auto"/>
        <w:right w:val="none" w:sz="0" w:space="0" w:color="auto"/>
      </w:divBdr>
    </w:div>
    <w:div w:id="242614893">
      <w:bodyDiv w:val="1"/>
      <w:marLeft w:val="0"/>
      <w:marRight w:val="0"/>
      <w:marTop w:val="0"/>
      <w:marBottom w:val="0"/>
      <w:divBdr>
        <w:top w:val="none" w:sz="0" w:space="0" w:color="auto"/>
        <w:left w:val="none" w:sz="0" w:space="0" w:color="auto"/>
        <w:bottom w:val="none" w:sz="0" w:space="0" w:color="auto"/>
        <w:right w:val="none" w:sz="0" w:space="0" w:color="auto"/>
      </w:divBdr>
    </w:div>
    <w:div w:id="295572551">
      <w:bodyDiv w:val="1"/>
      <w:marLeft w:val="0"/>
      <w:marRight w:val="0"/>
      <w:marTop w:val="0"/>
      <w:marBottom w:val="0"/>
      <w:divBdr>
        <w:top w:val="none" w:sz="0" w:space="0" w:color="auto"/>
        <w:left w:val="none" w:sz="0" w:space="0" w:color="auto"/>
        <w:bottom w:val="none" w:sz="0" w:space="0" w:color="auto"/>
        <w:right w:val="none" w:sz="0" w:space="0" w:color="auto"/>
      </w:divBdr>
    </w:div>
    <w:div w:id="414135735">
      <w:bodyDiv w:val="1"/>
      <w:marLeft w:val="0"/>
      <w:marRight w:val="0"/>
      <w:marTop w:val="0"/>
      <w:marBottom w:val="0"/>
      <w:divBdr>
        <w:top w:val="none" w:sz="0" w:space="0" w:color="auto"/>
        <w:left w:val="none" w:sz="0" w:space="0" w:color="auto"/>
        <w:bottom w:val="none" w:sz="0" w:space="0" w:color="auto"/>
        <w:right w:val="none" w:sz="0" w:space="0" w:color="auto"/>
      </w:divBdr>
    </w:div>
    <w:div w:id="516892798">
      <w:bodyDiv w:val="1"/>
      <w:marLeft w:val="0"/>
      <w:marRight w:val="0"/>
      <w:marTop w:val="0"/>
      <w:marBottom w:val="0"/>
      <w:divBdr>
        <w:top w:val="none" w:sz="0" w:space="0" w:color="auto"/>
        <w:left w:val="none" w:sz="0" w:space="0" w:color="auto"/>
        <w:bottom w:val="none" w:sz="0" w:space="0" w:color="auto"/>
        <w:right w:val="none" w:sz="0" w:space="0" w:color="auto"/>
      </w:divBdr>
    </w:div>
    <w:div w:id="667102945">
      <w:bodyDiv w:val="1"/>
      <w:marLeft w:val="0"/>
      <w:marRight w:val="0"/>
      <w:marTop w:val="0"/>
      <w:marBottom w:val="0"/>
      <w:divBdr>
        <w:top w:val="none" w:sz="0" w:space="0" w:color="auto"/>
        <w:left w:val="none" w:sz="0" w:space="0" w:color="auto"/>
        <w:bottom w:val="none" w:sz="0" w:space="0" w:color="auto"/>
        <w:right w:val="none" w:sz="0" w:space="0" w:color="auto"/>
      </w:divBdr>
    </w:div>
    <w:div w:id="672804206">
      <w:bodyDiv w:val="1"/>
      <w:marLeft w:val="0"/>
      <w:marRight w:val="0"/>
      <w:marTop w:val="0"/>
      <w:marBottom w:val="0"/>
      <w:divBdr>
        <w:top w:val="none" w:sz="0" w:space="0" w:color="auto"/>
        <w:left w:val="none" w:sz="0" w:space="0" w:color="auto"/>
        <w:bottom w:val="none" w:sz="0" w:space="0" w:color="auto"/>
        <w:right w:val="none" w:sz="0" w:space="0" w:color="auto"/>
      </w:divBdr>
    </w:div>
    <w:div w:id="672991538">
      <w:bodyDiv w:val="1"/>
      <w:marLeft w:val="0"/>
      <w:marRight w:val="0"/>
      <w:marTop w:val="0"/>
      <w:marBottom w:val="0"/>
      <w:divBdr>
        <w:top w:val="none" w:sz="0" w:space="0" w:color="auto"/>
        <w:left w:val="none" w:sz="0" w:space="0" w:color="auto"/>
        <w:bottom w:val="none" w:sz="0" w:space="0" w:color="auto"/>
        <w:right w:val="none" w:sz="0" w:space="0" w:color="auto"/>
      </w:divBdr>
    </w:div>
    <w:div w:id="754665552">
      <w:bodyDiv w:val="1"/>
      <w:marLeft w:val="0"/>
      <w:marRight w:val="0"/>
      <w:marTop w:val="0"/>
      <w:marBottom w:val="0"/>
      <w:divBdr>
        <w:top w:val="none" w:sz="0" w:space="0" w:color="auto"/>
        <w:left w:val="none" w:sz="0" w:space="0" w:color="auto"/>
        <w:bottom w:val="none" w:sz="0" w:space="0" w:color="auto"/>
        <w:right w:val="none" w:sz="0" w:space="0" w:color="auto"/>
      </w:divBdr>
    </w:div>
    <w:div w:id="754670512">
      <w:bodyDiv w:val="1"/>
      <w:marLeft w:val="0"/>
      <w:marRight w:val="0"/>
      <w:marTop w:val="0"/>
      <w:marBottom w:val="0"/>
      <w:divBdr>
        <w:top w:val="none" w:sz="0" w:space="0" w:color="auto"/>
        <w:left w:val="none" w:sz="0" w:space="0" w:color="auto"/>
        <w:bottom w:val="none" w:sz="0" w:space="0" w:color="auto"/>
        <w:right w:val="none" w:sz="0" w:space="0" w:color="auto"/>
      </w:divBdr>
    </w:div>
    <w:div w:id="790129462">
      <w:bodyDiv w:val="1"/>
      <w:marLeft w:val="0"/>
      <w:marRight w:val="0"/>
      <w:marTop w:val="0"/>
      <w:marBottom w:val="0"/>
      <w:divBdr>
        <w:top w:val="none" w:sz="0" w:space="0" w:color="auto"/>
        <w:left w:val="none" w:sz="0" w:space="0" w:color="auto"/>
        <w:bottom w:val="none" w:sz="0" w:space="0" w:color="auto"/>
        <w:right w:val="none" w:sz="0" w:space="0" w:color="auto"/>
      </w:divBdr>
    </w:div>
    <w:div w:id="790785989">
      <w:bodyDiv w:val="1"/>
      <w:marLeft w:val="0"/>
      <w:marRight w:val="0"/>
      <w:marTop w:val="0"/>
      <w:marBottom w:val="0"/>
      <w:divBdr>
        <w:top w:val="none" w:sz="0" w:space="0" w:color="auto"/>
        <w:left w:val="none" w:sz="0" w:space="0" w:color="auto"/>
        <w:bottom w:val="none" w:sz="0" w:space="0" w:color="auto"/>
        <w:right w:val="none" w:sz="0" w:space="0" w:color="auto"/>
      </w:divBdr>
    </w:div>
    <w:div w:id="812719722">
      <w:bodyDiv w:val="1"/>
      <w:marLeft w:val="0"/>
      <w:marRight w:val="0"/>
      <w:marTop w:val="0"/>
      <w:marBottom w:val="0"/>
      <w:divBdr>
        <w:top w:val="none" w:sz="0" w:space="0" w:color="auto"/>
        <w:left w:val="none" w:sz="0" w:space="0" w:color="auto"/>
        <w:bottom w:val="none" w:sz="0" w:space="0" w:color="auto"/>
        <w:right w:val="none" w:sz="0" w:space="0" w:color="auto"/>
      </w:divBdr>
    </w:div>
    <w:div w:id="891618413">
      <w:bodyDiv w:val="1"/>
      <w:marLeft w:val="0"/>
      <w:marRight w:val="0"/>
      <w:marTop w:val="0"/>
      <w:marBottom w:val="0"/>
      <w:divBdr>
        <w:top w:val="none" w:sz="0" w:space="0" w:color="auto"/>
        <w:left w:val="none" w:sz="0" w:space="0" w:color="auto"/>
        <w:bottom w:val="none" w:sz="0" w:space="0" w:color="auto"/>
        <w:right w:val="none" w:sz="0" w:space="0" w:color="auto"/>
      </w:divBdr>
    </w:div>
    <w:div w:id="963078946">
      <w:bodyDiv w:val="1"/>
      <w:marLeft w:val="0"/>
      <w:marRight w:val="0"/>
      <w:marTop w:val="0"/>
      <w:marBottom w:val="0"/>
      <w:divBdr>
        <w:top w:val="none" w:sz="0" w:space="0" w:color="auto"/>
        <w:left w:val="none" w:sz="0" w:space="0" w:color="auto"/>
        <w:bottom w:val="none" w:sz="0" w:space="0" w:color="auto"/>
        <w:right w:val="none" w:sz="0" w:space="0" w:color="auto"/>
      </w:divBdr>
    </w:div>
    <w:div w:id="989403337">
      <w:bodyDiv w:val="1"/>
      <w:marLeft w:val="0"/>
      <w:marRight w:val="0"/>
      <w:marTop w:val="0"/>
      <w:marBottom w:val="0"/>
      <w:divBdr>
        <w:top w:val="none" w:sz="0" w:space="0" w:color="auto"/>
        <w:left w:val="none" w:sz="0" w:space="0" w:color="auto"/>
        <w:bottom w:val="none" w:sz="0" w:space="0" w:color="auto"/>
        <w:right w:val="none" w:sz="0" w:space="0" w:color="auto"/>
      </w:divBdr>
    </w:div>
    <w:div w:id="1049304489">
      <w:bodyDiv w:val="1"/>
      <w:marLeft w:val="0"/>
      <w:marRight w:val="0"/>
      <w:marTop w:val="0"/>
      <w:marBottom w:val="0"/>
      <w:divBdr>
        <w:top w:val="none" w:sz="0" w:space="0" w:color="auto"/>
        <w:left w:val="none" w:sz="0" w:space="0" w:color="auto"/>
        <w:bottom w:val="none" w:sz="0" w:space="0" w:color="auto"/>
        <w:right w:val="none" w:sz="0" w:space="0" w:color="auto"/>
      </w:divBdr>
    </w:div>
    <w:div w:id="1057975018">
      <w:bodyDiv w:val="1"/>
      <w:marLeft w:val="0"/>
      <w:marRight w:val="0"/>
      <w:marTop w:val="0"/>
      <w:marBottom w:val="0"/>
      <w:divBdr>
        <w:top w:val="none" w:sz="0" w:space="0" w:color="auto"/>
        <w:left w:val="none" w:sz="0" w:space="0" w:color="auto"/>
        <w:bottom w:val="none" w:sz="0" w:space="0" w:color="auto"/>
        <w:right w:val="none" w:sz="0" w:space="0" w:color="auto"/>
      </w:divBdr>
    </w:div>
    <w:div w:id="1117799109">
      <w:bodyDiv w:val="1"/>
      <w:marLeft w:val="0"/>
      <w:marRight w:val="0"/>
      <w:marTop w:val="0"/>
      <w:marBottom w:val="0"/>
      <w:divBdr>
        <w:top w:val="none" w:sz="0" w:space="0" w:color="auto"/>
        <w:left w:val="none" w:sz="0" w:space="0" w:color="auto"/>
        <w:bottom w:val="none" w:sz="0" w:space="0" w:color="auto"/>
        <w:right w:val="none" w:sz="0" w:space="0" w:color="auto"/>
      </w:divBdr>
    </w:div>
    <w:div w:id="1154294094">
      <w:bodyDiv w:val="1"/>
      <w:marLeft w:val="0"/>
      <w:marRight w:val="0"/>
      <w:marTop w:val="0"/>
      <w:marBottom w:val="0"/>
      <w:divBdr>
        <w:top w:val="none" w:sz="0" w:space="0" w:color="auto"/>
        <w:left w:val="none" w:sz="0" w:space="0" w:color="auto"/>
        <w:bottom w:val="none" w:sz="0" w:space="0" w:color="auto"/>
        <w:right w:val="none" w:sz="0" w:space="0" w:color="auto"/>
      </w:divBdr>
    </w:div>
    <w:div w:id="1321274581">
      <w:bodyDiv w:val="1"/>
      <w:marLeft w:val="0"/>
      <w:marRight w:val="0"/>
      <w:marTop w:val="0"/>
      <w:marBottom w:val="0"/>
      <w:divBdr>
        <w:top w:val="none" w:sz="0" w:space="0" w:color="auto"/>
        <w:left w:val="none" w:sz="0" w:space="0" w:color="auto"/>
        <w:bottom w:val="none" w:sz="0" w:space="0" w:color="auto"/>
        <w:right w:val="none" w:sz="0" w:space="0" w:color="auto"/>
      </w:divBdr>
    </w:div>
    <w:div w:id="1367369483">
      <w:bodyDiv w:val="1"/>
      <w:marLeft w:val="0"/>
      <w:marRight w:val="0"/>
      <w:marTop w:val="0"/>
      <w:marBottom w:val="0"/>
      <w:divBdr>
        <w:top w:val="none" w:sz="0" w:space="0" w:color="auto"/>
        <w:left w:val="none" w:sz="0" w:space="0" w:color="auto"/>
        <w:bottom w:val="none" w:sz="0" w:space="0" w:color="auto"/>
        <w:right w:val="none" w:sz="0" w:space="0" w:color="auto"/>
      </w:divBdr>
    </w:div>
    <w:div w:id="1419791809">
      <w:bodyDiv w:val="1"/>
      <w:marLeft w:val="0"/>
      <w:marRight w:val="0"/>
      <w:marTop w:val="0"/>
      <w:marBottom w:val="0"/>
      <w:divBdr>
        <w:top w:val="none" w:sz="0" w:space="0" w:color="auto"/>
        <w:left w:val="none" w:sz="0" w:space="0" w:color="auto"/>
        <w:bottom w:val="none" w:sz="0" w:space="0" w:color="auto"/>
        <w:right w:val="none" w:sz="0" w:space="0" w:color="auto"/>
      </w:divBdr>
    </w:div>
    <w:div w:id="1556163120">
      <w:bodyDiv w:val="1"/>
      <w:marLeft w:val="0"/>
      <w:marRight w:val="0"/>
      <w:marTop w:val="0"/>
      <w:marBottom w:val="0"/>
      <w:divBdr>
        <w:top w:val="none" w:sz="0" w:space="0" w:color="auto"/>
        <w:left w:val="none" w:sz="0" w:space="0" w:color="auto"/>
        <w:bottom w:val="none" w:sz="0" w:space="0" w:color="auto"/>
        <w:right w:val="none" w:sz="0" w:space="0" w:color="auto"/>
      </w:divBdr>
    </w:div>
    <w:div w:id="1582713281">
      <w:bodyDiv w:val="1"/>
      <w:marLeft w:val="0"/>
      <w:marRight w:val="0"/>
      <w:marTop w:val="0"/>
      <w:marBottom w:val="0"/>
      <w:divBdr>
        <w:top w:val="none" w:sz="0" w:space="0" w:color="auto"/>
        <w:left w:val="none" w:sz="0" w:space="0" w:color="auto"/>
        <w:bottom w:val="none" w:sz="0" w:space="0" w:color="auto"/>
        <w:right w:val="none" w:sz="0" w:space="0" w:color="auto"/>
      </w:divBdr>
    </w:div>
    <w:div w:id="1661234601">
      <w:bodyDiv w:val="1"/>
      <w:marLeft w:val="0"/>
      <w:marRight w:val="0"/>
      <w:marTop w:val="0"/>
      <w:marBottom w:val="0"/>
      <w:divBdr>
        <w:top w:val="none" w:sz="0" w:space="0" w:color="auto"/>
        <w:left w:val="none" w:sz="0" w:space="0" w:color="auto"/>
        <w:bottom w:val="none" w:sz="0" w:space="0" w:color="auto"/>
        <w:right w:val="none" w:sz="0" w:space="0" w:color="auto"/>
      </w:divBdr>
    </w:div>
    <w:div w:id="1834834222">
      <w:bodyDiv w:val="1"/>
      <w:marLeft w:val="0"/>
      <w:marRight w:val="0"/>
      <w:marTop w:val="0"/>
      <w:marBottom w:val="0"/>
      <w:divBdr>
        <w:top w:val="none" w:sz="0" w:space="0" w:color="auto"/>
        <w:left w:val="none" w:sz="0" w:space="0" w:color="auto"/>
        <w:bottom w:val="none" w:sz="0" w:space="0" w:color="auto"/>
        <w:right w:val="none" w:sz="0" w:space="0" w:color="auto"/>
      </w:divBdr>
    </w:div>
    <w:div w:id="1872911991">
      <w:bodyDiv w:val="1"/>
      <w:marLeft w:val="0"/>
      <w:marRight w:val="0"/>
      <w:marTop w:val="0"/>
      <w:marBottom w:val="0"/>
      <w:divBdr>
        <w:top w:val="none" w:sz="0" w:space="0" w:color="auto"/>
        <w:left w:val="none" w:sz="0" w:space="0" w:color="auto"/>
        <w:bottom w:val="none" w:sz="0" w:space="0" w:color="auto"/>
        <w:right w:val="none" w:sz="0" w:space="0" w:color="auto"/>
      </w:divBdr>
    </w:div>
    <w:div w:id="1893618650">
      <w:bodyDiv w:val="1"/>
      <w:marLeft w:val="0"/>
      <w:marRight w:val="0"/>
      <w:marTop w:val="0"/>
      <w:marBottom w:val="0"/>
      <w:divBdr>
        <w:top w:val="none" w:sz="0" w:space="0" w:color="auto"/>
        <w:left w:val="none" w:sz="0" w:space="0" w:color="auto"/>
        <w:bottom w:val="none" w:sz="0" w:space="0" w:color="auto"/>
        <w:right w:val="none" w:sz="0" w:space="0" w:color="auto"/>
      </w:divBdr>
    </w:div>
    <w:div w:id="1899853635">
      <w:bodyDiv w:val="1"/>
      <w:marLeft w:val="0"/>
      <w:marRight w:val="0"/>
      <w:marTop w:val="0"/>
      <w:marBottom w:val="0"/>
      <w:divBdr>
        <w:top w:val="none" w:sz="0" w:space="0" w:color="auto"/>
        <w:left w:val="none" w:sz="0" w:space="0" w:color="auto"/>
        <w:bottom w:val="none" w:sz="0" w:space="0" w:color="auto"/>
        <w:right w:val="none" w:sz="0" w:space="0" w:color="auto"/>
      </w:divBdr>
    </w:div>
    <w:div w:id="203472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businessindustryandtrade/business/activitysizeandlocation/datasets/ukbusinessactivitysizeandlocation" TargetMode="External"/><Relationship Id="rId13" Type="http://schemas.openxmlformats.org/officeDocument/2006/relationships/hyperlink" Target="https://www.ons.gov.uk/businessindustryandtrade/business/activitysizeandlocation/adhocs/1460enterprisesbyemploymentandturnoversize" TargetMode="External"/><Relationship Id="rId3" Type="http://schemas.openxmlformats.org/officeDocument/2006/relationships/hyperlink" Target="https://www.gov.uk/government/news/far-reaching-ban-on-single-use-plastics-in-england" TargetMode="External"/><Relationship Id="rId7" Type="http://schemas.openxmlformats.org/officeDocument/2006/relationships/hyperlink" Target="https://www.gov.uk/government/consultations/single-use-plastic-banning-the-supply-of-commonly-littered-single-use-plastic-items/outcome/summary-of-responses-and-government-response" TargetMode="External"/><Relationship Id="rId12" Type="http://schemas.openxmlformats.org/officeDocument/2006/relationships/hyperlink" Target="https://www.ons.gov.uk/businessindustryandtrade/business/businessservices/datasets/uknonfinancialbusinesseconomyannualbusinesssurveyregionalresultssectionsas/current" TargetMode="External"/><Relationship Id="rId2" Type="http://schemas.openxmlformats.org/officeDocument/2006/relationships/hyperlink" Target="https://www.legislation.gov.uk/ssi/2021/410/contents/made" TargetMode="External"/><Relationship Id="rId16" Type="http://schemas.openxmlformats.org/officeDocument/2006/relationships/hyperlink" Target="https://assets.publishing.service.gov.uk/government/uploads/system/uploads/attachment_data/file/1161317/2023-ghg-cf-methodology-paper.pdf" TargetMode="External"/><Relationship Id="rId1" Type="http://schemas.openxmlformats.org/officeDocument/2006/relationships/hyperlink" Target="https://www.gov.wales/reducing-single-use-plastic-wales" TargetMode="External"/><Relationship Id="rId6" Type="http://schemas.openxmlformats.org/officeDocument/2006/relationships/hyperlink" Target="https://consult.defra.gov.uk/environmental-quality/call-for-evidence-on-commonly-littered-and-problem/" TargetMode="External"/><Relationship Id="rId11" Type="http://schemas.openxmlformats.org/officeDocument/2006/relationships/hyperlink" Target="https://assets.publishing.service.gov.uk/government/uploads/system/uploads/attachment_data/file/790016/RPC_case_histories_-_direct_and_indirect_impacts__March_2019__1_.pdf" TargetMode="External"/><Relationship Id="rId5" Type="http://schemas.openxmlformats.org/officeDocument/2006/relationships/hyperlink" Target="https://www.gov.uk/government/publications/25-year-environment-plan" TargetMode="External"/><Relationship Id="rId15" Type="http://schemas.openxmlformats.org/officeDocument/2006/relationships/hyperlink" Target="https://www.gov.uk/government/publications/greenhouse-gas-reporting-conversion-factors-2023" TargetMode="External"/><Relationship Id="rId10" Type="http://schemas.openxmlformats.org/officeDocument/2006/relationships/hyperlink" Target="https://assets.publishing.service.gov.uk/government/uploads/system/uploads/attachment_data/file/827926/RPC_short_guidance_note_-_Implementation_costs__August_2019.pdf" TargetMode="External"/><Relationship Id="rId4" Type="http://schemas.openxmlformats.org/officeDocument/2006/relationships/hyperlink" Target="https://www.gov.wales/environmental-protection-single-use-plastic-products-wales-act" TargetMode="External"/><Relationship Id="rId9" Type="http://schemas.openxmlformats.org/officeDocument/2006/relationships/hyperlink" Target="https://www.ons.gov.uk/employmentandlabourmarket/peopleinwork/earningsandworkinghours/datasets/industry4digitsic2007ashetable16" TargetMode="External"/><Relationship Id="rId14" Type="http://schemas.openxmlformats.org/officeDocument/2006/relationships/hyperlink" Target="https://www.sciencedirect.com/science/article/abs/pii/S0048969721022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DE211CDFABA8E4BB3DDE0EAEEAAA919" ma:contentTypeVersion="56" ma:contentTypeDescription="new Document or upload" ma:contentTypeScope="" ma:versionID="8a7f25731fd9c8e512fbfc555f7f2aaf">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7f74b3912f1b07b78222e12fe6127f1c"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Housebuilding Development  Wastewater Infrastructure" ma:internalName="Team">
      <xsd:simpleType>
        <xsd:restriction base="dms:Text"/>
      </xsd:simpleType>
    </xsd:element>
    <xsd:element name="Topic" ma:index="18" nillable="true" ma:displayName="Topic" ma:default="Drainage_wastewater_mgment_pla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e33c00d2-5607-4222-a737-a1ff302c1622}"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e33c00d2-5607-4222-a737-a1ff302c1622}"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k85d23755b3a46b5a51451cf336b2e9b xmlns="662745e8-e224-48e8-a2e3-254862b8c2f5">
      <Terms xmlns="http://schemas.microsoft.com/office/infopath/2007/PartnerControls"/>
    </k85d23755b3a46b5a51451cf336b2e9b>
    <TaxCatchAllLabel xmlns="662745e8-e224-48e8-a2e3-254862b8c2f5" xsi:nil="true"/>
    <bcb1675984d34ae3a1ed6b6e433c98de xmlns="6dfd283e-d7c6-4db4-b263-522c893cd078">
      <Terms xmlns="http://schemas.microsoft.com/office/infopath/2007/PartnerControls"/>
    </bcb1675984d34ae3a1ed6b6e433c98de>
    <Topic xmlns="662745e8-e224-48e8-a2e3-254862b8c2f5">Drainage_wastewater_mgment_plan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6</Value>
      <Value>10</Value>
      <Value>9</Value>
      <Value>8</Value>
      <Value>7</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Housebuilding Development  Wastewater Infrastructure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3DA8AF32-A2AB-4254-8343-9EFFBFDF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C0C80-6064-4E72-9716-189DBE505D06}">
  <ds:schemaRefs>
    <ds:schemaRef ds:uri="Microsoft.SharePoint.Taxonomy.ContentTypeSync"/>
  </ds:schemaRefs>
</ds:datastoreItem>
</file>

<file path=customXml/itemProps3.xml><?xml version="1.0" encoding="utf-8"?>
<ds:datastoreItem xmlns:ds="http://schemas.openxmlformats.org/officeDocument/2006/customXml" ds:itemID="{3C607BAB-8851-439A-A870-D7B11D694EA7}">
  <ds:schemaRefs>
    <ds:schemaRef ds:uri="http://schemas.microsoft.com/sharepoint/v3/contenttype/forms"/>
  </ds:schemaRefs>
</ds:datastoreItem>
</file>

<file path=customXml/itemProps4.xml><?xml version="1.0" encoding="utf-8"?>
<ds:datastoreItem xmlns:ds="http://schemas.openxmlformats.org/officeDocument/2006/customXml" ds:itemID="{62F11BC2-7174-416B-9205-645FFD63716E}">
  <ds:schemaRefs>
    <ds:schemaRef ds:uri="http://schemas.openxmlformats.org/officeDocument/2006/bibliography"/>
  </ds:schemaRefs>
</ds:datastoreItem>
</file>

<file path=customXml/itemProps5.xml><?xml version="1.0" encoding="utf-8"?>
<ds:datastoreItem xmlns:ds="http://schemas.openxmlformats.org/officeDocument/2006/customXml" ds:itemID="{283EF9D0-3540-42ED-845B-1D4676479BA4}">
  <ds:schemaRefs>
    <ds:schemaRef ds:uri="http://schemas.microsoft.com/office/2006/metadata/properties"/>
    <ds:schemaRef ds:uri="http://schemas.microsoft.com/office/2006/documentManagement/types"/>
    <ds:schemaRef ds:uri="662745e8-e224-48e8-a2e3-254862b8c2f5"/>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6dfd283e-d7c6-4db4-b263-522c893cd0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3589</Words>
  <Characters>20463</Characters>
  <Application>Microsoft Office Word</Application>
  <DocSecurity>0</DocSecurity>
  <Lines>170</Lines>
  <Paragraphs>48</Paragraphs>
  <ScaleCrop>false</ScaleCrop>
  <Company/>
  <LinksUpToDate>false</LinksUpToDate>
  <CharactersWithSpaces>24004</CharactersWithSpaces>
  <SharedDoc>false</SharedDoc>
  <HLinks>
    <vt:vector size="96" baseType="variant">
      <vt:variant>
        <vt:i4>8257557</vt:i4>
      </vt:variant>
      <vt:variant>
        <vt:i4>48</vt:i4>
      </vt:variant>
      <vt:variant>
        <vt:i4>0</vt:i4>
      </vt:variant>
      <vt:variant>
        <vt:i4>5</vt:i4>
      </vt:variant>
      <vt:variant>
        <vt:lpwstr>https://assets.publishing.service.gov.uk/government/uploads/system/uploads/attachment_data/file/1161317/2023-ghg-cf-methodology-paper.pdf</vt:lpwstr>
      </vt:variant>
      <vt:variant>
        <vt:lpwstr/>
      </vt:variant>
      <vt:variant>
        <vt:i4>6684778</vt:i4>
      </vt:variant>
      <vt:variant>
        <vt:i4>45</vt:i4>
      </vt:variant>
      <vt:variant>
        <vt:i4>0</vt:i4>
      </vt:variant>
      <vt:variant>
        <vt:i4>5</vt:i4>
      </vt:variant>
      <vt:variant>
        <vt:lpwstr>https://www.gov.uk/government/publications/greenhouse-gas-reporting-conversion-factors-2023</vt:lpwstr>
      </vt:variant>
      <vt:variant>
        <vt:lpwstr/>
      </vt:variant>
      <vt:variant>
        <vt:i4>3080294</vt:i4>
      </vt:variant>
      <vt:variant>
        <vt:i4>42</vt:i4>
      </vt:variant>
      <vt:variant>
        <vt:i4>0</vt:i4>
      </vt:variant>
      <vt:variant>
        <vt:i4>5</vt:i4>
      </vt:variant>
      <vt:variant>
        <vt:lpwstr>https://www.sciencedirect.com/science/article/abs/pii/S0048969721022142</vt:lpwstr>
      </vt:variant>
      <vt:variant>
        <vt:lpwstr/>
      </vt:variant>
      <vt:variant>
        <vt:i4>3997792</vt:i4>
      </vt:variant>
      <vt:variant>
        <vt:i4>39</vt:i4>
      </vt:variant>
      <vt:variant>
        <vt:i4>0</vt:i4>
      </vt:variant>
      <vt:variant>
        <vt:i4>5</vt:i4>
      </vt:variant>
      <vt:variant>
        <vt:lpwstr>https://www.ons.gov.uk/businessindustryandtrade/business/activitysizeandlocation/adhocs/1460enterprisesbyemploymentandturnoversize</vt:lpwstr>
      </vt:variant>
      <vt:variant>
        <vt:lpwstr/>
      </vt:variant>
      <vt:variant>
        <vt:i4>1966083</vt:i4>
      </vt:variant>
      <vt:variant>
        <vt:i4>36</vt:i4>
      </vt:variant>
      <vt:variant>
        <vt:i4>0</vt:i4>
      </vt:variant>
      <vt:variant>
        <vt:i4>5</vt:i4>
      </vt:variant>
      <vt:variant>
        <vt:lpwstr>https://www.ons.gov.uk/businessindustryandtrade/business/businessservices/datasets/uknonfinancialbusinesseconomyannualbusinesssurveyregionalresultssectionsas/current</vt:lpwstr>
      </vt:variant>
      <vt:variant>
        <vt:lpwstr/>
      </vt:variant>
      <vt:variant>
        <vt:i4>917531</vt:i4>
      </vt:variant>
      <vt:variant>
        <vt:i4>33</vt:i4>
      </vt:variant>
      <vt:variant>
        <vt:i4>0</vt:i4>
      </vt:variant>
      <vt:variant>
        <vt:i4>5</vt:i4>
      </vt:variant>
      <vt:variant>
        <vt:lpwstr>https://assets.publishing.service.gov.uk/government/uploads/system/uploads/attachment_data/file/790016/RPC_case_histories_-_direct_and_indirect_impacts__March_2019__1_.pdf</vt:lpwstr>
      </vt:variant>
      <vt:variant>
        <vt:lpwstr/>
      </vt:variant>
      <vt:variant>
        <vt:i4>4456456</vt:i4>
      </vt:variant>
      <vt:variant>
        <vt:i4>30</vt:i4>
      </vt:variant>
      <vt:variant>
        <vt:i4>0</vt:i4>
      </vt:variant>
      <vt:variant>
        <vt:i4>5</vt:i4>
      </vt:variant>
      <vt:variant>
        <vt:lpwstr>https://assets.publishing.service.gov.uk/government/uploads/system/uploads/attachment_data/file/827926/RPC_short_guidance_note_-_Implementation_costs__August_2019.pdf</vt:lpwstr>
      </vt:variant>
      <vt:variant>
        <vt:lpwstr/>
      </vt:variant>
      <vt:variant>
        <vt:i4>3801204</vt:i4>
      </vt:variant>
      <vt:variant>
        <vt:i4>27</vt:i4>
      </vt:variant>
      <vt:variant>
        <vt:i4>0</vt:i4>
      </vt:variant>
      <vt:variant>
        <vt:i4>5</vt:i4>
      </vt:variant>
      <vt:variant>
        <vt:lpwstr>https://www.ons.gov.uk/employmentandlabourmarket/peopleinwork/earningsandworkinghours/datasets/industry4digitsic2007ashetable16</vt:lpwstr>
      </vt:variant>
      <vt:variant>
        <vt:lpwstr/>
      </vt:variant>
      <vt:variant>
        <vt:i4>3342438</vt:i4>
      </vt:variant>
      <vt:variant>
        <vt:i4>24</vt:i4>
      </vt:variant>
      <vt:variant>
        <vt:i4>0</vt:i4>
      </vt:variant>
      <vt:variant>
        <vt:i4>5</vt:i4>
      </vt:variant>
      <vt:variant>
        <vt:lpwstr>https://www.ons.gov.uk/businessindustryandtrade/business/activitysizeandlocation/datasets/ukbusinessactivitysizeandlocation</vt:lpwstr>
      </vt:variant>
      <vt:variant>
        <vt:lpwstr/>
      </vt:variant>
      <vt:variant>
        <vt:i4>5701659</vt:i4>
      </vt:variant>
      <vt:variant>
        <vt:i4>21</vt:i4>
      </vt:variant>
      <vt:variant>
        <vt:i4>0</vt:i4>
      </vt:variant>
      <vt:variant>
        <vt:i4>5</vt:i4>
      </vt:variant>
      <vt:variant>
        <vt:lpwstr>https://www.gov.uk/government/consultations/single-use-plastic-banning-the-supply-of-commonly-littered-single-use-plastic-items/outcome/summary-of-responses-and-government-response</vt:lpwstr>
      </vt:variant>
      <vt:variant>
        <vt:lpwstr/>
      </vt:variant>
      <vt:variant>
        <vt:i4>2883681</vt:i4>
      </vt:variant>
      <vt:variant>
        <vt:i4>18</vt:i4>
      </vt:variant>
      <vt:variant>
        <vt:i4>0</vt:i4>
      </vt:variant>
      <vt:variant>
        <vt:i4>5</vt:i4>
      </vt:variant>
      <vt:variant>
        <vt:lpwstr>https://consult.defra.gov.uk/environmental-quality/call-for-evidence-on-commonly-littered-and-problem/</vt:lpwstr>
      </vt:variant>
      <vt:variant>
        <vt:lpwstr/>
      </vt:variant>
      <vt:variant>
        <vt:i4>3670118</vt:i4>
      </vt:variant>
      <vt:variant>
        <vt:i4>15</vt:i4>
      </vt:variant>
      <vt:variant>
        <vt:i4>0</vt:i4>
      </vt:variant>
      <vt:variant>
        <vt:i4>5</vt:i4>
      </vt:variant>
      <vt:variant>
        <vt:lpwstr>https://www.gov.uk/government/publications/25-year-environment-plan</vt:lpwstr>
      </vt:variant>
      <vt:variant>
        <vt:lpwstr/>
      </vt:variant>
      <vt:variant>
        <vt:i4>4521987</vt:i4>
      </vt:variant>
      <vt:variant>
        <vt:i4>12</vt:i4>
      </vt:variant>
      <vt:variant>
        <vt:i4>0</vt:i4>
      </vt:variant>
      <vt:variant>
        <vt:i4>5</vt:i4>
      </vt:variant>
      <vt:variant>
        <vt:lpwstr>https://www.gov.wales/environmental-protection-single-use-plastic-products-wales-act</vt:lpwstr>
      </vt:variant>
      <vt:variant>
        <vt:lpwstr/>
      </vt:variant>
      <vt:variant>
        <vt:i4>1703967</vt:i4>
      </vt:variant>
      <vt:variant>
        <vt:i4>9</vt:i4>
      </vt:variant>
      <vt:variant>
        <vt:i4>0</vt:i4>
      </vt:variant>
      <vt:variant>
        <vt:i4>5</vt:i4>
      </vt:variant>
      <vt:variant>
        <vt:lpwstr>https://www.gov.uk/government/news/far-reaching-ban-on-single-use-plastics-in-england</vt:lpwstr>
      </vt:variant>
      <vt:variant>
        <vt:lpwstr/>
      </vt:variant>
      <vt:variant>
        <vt:i4>1245214</vt:i4>
      </vt:variant>
      <vt:variant>
        <vt:i4>6</vt:i4>
      </vt:variant>
      <vt:variant>
        <vt:i4>0</vt:i4>
      </vt:variant>
      <vt:variant>
        <vt:i4>5</vt:i4>
      </vt:variant>
      <vt:variant>
        <vt:lpwstr>https://www.legislation.gov.uk/ssi/2021/410/contents/made</vt:lpwstr>
      </vt:variant>
      <vt:variant>
        <vt:lpwstr/>
      </vt:variant>
      <vt:variant>
        <vt:i4>6357097</vt:i4>
      </vt:variant>
      <vt:variant>
        <vt:i4>3</vt:i4>
      </vt:variant>
      <vt:variant>
        <vt:i4>0</vt:i4>
      </vt:variant>
      <vt:variant>
        <vt:i4>5</vt:i4>
      </vt:variant>
      <vt:variant>
        <vt:lpwstr>https://www.gov.wales/reducing-single-use-plastic-wales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Dan</dc:creator>
  <cp:keywords/>
  <dc:description/>
  <cp:lastModifiedBy>Ngai, Nellie</cp:lastModifiedBy>
  <cp:revision>2</cp:revision>
  <dcterms:created xsi:type="dcterms:W3CDTF">2023-10-12T15:53:00Z</dcterms:created>
  <dcterms:modified xsi:type="dcterms:W3CDTF">2023-10-12T15:53:00Z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0x010100A5BF1C78D9F64B679A5EBDE1C6598EBC0100FDE211CDFABA8E4BB3DDE0EAEEAAA919</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MediaServiceImageTags">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Directorate">
    <vt:lpwstr/>
  </property>
  <property fmtid="{D5CDD505-2E9C-101B-9397-08002B2CF9AE}" pid="12" name="lcf76f155ced4ddcb4097134ff3c332f">
    <vt:lpwstr/>
  </property>
</Properties>
</file>