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36" w:type="dxa"/>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tblGrid>
      <w:tr w:rsidR="00647EF3" w:rsidRPr="00965527" w:rsidTr="00571055">
        <w:trPr>
          <w:trHeight w:val="784"/>
        </w:trPr>
        <w:tc>
          <w:tcPr>
            <w:tcW w:w="4536" w:type="dxa"/>
            <w:shd w:val="clear" w:color="auto" w:fill="000000"/>
            <w:vAlign w:val="center"/>
          </w:tcPr>
          <w:p w:rsidR="00647EF3" w:rsidRPr="00965527" w:rsidRDefault="00647EF3" w:rsidP="00647EF3">
            <w:pPr>
              <w:rPr>
                <w:b/>
                <w:sz w:val="22"/>
                <w:szCs w:val="22"/>
              </w:rPr>
            </w:pPr>
            <w:bookmarkStart w:id="0" w:name="_GoBack"/>
            <w:bookmarkEnd w:id="0"/>
            <w:r w:rsidRPr="00965527">
              <w:rPr>
                <w:b/>
                <w:sz w:val="22"/>
                <w:szCs w:val="22"/>
              </w:rPr>
              <w:t>Defra Regulatory Triage Assessment</w:t>
            </w:r>
          </w:p>
          <w:p w:rsidR="00647EF3" w:rsidRPr="00965527" w:rsidRDefault="00647EF3" w:rsidP="00647EF3">
            <w:pPr>
              <w:rPr>
                <w:b/>
                <w:sz w:val="22"/>
                <w:szCs w:val="22"/>
                <w:u w:val="single"/>
              </w:rPr>
            </w:pPr>
            <w:r w:rsidRPr="00965527">
              <w:rPr>
                <w:b/>
                <w:sz w:val="22"/>
                <w:szCs w:val="22"/>
              </w:rPr>
              <w:t>(and Policy Appraisal Statement)</w:t>
            </w:r>
          </w:p>
        </w:tc>
      </w:tr>
    </w:tbl>
    <w:p w:rsidR="00647EF3" w:rsidRPr="00965527" w:rsidRDefault="00647EF3" w:rsidP="00647EF3">
      <w:pPr>
        <w:rPr>
          <w:b/>
          <w:sz w:val="22"/>
          <w:szCs w:val="22"/>
        </w:rPr>
      </w:pPr>
      <w:r w:rsidRPr="00965527">
        <w:rPr>
          <w:b/>
          <w:sz w:val="22"/>
          <w:szCs w:val="22"/>
          <w:u w:val="single"/>
        </w:rPr>
        <w:t>WHEN TO USE THIS FORM</w:t>
      </w:r>
      <w:r w:rsidRPr="00965527">
        <w:rPr>
          <w:b/>
          <w:sz w:val="22"/>
          <w:szCs w:val="22"/>
        </w:rPr>
        <w:t>:</w:t>
      </w:r>
    </w:p>
    <w:p w:rsidR="00FA1002" w:rsidRPr="00965527" w:rsidRDefault="00FA1002" w:rsidP="00647EF3">
      <w:pPr>
        <w:rPr>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4559"/>
      </w:tblGrid>
      <w:tr w:rsidR="00647EF3" w:rsidRPr="00965527" w:rsidTr="006D5503">
        <w:trPr>
          <w:trHeight w:val="1934"/>
        </w:trPr>
        <w:tc>
          <w:tcPr>
            <w:tcW w:w="4655" w:type="dxa"/>
          </w:tcPr>
          <w:p w:rsidR="00647EF3" w:rsidRPr="00965527" w:rsidRDefault="0000274F" w:rsidP="00647EF3">
            <w:pPr>
              <w:rPr>
                <w:sz w:val="22"/>
                <w:szCs w:val="22"/>
              </w:rPr>
            </w:pPr>
            <w:r w:rsidRPr="00965527">
              <w:rPr>
                <w:b/>
                <w:sz w:val="22"/>
                <w:szCs w:val="22"/>
              </w:rPr>
              <w:t>Isles of Scilly Water Legislation</w:t>
            </w:r>
            <w:r w:rsidR="00402AD1">
              <w:rPr>
                <w:rFonts w:ascii="Verdana" w:hAnsi="Verdana"/>
                <w:noProof/>
                <w:color w:val="3966BF"/>
                <w:sz w:val="22"/>
                <w:szCs w:val="22"/>
                <w:lang w:eastAsia="en-GB"/>
              </w:rPr>
              <w:drawing>
                <wp:inline distT="0" distB="0" distL="0" distR="0">
                  <wp:extent cx="8890" cy="180975"/>
                  <wp:effectExtent l="0" t="0" r="0" b="0"/>
                  <wp:docPr id="1" name="Picture 1" descr="http://teamsites/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msites/_layouts/images/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180975"/>
                          </a:xfrm>
                          <a:prstGeom prst="rect">
                            <a:avLst/>
                          </a:prstGeom>
                          <a:noFill/>
                          <a:ln>
                            <a:noFill/>
                          </a:ln>
                        </pic:spPr>
                      </pic:pic>
                    </a:graphicData>
                  </a:graphic>
                </wp:inline>
              </w:drawing>
            </w:r>
          </w:p>
          <w:p w:rsidR="00647EF3" w:rsidRPr="00965527" w:rsidRDefault="00647EF3" w:rsidP="00647EF3">
            <w:pPr>
              <w:rPr>
                <w:b/>
                <w:sz w:val="22"/>
                <w:szCs w:val="22"/>
              </w:rPr>
            </w:pPr>
            <w:r w:rsidRPr="00965527">
              <w:rPr>
                <w:b/>
                <w:sz w:val="22"/>
                <w:szCs w:val="22"/>
              </w:rPr>
              <w:t>Driver for policy:</w:t>
            </w:r>
          </w:p>
          <w:p w:rsidR="00647EF3" w:rsidRPr="00965527" w:rsidRDefault="00647EF3" w:rsidP="00647EF3">
            <w:pPr>
              <w:rPr>
                <w:b/>
                <w:sz w:val="22"/>
                <w:szCs w:val="22"/>
              </w:rPr>
            </w:pPr>
            <w:r w:rsidRPr="00965527">
              <w:rPr>
                <w:b/>
                <w:sz w:val="22"/>
                <w:szCs w:val="22"/>
              </w:rPr>
              <w:t xml:space="preserve">         Domestic issue                       </w:t>
            </w:r>
            <w:r w:rsidR="00402AD1">
              <w:rPr>
                <w:b/>
                <w:noProof/>
                <w:sz w:val="22"/>
                <w:szCs w:val="22"/>
                <w:lang w:eastAsia="en-GB"/>
              </w:rPr>
              <w:drawing>
                <wp:inline distT="0" distB="0" distL="0" distR="0">
                  <wp:extent cx="233045" cy="129540"/>
                  <wp:effectExtent l="0" t="0" r="0" b="3810"/>
                  <wp:docPr id="2" name="Picture 2" descr="MM90018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900185588[1]"/>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045" cy="129540"/>
                          </a:xfrm>
                          <a:prstGeom prst="rect">
                            <a:avLst/>
                          </a:prstGeom>
                          <a:noFill/>
                          <a:ln>
                            <a:noFill/>
                          </a:ln>
                        </pic:spPr>
                      </pic:pic>
                    </a:graphicData>
                  </a:graphic>
                </wp:inline>
              </w:drawing>
            </w:r>
          </w:p>
          <w:p w:rsidR="00647EF3" w:rsidRPr="00965527" w:rsidRDefault="00647EF3" w:rsidP="00647EF3">
            <w:pPr>
              <w:rPr>
                <w:b/>
                <w:sz w:val="22"/>
                <w:szCs w:val="22"/>
              </w:rPr>
            </w:pPr>
            <w:r w:rsidRPr="00965527">
              <w:rPr>
                <w:b/>
                <w:sz w:val="22"/>
                <w:szCs w:val="22"/>
              </w:rPr>
              <w:t xml:space="preserve">         EU requirement                       </w:t>
            </w:r>
            <w:r w:rsidR="00402AD1">
              <w:rPr>
                <w:b/>
                <w:noProof/>
                <w:sz w:val="22"/>
                <w:szCs w:val="22"/>
                <w:lang w:eastAsia="en-GB"/>
              </w:rPr>
              <w:drawing>
                <wp:inline distT="0" distB="0" distL="0" distR="0">
                  <wp:extent cx="233045" cy="129540"/>
                  <wp:effectExtent l="0" t="0" r="0" b="3810"/>
                  <wp:docPr id="3" name="Picture 3" descr="MM90018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900185588[1]"/>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045" cy="129540"/>
                          </a:xfrm>
                          <a:prstGeom prst="rect">
                            <a:avLst/>
                          </a:prstGeom>
                          <a:noFill/>
                          <a:ln>
                            <a:noFill/>
                          </a:ln>
                        </pic:spPr>
                      </pic:pic>
                    </a:graphicData>
                  </a:graphic>
                </wp:inline>
              </w:drawing>
            </w:r>
            <w:r w:rsidRPr="00965527">
              <w:rPr>
                <w:b/>
                <w:sz w:val="22"/>
                <w:szCs w:val="22"/>
              </w:rPr>
              <w:t xml:space="preserve">         International obligation         </w:t>
            </w:r>
            <w:r w:rsidR="00801AEF" w:rsidRPr="00965527">
              <w:rPr>
                <w:b/>
                <w:sz w:val="22"/>
                <w:szCs w:val="22"/>
              </w:rPr>
              <w:t xml:space="preserve">          </w:t>
            </w:r>
            <w:r w:rsidRPr="00965527">
              <w:rPr>
                <w:b/>
                <w:sz w:val="22"/>
                <w:szCs w:val="22"/>
              </w:rPr>
              <w:t xml:space="preserve"> </w:t>
            </w:r>
            <w:r w:rsidRPr="00965527">
              <w:rPr>
                <w:b/>
                <w:sz w:val="22"/>
                <w:szCs w:val="22"/>
              </w:rPr>
              <w:sym w:font="Webdings" w:char="F063"/>
            </w:r>
          </w:p>
          <w:p w:rsidR="00647EF3" w:rsidRPr="00965527" w:rsidRDefault="00647EF3" w:rsidP="00647EF3">
            <w:pPr>
              <w:rPr>
                <w:b/>
                <w:sz w:val="22"/>
                <w:szCs w:val="22"/>
              </w:rPr>
            </w:pPr>
            <w:r w:rsidRPr="00965527">
              <w:rPr>
                <w:b/>
                <w:sz w:val="22"/>
                <w:szCs w:val="22"/>
              </w:rPr>
              <w:t xml:space="preserve">Policy competency:     UK                </w:t>
            </w:r>
            <w:r w:rsidR="00801AEF" w:rsidRPr="00965527">
              <w:rPr>
                <w:b/>
                <w:sz w:val="22"/>
                <w:szCs w:val="22"/>
              </w:rPr>
              <w:sym w:font="Webdings" w:char="F063"/>
            </w:r>
          </w:p>
          <w:p w:rsidR="00647EF3" w:rsidRPr="00965527" w:rsidRDefault="00647EF3" w:rsidP="00801AEF">
            <w:pPr>
              <w:rPr>
                <w:b/>
                <w:sz w:val="22"/>
                <w:szCs w:val="22"/>
              </w:rPr>
            </w:pPr>
            <w:r w:rsidRPr="00965527">
              <w:rPr>
                <w:b/>
                <w:sz w:val="22"/>
                <w:szCs w:val="22"/>
              </w:rPr>
              <w:t xml:space="preserve">                                       England      </w:t>
            </w:r>
            <w:r w:rsidR="00402AD1">
              <w:rPr>
                <w:b/>
                <w:noProof/>
                <w:sz w:val="22"/>
                <w:szCs w:val="22"/>
                <w:lang w:eastAsia="en-GB"/>
              </w:rPr>
              <w:drawing>
                <wp:inline distT="0" distB="0" distL="0" distR="0">
                  <wp:extent cx="233045" cy="129540"/>
                  <wp:effectExtent l="0" t="0" r="0" b="3810"/>
                  <wp:docPr id="4" name="Picture 4" descr="MM90018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900185588[1]"/>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045" cy="129540"/>
                          </a:xfrm>
                          <a:prstGeom prst="rect">
                            <a:avLst/>
                          </a:prstGeom>
                          <a:noFill/>
                          <a:ln>
                            <a:noFill/>
                          </a:ln>
                        </pic:spPr>
                      </pic:pic>
                    </a:graphicData>
                  </a:graphic>
                </wp:inline>
              </w:drawing>
            </w:r>
            <w:r w:rsidR="00801AEF" w:rsidRPr="00965527">
              <w:rPr>
                <w:b/>
                <w:sz w:val="22"/>
                <w:szCs w:val="22"/>
              </w:rPr>
              <w:t xml:space="preserve">  </w:t>
            </w:r>
          </w:p>
        </w:tc>
        <w:tc>
          <w:tcPr>
            <w:tcW w:w="4559" w:type="dxa"/>
          </w:tcPr>
          <w:p w:rsidR="00647EF3" w:rsidRPr="00965527" w:rsidRDefault="00647EF3" w:rsidP="00647EF3">
            <w:pPr>
              <w:rPr>
                <w:b/>
                <w:sz w:val="22"/>
                <w:szCs w:val="22"/>
              </w:rPr>
            </w:pPr>
            <w:r w:rsidRPr="00965527">
              <w:rPr>
                <w:b/>
                <w:sz w:val="22"/>
                <w:szCs w:val="22"/>
              </w:rPr>
              <w:t>Policy Area or Agency:</w:t>
            </w:r>
          </w:p>
          <w:p w:rsidR="00647EF3" w:rsidRPr="00965527" w:rsidRDefault="00647A87" w:rsidP="00647EF3">
            <w:pPr>
              <w:rPr>
                <w:sz w:val="22"/>
                <w:szCs w:val="22"/>
              </w:rPr>
            </w:pPr>
            <w:r w:rsidRPr="00965527">
              <w:rPr>
                <w:sz w:val="22"/>
                <w:szCs w:val="22"/>
              </w:rPr>
              <w:t>Water Quality</w:t>
            </w:r>
          </w:p>
          <w:p w:rsidR="00647EF3" w:rsidRPr="00965527" w:rsidRDefault="00647EF3" w:rsidP="00647EF3">
            <w:pPr>
              <w:rPr>
                <w:sz w:val="22"/>
                <w:szCs w:val="22"/>
              </w:rPr>
            </w:pPr>
          </w:p>
          <w:p w:rsidR="00647EF3" w:rsidRPr="00965527" w:rsidRDefault="00647EF3" w:rsidP="00647EF3">
            <w:pPr>
              <w:rPr>
                <w:b/>
                <w:sz w:val="22"/>
                <w:szCs w:val="22"/>
              </w:rPr>
            </w:pPr>
            <w:r w:rsidRPr="00965527">
              <w:rPr>
                <w:b/>
                <w:sz w:val="22"/>
                <w:szCs w:val="22"/>
              </w:rPr>
              <w:t>Lead official:</w:t>
            </w:r>
          </w:p>
          <w:p w:rsidR="00647EF3" w:rsidRPr="00965527" w:rsidRDefault="00647A87" w:rsidP="00647EF3">
            <w:pPr>
              <w:rPr>
                <w:sz w:val="22"/>
                <w:szCs w:val="22"/>
              </w:rPr>
            </w:pPr>
            <w:r w:rsidRPr="00965527">
              <w:rPr>
                <w:sz w:val="22"/>
                <w:szCs w:val="22"/>
              </w:rPr>
              <w:t xml:space="preserve">Gill Davies </w:t>
            </w:r>
          </w:p>
          <w:p w:rsidR="00647A87" w:rsidRPr="00965527" w:rsidRDefault="00AA237B" w:rsidP="00647EF3">
            <w:pPr>
              <w:rPr>
                <w:sz w:val="22"/>
                <w:szCs w:val="22"/>
              </w:rPr>
            </w:pPr>
            <w:hyperlink r:id="rId15" w:history="1">
              <w:r w:rsidR="00FA1002" w:rsidRPr="00965527">
                <w:rPr>
                  <w:rStyle w:val="Hyperlink"/>
                  <w:sz w:val="22"/>
                  <w:szCs w:val="22"/>
                </w:rPr>
                <w:t>gill.davies@defra.gsi.gov.uk</w:t>
              </w:r>
            </w:hyperlink>
          </w:p>
          <w:p w:rsidR="00FA1002" w:rsidRPr="00965527" w:rsidRDefault="0000274F" w:rsidP="00647EF3">
            <w:pPr>
              <w:rPr>
                <w:sz w:val="22"/>
                <w:szCs w:val="22"/>
              </w:rPr>
            </w:pPr>
            <w:r w:rsidRPr="00965527">
              <w:rPr>
                <w:sz w:val="22"/>
                <w:szCs w:val="22"/>
              </w:rPr>
              <w:t>07775 818042</w:t>
            </w:r>
          </w:p>
        </w:tc>
      </w:tr>
    </w:tbl>
    <w:p w:rsidR="00647EF3" w:rsidRPr="00965527" w:rsidRDefault="00647EF3" w:rsidP="00647EF3">
      <w:pPr>
        <w:rPr>
          <w:b/>
          <w:bCs/>
          <w:sz w:val="22"/>
          <w:szCs w:val="22"/>
        </w:rPr>
      </w:pPr>
    </w:p>
    <w:p w:rsidR="00647EF3" w:rsidRPr="00965527" w:rsidRDefault="00647EF3" w:rsidP="00647EF3">
      <w:pPr>
        <w:numPr>
          <w:ilvl w:val="0"/>
          <w:numId w:val="12"/>
        </w:numPr>
        <w:rPr>
          <w:b/>
          <w:bCs/>
          <w:sz w:val="22"/>
          <w:szCs w:val="22"/>
          <w:u w:val="single"/>
        </w:rPr>
      </w:pPr>
      <w:r w:rsidRPr="00965527">
        <w:rPr>
          <w:b/>
          <w:bCs/>
          <w:sz w:val="22"/>
          <w:szCs w:val="22"/>
          <w:u w:val="single"/>
        </w:rPr>
        <w:t xml:space="preserve">Summary: Rationale for Intervention and Options </w:t>
      </w:r>
    </w:p>
    <w:p w:rsidR="00647EF3" w:rsidRPr="00965527" w:rsidRDefault="00647EF3" w:rsidP="00647EF3">
      <w:pPr>
        <w:rPr>
          <w:b/>
          <w:bCs/>
          <w:sz w:val="22"/>
          <w:szCs w:val="22"/>
          <w:u w:val="single"/>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47EF3" w:rsidRPr="00965527" w:rsidTr="00571055">
        <w:tc>
          <w:tcPr>
            <w:tcW w:w="9214" w:type="dxa"/>
          </w:tcPr>
          <w:p w:rsidR="00464CCA" w:rsidRPr="00965527" w:rsidRDefault="008D1A77" w:rsidP="00510DF0">
            <w:pPr>
              <w:jc w:val="both"/>
              <w:rPr>
                <w:sz w:val="22"/>
                <w:szCs w:val="22"/>
              </w:rPr>
            </w:pPr>
            <w:r w:rsidRPr="00965527">
              <w:rPr>
                <w:sz w:val="22"/>
                <w:szCs w:val="22"/>
              </w:rPr>
              <w:t>The Isles of Scilly (IoS) are a group of small islands 2</w:t>
            </w:r>
            <w:r w:rsidR="004C45E2" w:rsidRPr="00965527">
              <w:rPr>
                <w:sz w:val="22"/>
                <w:szCs w:val="22"/>
              </w:rPr>
              <w:t>8</w:t>
            </w:r>
            <w:r w:rsidRPr="00965527">
              <w:rPr>
                <w:sz w:val="22"/>
                <w:szCs w:val="22"/>
              </w:rPr>
              <w:t xml:space="preserve"> miles off </w:t>
            </w:r>
            <w:r w:rsidR="000619B0" w:rsidRPr="00965527">
              <w:rPr>
                <w:sz w:val="22"/>
                <w:szCs w:val="22"/>
              </w:rPr>
              <w:t>the coast of Cornwall</w:t>
            </w:r>
            <w:r w:rsidRPr="00965527">
              <w:rPr>
                <w:sz w:val="22"/>
                <w:szCs w:val="22"/>
              </w:rPr>
              <w:t>. The population is 2</w:t>
            </w:r>
            <w:r w:rsidR="00D5673C">
              <w:rPr>
                <w:sz w:val="22"/>
                <w:szCs w:val="22"/>
              </w:rPr>
              <w:t>200</w:t>
            </w:r>
            <w:r w:rsidRPr="00965527">
              <w:rPr>
                <w:sz w:val="22"/>
                <w:szCs w:val="22"/>
              </w:rPr>
              <w:t xml:space="preserve"> (20</w:t>
            </w:r>
            <w:r w:rsidR="00D5673C">
              <w:rPr>
                <w:sz w:val="22"/>
                <w:szCs w:val="22"/>
              </w:rPr>
              <w:t>1</w:t>
            </w:r>
            <w:r w:rsidRPr="00965527">
              <w:rPr>
                <w:sz w:val="22"/>
                <w:szCs w:val="22"/>
              </w:rPr>
              <w:t>1 census)</w:t>
            </w:r>
            <w:r w:rsidR="004C45E2" w:rsidRPr="00965527">
              <w:rPr>
                <w:sz w:val="22"/>
                <w:szCs w:val="22"/>
              </w:rPr>
              <w:t>,</w:t>
            </w:r>
            <w:r w:rsidRPr="00965527">
              <w:rPr>
                <w:sz w:val="22"/>
                <w:szCs w:val="22"/>
              </w:rPr>
              <w:t xml:space="preserve"> but in the summer months the population peaks at 5000 due to </w:t>
            </w:r>
            <w:r w:rsidR="00CB22C3" w:rsidRPr="00965527">
              <w:rPr>
                <w:sz w:val="22"/>
                <w:szCs w:val="22"/>
              </w:rPr>
              <w:t xml:space="preserve">the influx of </w:t>
            </w:r>
            <w:r w:rsidRPr="00965527">
              <w:rPr>
                <w:sz w:val="22"/>
                <w:szCs w:val="22"/>
              </w:rPr>
              <w:t>touris</w:t>
            </w:r>
            <w:r w:rsidR="00CB22C3" w:rsidRPr="00965527">
              <w:rPr>
                <w:sz w:val="22"/>
                <w:szCs w:val="22"/>
              </w:rPr>
              <w:t>ts</w:t>
            </w:r>
            <w:r w:rsidR="00464CCA" w:rsidRPr="00965527">
              <w:rPr>
                <w:sz w:val="22"/>
                <w:szCs w:val="22"/>
              </w:rPr>
              <w:t xml:space="preserve"> (85% of the IoS economy is based on tourism)</w:t>
            </w:r>
            <w:r w:rsidRPr="00965527">
              <w:rPr>
                <w:sz w:val="22"/>
                <w:szCs w:val="22"/>
              </w:rPr>
              <w:t>.</w:t>
            </w:r>
            <w:r w:rsidR="003260D5" w:rsidRPr="00965527">
              <w:rPr>
                <w:sz w:val="22"/>
                <w:szCs w:val="22"/>
              </w:rPr>
              <w:t xml:space="preserve"> Unlike the rest of England</w:t>
            </w:r>
            <w:r w:rsidR="00D5673C">
              <w:rPr>
                <w:sz w:val="22"/>
                <w:szCs w:val="22"/>
              </w:rPr>
              <w:t xml:space="preserve"> delivery of</w:t>
            </w:r>
            <w:r w:rsidR="00B573D3">
              <w:rPr>
                <w:sz w:val="22"/>
                <w:szCs w:val="22"/>
              </w:rPr>
              <w:t xml:space="preserve"> </w:t>
            </w:r>
            <w:r w:rsidR="00464CCA" w:rsidRPr="00965527">
              <w:rPr>
                <w:sz w:val="22"/>
                <w:szCs w:val="22"/>
              </w:rPr>
              <w:t xml:space="preserve">public </w:t>
            </w:r>
            <w:r w:rsidR="003260D5" w:rsidRPr="00965527">
              <w:rPr>
                <w:sz w:val="22"/>
                <w:szCs w:val="22"/>
              </w:rPr>
              <w:t xml:space="preserve">drinking water and sewerage </w:t>
            </w:r>
            <w:r w:rsidR="00D5673C">
              <w:rPr>
                <w:sz w:val="22"/>
                <w:szCs w:val="22"/>
              </w:rPr>
              <w:t>services</w:t>
            </w:r>
            <w:r w:rsidR="00D5673C" w:rsidRPr="00965527">
              <w:rPr>
                <w:sz w:val="22"/>
                <w:szCs w:val="22"/>
              </w:rPr>
              <w:t xml:space="preserve"> </w:t>
            </w:r>
            <w:r w:rsidR="00D5673C">
              <w:rPr>
                <w:sz w:val="22"/>
                <w:szCs w:val="22"/>
              </w:rPr>
              <w:t xml:space="preserve">were </w:t>
            </w:r>
            <w:r w:rsidR="003260D5" w:rsidRPr="00965527">
              <w:rPr>
                <w:sz w:val="22"/>
                <w:szCs w:val="22"/>
              </w:rPr>
              <w:t>not privatised in 1991</w:t>
            </w:r>
            <w:r w:rsidR="00D5673C">
              <w:rPr>
                <w:sz w:val="22"/>
                <w:szCs w:val="22"/>
              </w:rPr>
              <w:t xml:space="preserve"> and the IoS Council remains the </w:t>
            </w:r>
            <w:r w:rsidR="00F37D99">
              <w:rPr>
                <w:sz w:val="22"/>
                <w:szCs w:val="22"/>
              </w:rPr>
              <w:t>water and sewerage undertaker</w:t>
            </w:r>
            <w:r w:rsidR="003260D5" w:rsidRPr="00965527">
              <w:rPr>
                <w:sz w:val="22"/>
                <w:szCs w:val="22"/>
              </w:rPr>
              <w:t xml:space="preserve">. </w:t>
            </w:r>
            <w:r w:rsidR="00F37D99">
              <w:rPr>
                <w:sz w:val="22"/>
                <w:szCs w:val="22"/>
              </w:rPr>
              <w:t>It</w:t>
            </w:r>
            <w:r w:rsidR="003260D5" w:rsidRPr="00965527">
              <w:rPr>
                <w:sz w:val="22"/>
                <w:szCs w:val="22"/>
              </w:rPr>
              <w:t xml:space="preserve"> suppl</w:t>
            </w:r>
            <w:r w:rsidR="00F37D99">
              <w:rPr>
                <w:sz w:val="22"/>
                <w:szCs w:val="22"/>
              </w:rPr>
              <w:t>ies</w:t>
            </w:r>
            <w:r w:rsidR="003260D5" w:rsidRPr="00965527">
              <w:rPr>
                <w:sz w:val="22"/>
                <w:szCs w:val="22"/>
              </w:rPr>
              <w:t xml:space="preserve"> water to </w:t>
            </w:r>
            <w:r w:rsidR="00464CCA" w:rsidRPr="00965527">
              <w:rPr>
                <w:sz w:val="22"/>
                <w:szCs w:val="22"/>
              </w:rPr>
              <w:t xml:space="preserve">a limited base of </w:t>
            </w:r>
            <w:r w:rsidR="003260D5" w:rsidRPr="00965527">
              <w:rPr>
                <w:sz w:val="22"/>
                <w:szCs w:val="22"/>
              </w:rPr>
              <w:t>900 customers on the Isles of St. Mary’s and Bryher</w:t>
            </w:r>
            <w:r w:rsidR="0042383B" w:rsidRPr="00965527">
              <w:rPr>
                <w:sz w:val="22"/>
                <w:szCs w:val="22"/>
              </w:rPr>
              <w:t xml:space="preserve"> and </w:t>
            </w:r>
            <w:r w:rsidR="00CB22C3" w:rsidRPr="00965527">
              <w:rPr>
                <w:sz w:val="22"/>
                <w:szCs w:val="22"/>
              </w:rPr>
              <w:t xml:space="preserve">to </w:t>
            </w:r>
            <w:r w:rsidR="0042383B" w:rsidRPr="00965527">
              <w:rPr>
                <w:sz w:val="22"/>
                <w:szCs w:val="22"/>
              </w:rPr>
              <w:t>600 sewerage customers</w:t>
            </w:r>
            <w:r w:rsidR="00CB22C3" w:rsidRPr="00965527">
              <w:rPr>
                <w:sz w:val="22"/>
                <w:szCs w:val="22"/>
              </w:rPr>
              <w:t xml:space="preserve"> on St. Mary’s</w:t>
            </w:r>
            <w:r w:rsidR="0042383B" w:rsidRPr="00965527">
              <w:rPr>
                <w:sz w:val="22"/>
                <w:szCs w:val="22"/>
              </w:rPr>
              <w:t xml:space="preserve">. </w:t>
            </w:r>
          </w:p>
          <w:p w:rsidR="00993BE9" w:rsidRDefault="00801AEF" w:rsidP="00510DF0">
            <w:pPr>
              <w:jc w:val="both"/>
              <w:rPr>
                <w:sz w:val="22"/>
                <w:szCs w:val="22"/>
              </w:rPr>
            </w:pPr>
            <w:r w:rsidRPr="00965527">
              <w:rPr>
                <w:sz w:val="22"/>
                <w:szCs w:val="22"/>
              </w:rPr>
              <w:t>V</w:t>
            </w:r>
            <w:r w:rsidR="00510DF0" w:rsidRPr="00965527">
              <w:rPr>
                <w:sz w:val="22"/>
                <w:szCs w:val="22"/>
              </w:rPr>
              <w:t xml:space="preserve">arious key pieces of water legislation within England that protect public and environmental health have not been applied to the IoS or have only been applied in part. </w:t>
            </w:r>
            <w:r w:rsidR="00F37D99">
              <w:rPr>
                <w:sz w:val="22"/>
                <w:szCs w:val="22"/>
              </w:rPr>
              <w:t xml:space="preserve">  Such legislative gaps mean that the </w:t>
            </w:r>
            <w:r w:rsidR="00993BE9" w:rsidRPr="00965527">
              <w:rPr>
                <w:sz w:val="22"/>
                <w:szCs w:val="22"/>
              </w:rPr>
              <w:t>Drinking Water Inspectorate (DWI) and Environment Agency (EA) have no enforcement powers in r</w:t>
            </w:r>
            <w:r w:rsidR="00993BE9">
              <w:rPr>
                <w:sz w:val="22"/>
                <w:szCs w:val="22"/>
              </w:rPr>
              <w:t xml:space="preserve">elation to water on the islands and that a number of </w:t>
            </w:r>
            <w:r w:rsidR="00510DF0" w:rsidRPr="00965527">
              <w:rPr>
                <w:sz w:val="22"/>
                <w:szCs w:val="22"/>
              </w:rPr>
              <w:t>E</w:t>
            </w:r>
            <w:r w:rsidR="00B573D3">
              <w:rPr>
                <w:sz w:val="22"/>
                <w:szCs w:val="22"/>
              </w:rPr>
              <w:t>uropean</w:t>
            </w:r>
            <w:r w:rsidR="00F37D99" w:rsidRPr="00965527">
              <w:rPr>
                <w:sz w:val="22"/>
                <w:szCs w:val="22"/>
              </w:rPr>
              <w:t xml:space="preserve"> </w:t>
            </w:r>
            <w:r w:rsidR="00510DF0" w:rsidRPr="00965527">
              <w:rPr>
                <w:sz w:val="22"/>
                <w:szCs w:val="22"/>
              </w:rPr>
              <w:t xml:space="preserve">Directives, </w:t>
            </w:r>
            <w:r w:rsidR="00993BE9">
              <w:rPr>
                <w:sz w:val="22"/>
                <w:szCs w:val="22"/>
              </w:rPr>
              <w:t>including</w:t>
            </w:r>
            <w:r w:rsidR="00510DF0" w:rsidRPr="00965527">
              <w:rPr>
                <w:sz w:val="22"/>
                <w:szCs w:val="22"/>
              </w:rPr>
              <w:t xml:space="preserve"> the Drinking Water Directive </w:t>
            </w:r>
            <w:r w:rsidR="00EB0B96" w:rsidRPr="00965527">
              <w:rPr>
                <w:sz w:val="22"/>
                <w:szCs w:val="22"/>
              </w:rPr>
              <w:t xml:space="preserve">(DWD) </w:t>
            </w:r>
            <w:r w:rsidR="00510DF0" w:rsidRPr="00965527">
              <w:rPr>
                <w:sz w:val="22"/>
                <w:szCs w:val="22"/>
              </w:rPr>
              <w:t>and the Urban Waste Water Treatment Directive</w:t>
            </w:r>
            <w:r w:rsidR="00EB0B96" w:rsidRPr="00965527">
              <w:rPr>
                <w:sz w:val="22"/>
                <w:szCs w:val="22"/>
              </w:rPr>
              <w:t xml:space="preserve"> (UWWTD)</w:t>
            </w:r>
            <w:r w:rsidR="007413A7">
              <w:rPr>
                <w:sz w:val="22"/>
                <w:szCs w:val="22"/>
              </w:rPr>
              <w:t>,</w:t>
            </w:r>
            <w:r w:rsidR="00993BE9">
              <w:rPr>
                <w:sz w:val="22"/>
                <w:szCs w:val="22"/>
              </w:rPr>
              <w:t xml:space="preserve"> ha</w:t>
            </w:r>
            <w:r w:rsidR="007413A7">
              <w:rPr>
                <w:sz w:val="22"/>
                <w:szCs w:val="22"/>
              </w:rPr>
              <w:t>ve not been properly transposed resulting in a risk of infraction.</w:t>
            </w:r>
          </w:p>
          <w:p w:rsidR="00786AF9" w:rsidRPr="00965527" w:rsidRDefault="00993BE9" w:rsidP="00786AF9">
            <w:pPr>
              <w:jc w:val="both"/>
              <w:rPr>
                <w:sz w:val="22"/>
                <w:szCs w:val="22"/>
              </w:rPr>
            </w:pPr>
            <w:r>
              <w:rPr>
                <w:sz w:val="22"/>
                <w:szCs w:val="22"/>
              </w:rPr>
              <w:t>The lack of separation between the regulatory activity and service supply has contributed to reduced levels of investment in water</w:t>
            </w:r>
            <w:r w:rsidR="005968F1">
              <w:rPr>
                <w:sz w:val="22"/>
                <w:szCs w:val="22"/>
              </w:rPr>
              <w:t xml:space="preserve"> and waste water</w:t>
            </w:r>
            <w:r>
              <w:rPr>
                <w:sz w:val="22"/>
                <w:szCs w:val="22"/>
              </w:rPr>
              <w:t xml:space="preserve"> infrastructure putting public health and the environment at risk.  </w:t>
            </w:r>
            <w:r w:rsidR="007413A7">
              <w:rPr>
                <w:sz w:val="22"/>
                <w:szCs w:val="22"/>
              </w:rPr>
              <w:t>Whilst measures have been put in plac</w:t>
            </w:r>
            <w:r w:rsidR="00B573D3">
              <w:rPr>
                <w:sz w:val="22"/>
                <w:szCs w:val="22"/>
              </w:rPr>
              <w:t xml:space="preserve">e to address immediate problems, </w:t>
            </w:r>
            <w:r w:rsidR="00272F84" w:rsidRPr="000632B6">
              <w:rPr>
                <w:sz w:val="22"/>
                <w:szCs w:val="22"/>
              </w:rPr>
              <w:t xml:space="preserve">this is a good opportunity to </w:t>
            </w:r>
            <w:r w:rsidR="006B6E4E" w:rsidRPr="000632B6">
              <w:rPr>
                <w:sz w:val="22"/>
                <w:szCs w:val="22"/>
              </w:rPr>
              <w:t xml:space="preserve">clarify </w:t>
            </w:r>
            <w:r w:rsidR="00272F84" w:rsidRPr="000632B6">
              <w:rPr>
                <w:sz w:val="22"/>
                <w:szCs w:val="22"/>
              </w:rPr>
              <w:t xml:space="preserve">the regulatory regime </w:t>
            </w:r>
            <w:r w:rsidR="006B6E4E" w:rsidRPr="000632B6">
              <w:rPr>
                <w:sz w:val="22"/>
                <w:szCs w:val="22"/>
              </w:rPr>
              <w:t xml:space="preserve">particularly ensuring separation between regulator and undertaker.  This will </w:t>
            </w:r>
            <w:r w:rsidR="0007627D" w:rsidRPr="000632B6">
              <w:rPr>
                <w:sz w:val="22"/>
                <w:szCs w:val="22"/>
              </w:rPr>
              <w:t xml:space="preserve">promote activity to understand and resolve issues early promoting a more strategic approach to future water investment consistent with the rest of England.  It will also </w:t>
            </w:r>
            <w:r w:rsidR="006B6E4E" w:rsidRPr="000632B6">
              <w:rPr>
                <w:sz w:val="22"/>
                <w:szCs w:val="22"/>
              </w:rPr>
              <w:t xml:space="preserve">improve recovery of </w:t>
            </w:r>
            <w:r w:rsidR="00272F84" w:rsidRPr="000632B6">
              <w:rPr>
                <w:sz w:val="22"/>
                <w:szCs w:val="22"/>
              </w:rPr>
              <w:t xml:space="preserve">costs from beneficiaries or polluters. </w:t>
            </w:r>
          </w:p>
          <w:p w:rsidR="00D14FAB" w:rsidRPr="00965527" w:rsidRDefault="00D14FAB" w:rsidP="000632B6">
            <w:pPr>
              <w:jc w:val="both"/>
              <w:rPr>
                <w:sz w:val="22"/>
                <w:szCs w:val="22"/>
              </w:rPr>
            </w:pPr>
          </w:p>
        </w:tc>
      </w:tr>
      <w:tr w:rsidR="00647EF3" w:rsidRPr="00965527" w:rsidTr="00571055">
        <w:tc>
          <w:tcPr>
            <w:tcW w:w="9214" w:type="dxa"/>
          </w:tcPr>
          <w:p w:rsidR="00D148D1" w:rsidRPr="00965527" w:rsidRDefault="004C45E2" w:rsidP="004C45E2">
            <w:pPr>
              <w:rPr>
                <w:b/>
                <w:sz w:val="22"/>
                <w:szCs w:val="22"/>
              </w:rPr>
            </w:pPr>
            <w:r w:rsidRPr="00965527">
              <w:rPr>
                <w:b/>
                <w:sz w:val="22"/>
                <w:szCs w:val="22"/>
              </w:rPr>
              <w:t xml:space="preserve">Policy </w:t>
            </w:r>
            <w:r w:rsidR="004079F7">
              <w:rPr>
                <w:b/>
                <w:sz w:val="22"/>
                <w:szCs w:val="22"/>
              </w:rPr>
              <w:t>Objectives</w:t>
            </w:r>
          </w:p>
          <w:p w:rsidR="00C27BF5" w:rsidRPr="00965527" w:rsidRDefault="00510DF0" w:rsidP="0000274F">
            <w:pPr>
              <w:jc w:val="both"/>
              <w:rPr>
                <w:sz w:val="22"/>
                <w:szCs w:val="22"/>
              </w:rPr>
            </w:pPr>
            <w:r w:rsidRPr="00965527">
              <w:rPr>
                <w:sz w:val="22"/>
                <w:szCs w:val="22"/>
              </w:rPr>
              <w:t xml:space="preserve">The overall policy objective </w:t>
            </w:r>
            <w:r w:rsidR="00B63AC9" w:rsidRPr="00965527">
              <w:rPr>
                <w:sz w:val="22"/>
                <w:szCs w:val="22"/>
              </w:rPr>
              <w:t>is to</w:t>
            </w:r>
            <w:r w:rsidRPr="00965527">
              <w:rPr>
                <w:sz w:val="22"/>
                <w:szCs w:val="22"/>
              </w:rPr>
              <w:t xml:space="preserve"> ensure that </w:t>
            </w:r>
            <w:r w:rsidR="00C27BF5">
              <w:rPr>
                <w:sz w:val="22"/>
                <w:szCs w:val="22"/>
              </w:rPr>
              <w:t xml:space="preserve">the </w:t>
            </w:r>
            <w:r w:rsidR="005968F1">
              <w:rPr>
                <w:sz w:val="22"/>
                <w:szCs w:val="22"/>
              </w:rPr>
              <w:t xml:space="preserve">IoS enjoy public health and environmental outcomes on a par with other parts of the United Kingdom.  </w:t>
            </w:r>
            <w:r w:rsidR="007635A8">
              <w:rPr>
                <w:sz w:val="22"/>
                <w:szCs w:val="22"/>
              </w:rPr>
              <w:t xml:space="preserve">In terms of water this means that at least the minimum standards considered acceptable in England are achieved in drinking water and environmental waters and that sufficient safeguards exist to deliver and maintain these standards over the long term.  </w:t>
            </w:r>
          </w:p>
          <w:p w:rsidR="00C841C1" w:rsidRPr="00965527" w:rsidRDefault="00C36A37" w:rsidP="0000274F">
            <w:pPr>
              <w:jc w:val="both"/>
              <w:rPr>
                <w:sz w:val="22"/>
                <w:szCs w:val="22"/>
                <w:u w:val="single"/>
              </w:rPr>
            </w:pPr>
            <w:r w:rsidRPr="00965527">
              <w:rPr>
                <w:sz w:val="22"/>
                <w:szCs w:val="22"/>
                <w:u w:val="single"/>
              </w:rPr>
              <w:t>Short and Medium Term</w:t>
            </w:r>
          </w:p>
          <w:p w:rsidR="00691A6F" w:rsidRPr="00965527" w:rsidRDefault="0000274F" w:rsidP="0000274F">
            <w:pPr>
              <w:jc w:val="both"/>
              <w:rPr>
                <w:sz w:val="22"/>
                <w:szCs w:val="22"/>
              </w:rPr>
            </w:pPr>
            <w:r w:rsidRPr="00965527">
              <w:rPr>
                <w:b/>
                <w:sz w:val="22"/>
                <w:szCs w:val="22"/>
                <w:u w:val="single"/>
              </w:rPr>
              <w:t>I)</w:t>
            </w:r>
            <w:r w:rsidRPr="00965527">
              <w:rPr>
                <w:sz w:val="22"/>
                <w:szCs w:val="22"/>
              </w:rPr>
              <w:t xml:space="preserve"> </w:t>
            </w:r>
            <w:r w:rsidR="00510DF0" w:rsidRPr="00C27BF5">
              <w:rPr>
                <w:sz w:val="22"/>
                <w:szCs w:val="22"/>
              </w:rPr>
              <w:t>T</w:t>
            </w:r>
            <w:r w:rsidR="00510DF0" w:rsidRPr="00965527">
              <w:rPr>
                <w:sz w:val="22"/>
                <w:szCs w:val="22"/>
              </w:rPr>
              <w:t xml:space="preserve">he </w:t>
            </w:r>
            <w:r w:rsidR="004A6EF0">
              <w:rPr>
                <w:sz w:val="22"/>
                <w:szCs w:val="22"/>
              </w:rPr>
              <w:t xml:space="preserve">immediate threats will largely be </w:t>
            </w:r>
            <w:r w:rsidR="00510DF0" w:rsidRPr="00965527">
              <w:rPr>
                <w:sz w:val="22"/>
                <w:szCs w:val="22"/>
              </w:rPr>
              <w:t>addressed by a £1.5 million Defra grant to improve the drinking water infrastructure</w:t>
            </w:r>
            <w:r w:rsidR="001C015A">
              <w:rPr>
                <w:sz w:val="22"/>
                <w:szCs w:val="22"/>
              </w:rPr>
              <w:t xml:space="preserve"> that has been given to the IoS Council in 2012</w:t>
            </w:r>
            <w:r w:rsidR="00E8534B">
              <w:rPr>
                <w:sz w:val="22"/>
                <w:szCs w:val="22"/>
              </w:rPr>
              <w:t>.</w:t>
            </w:r>
            <w:r w:rsidR="00510DF0" w:rsidRPr="00965527">
              <w:rPr>
                <w:sz w:val="22"/>
                <w:szCs w:val="22"/>
              </w:rPr>
              <w:t xml:space="preserve">  </w:t>
            </w:r>
          </w:p>
          <w:p w:rsidR="00691A6F" w:rsidRPr="00965527" w:rsidRDefault="00510DF0" w:rsidP="00691A6F">
            <w:pPr>
              <w:jc w:val="both"/>
              <w:rPr>
                <w:sz w:val="22"/>
                <w:szCs w:val="22"/>
              </w:rPr>
            </w:pPr>
            <w:r w:rsidRPr="00965527">
              <w:rPr>
                <w:sz w:val="22"/>
                <w:szCs w:val="22"/>
              </w:rPr>
              <w:t xml:space="preserve">A further £1 million is </w:t>
            </w:r>
            <w:r w:rsidR="00E8534B">
              <w:rPr>
                <w:sz w:val="22"/>
                <w:szCs w:val="22"/>
              </w:rPr>
              <w:t xml:space="preserve">estimated to be </w:t>
            </w:r>
            <w:r w:rsidRPr="00965527">
              <w:rPr>
                <w:sz w:val="22"/>
                <w:szCs w:val="22"/>
              </w:rPr>
              <w:t>needed to improve the sewerage infrastructure</w:t>
            </w:r>
            <w:r w:rsidR="00E8534B">
              <w:rPr>
                <w:sz w:val="22"/>
                <w:szCs w:val="22"/>
              </w:rPr>
              <w:t xml:space="preserve">.  </w:t>
            </w:r>
            <w:r w:rsidRPr="00965527">
              <w:rPr>
                <w:sz w:val="22"/>
                <w:szCs w:val="22"/>
              </w:rPr>
              <w:t xml:space="preserve"> The amount will be confirmed by December 2012. A further Defra grant to fund these improvements, at least in part, </w:t>
            </w:r>
            <w:r w:rsidR="003B40D7" w:rsidRPr="00965527">
              <w:rPr>
                <w:sz w:val="22"/>
                <w:szCs w:val="22"/>
              </w:rPr>
              <w:t>is currently being considered.</w:t>
            </w:r>
            <w:r w:rsidR="008309C1" w:rsidRPr="00965527">
              <w:rPr>
                <w:sz w:val="22"/>
                <w:szCs w:val="22"/>
              </w:rPr>
              <w:t xml:space="preserve"> </w:t>
            </w:r>
            <w:r w:rsidR="0088666A">
              <w:rPr>
                <w:sz w:val="22"/>
                <w:szCs w:val="22"/>
              </w:rPr>
              <w:t xml:space="preserve"> This should ensure that water and sewerage assets meet the minimum required standards and are able to comply with the requirements of European legislation.</w:t>
            </w:r>
          </w:p>
          <w:p w:rsidR="00C36A37" w:rsidRPr="00965527" w:rsidRDefault="00C36A37" w:rsidP="00C36A37">
            <w:pPr>
              <w:jc w:val="both"/>
              <w:rPr>
                <w:sz w:val="22"/>
                <w:szCs w:val="22"/>
                <w:u w:val="single"/>
              </w:rPr>
            </w:pPr>
            <w:r w:rsidRPr="00965527">
              <w:rPr>
                <w:sz w:val="22"/>
                <w:szCs w:val="22"/>
                <w:u w:val="single"/>
              </w:rPr>
              <w:t xml:space="preserve">Long </w:t>
            </w:r>
            <w:r w:rsidR="0089472C" w:rsidRPr="00965527">
              <w:rPr>
                <w:sz w:val="22"/>
                <w:szCs w:val="22"/>
                <w:u w:val="single"/>
              </w:rPr>
              <w:t>T</w:t>
            </w:r>
            <w:r w:rsidRPr="00965527">
              <w:rPr>
                <w:sz w:val="22"/>
                <w:szCs w:val="22"/>
                <w:u w:val="single"/>
              </w:rPr>
              <w:t>erm</w:t>
            </w:r>
          </w:p>
          <w:p w:rsidR="008E5E6D" w:rsidRPr="00965527" w:rsidRDefault="0000274F" w:rsidP="00C36A37">
            <w:pPr>
              <w:jc w:val="both"/>
              <w:rPr>
                <w:sz w:val="22"/>
                <w:szCs w:val="22"/>
              </w:rPr>
            </w:pPr>
            <w:r w:rsidRPr="00965527">
              <w:rPr>
                <w:b/>
                <w:sz w:val="22"/>
                <w:szCs w:val="22"/>
                <w:u w:val="single"/>
              </w:rPr>
              <w:t>II)</w:t>
            </w:r>
            <w:r w:rsidRPr="00965527">
              <w:rPr>
                <w:b/>
                <w:sz w:val="22"/>
                <w:szCs w:val="22"/>
              </w:rPr>
              <w:t xml:space="preserve"> </w:t>
            </w:r>
            <w:r w:rsidR="00691A6F" w:rsidRPr="00965527">
              <w:rPr>
                <w:sz w:val="22"/>
                <w:szCs w:val="22"/>
              </w:rPr>
              <w:t xml:space="preserve">For the longer term, </w:t>
            </w:r>
            <w:r w:rsidR="009B4E28">
              <w:rPr>
                <w:sz w:val="22"/>
                <w:szCs w:val="22"/>
              </w:rPr>
              <w:t xml:space="preserve">a clear evidence based strategy on how to maintain and where necessary improve the quality of drinking </w:t>
            </w:r>
            <w:r w:rsidR="00735D89">
              <w:rPr>
                <w:sz w:val="22"/>
                <w:szCs w:val="22"/>
              </w:rPr>
              <w:t xml:space="preserve">water </w:t>
            </w:r>
            <w:r w:rsidR="009B4E28">
              <w:rPr>
                <w:sz w:val="22"/>
                <w:szCs w:val="22"/>
              </w:rPr>
              <w:t>and environmental waters</w:t>
            </w:r>
            <w:r w:rsidR="001C015A">
              <w:rPr>
                <w:sz w:val="22"/>
                <w:szCs w:val="22"/>
              </w:rPr>
              <w:t xml:space="preserve"> is needed</w:t>
            </w:r>
            <w:r w:rsidR="009B4E28">
              <w:rPr>
                <w:sz w:val="22"/>
                <w:szCs w:val="22"/>
              </w:rPr>
              <w:t xml:space="preserve">.  </w:t>
            </w:r>
            <w:r w:rsidR="00735D89">
              <w:rPr>
                <w:sz w:val="22"/>
                <w:szCs w:val="22"/>
              </w:rPr>
              <w:t xml:space="preserve">There should be a clear separation between those responsible for setting and monitoring </w:t>
            </w:r>
            <w:r w:rsidR="00735D89">
              <w:rPr>
                <w:sz w:val="22"/>
                <w:szCs w:val="22"/>
              </w:rPr>
              <w:lastRenderedPageBreak/>
              <w:t xml:space="preserve">standards and those responsible for delivering an investment strategy for water and waste water infrastructure.  </w:t>
            </w:r>
          </w:p>
          <w:p w:rsidR="0089472C" w:rsidRPr="00965527" w:rsidRDefault="0089472C" w:rsidP="00C36A37">
            <w:pPr>
              <w:jc w:val="both"/>
              <w:rPr>
                <w:sz w:val="22"/>
                <w:szCs w:val="22"/>
                <w:u w:val="single"/>
              </w:rPr>
            </w:pPr>
            <w:r w:rsidRPr="00965527">
              <w:rPr>
                <w:sz w:val="22"/>
                <w:szCs w:val="22"/>
                <w:u w:val="single"/>
              </w:rPr>
              <w:t xml:space="preserve">Behavioural Issues </w:t>
            </w:r>
          </w:p>
          <w:p w:rsidR="00647EF3" w:rsidRPr="00965527" w:rsidRDefault="00510DF0" w:rsidP="006B2D27">
            <w:pPr>
              <w:jc w:val="both"/>
              <w:rPr>
                <w:sz w:val="22"/>
                <w:szCs w:val="22"/>
              </w:rPr>
            </w:pPr>
            <w:r w:rsidRPr="00965527">
              <w:rPr>
                <w:b/>
                <w:sz w:val="22"/>
                <w:szCs w:val="22"/>
                <w:u w:val="single"/>
              </w:rPr>
              <w:t>III</w:t>
            </w:r>
            <w:r w:rsidR="00647EF3" w:rsidRPr="00965527">
              <w:rPr>
                <w:b/>
                <w:sz w:val="22"/>
                <w:szCs w:val="22"/>
                <w:u w:val="single"/>
              </w:rPr>
              <w:t>)</w:t>
            </w:r>
            <w:r w:rsidR="00647EF3" w:rsidRPr="00965527">
              <w:rPr>
                <w:sz w:val="22"/>
                <w:szCs w:val="22"/>
              </w:rPr>
              <w:t xml:space="preserve">  </w:t>
            </w:r>
            <w:r w:rsidR="00786AF9">
              <w:rPr>
                <w:sz w:val="22"/>
                <w:szCs w:val="22"/>
              </w:rPr>
              <w:t xml:space="preserve">The IoS Council will be encouraged to become self sufficient and </w:t>
            </w:r>
            <w:r w:rsidR="004079F7">
              <w:rPr>
                <w:sz w:val="22"/>
                <w:szCs w:val="22"/>
              </w:rPr>
              <w:t>less</w:t>
            </w:r>
            <w:r w:rsidR="00786AF9">
              <w:rPr>
                <w:sz w:val="22"/>
                <w:szCs w:val="22"/>
              </w:rPr>
              <w:t xml:space="preserve"> reliant on government funding to support its drinking water and sewerage asset replacement by working in partnership with the DWI and EA. </w:t>
            </w:r>
            <w:r w:rsidR="00EE4E77">
              <w:rPr>
                <w:sz w:val="22"/>
                <w:szCs w:val="22"/>
              </w:rPr>
              <w:t xml:space="preserve">A more strategic and transparent plan should allow the council to engage with its </w:t>
            </w:r>
            <w:r w:rsidR="00D72C47">
              <w:rPr>
                <w:sz w:val="22"/>
                <w:szCs w:val="22"/>
              </w:rPr>
              <w:t xml:space="preserve">customers </w:t>
            </w:r>
            <w:r w:rsidR="00EE4E77">
              <w:rPr>
                <w:sz w:val="22"/>
                <w:szCs w:val="22"/>
              </w:rPr>
              <w:t xml:space="preserve">on key issues and challenges faced.  This should allow a more open debate on how to maintain assets and plan for future funding.  </w:t>
            </w:r>
          </w:p>
          <w:p w:rsidR="00647EF3" w:rsidRPr="00965527" w:rsidRDefault="00647EF3" w:rsidP="00647EF3">
            <w:pPr>
              <w:rPr>
                <w:sz w:val="22"/>
                <w:szCs w:val="22"/>
              </w:rPr>
            </w:pPr>
          </w:p>
        </w:tc>
      </w:tr>
    </w:tbl>
    <w:p w:rsidR="00647EF3" w:rsidRPr="00965527" w:rsidRDefault="00647EF3" w:rsidP="00647EF3">
      <w:pPr>
        <w:rPr>
          <w:sz w:val="22"/>
          <w:szCs w:val="22"/>
        </w:rPr>
      </w:pPr>
    </w:p>
    <w:p w:rsidR="00647EF3" w:rsidRPr="00965527" w:rsidRDefault="00647EF3" w:rsidP="00647EF3">
      <w:pPr>
        <w:numPr>
          <w:ilvl w:val="0"/>
          <w:numId w:val="12"/>
        </w:numPr>
        <w:rPr>
          <w:b/>
          <w:bCs/>
          <w:sz w:val="22"/>
          <w:szCs w:val="22"/>
          <w:u w:val="single"/>
        </w:rPr>
      </w:pPr>
      <w:r w:rsidRPr="00965527">
        <w:rPr>
          <w:b/>
          <w:bCs/>
          <w:sz w:val="22"/>
          <w:szCs w:val="22"/>
          <w:u w:val="single"/>
        </w:rPr>
        <w:t>Potential Policy Options</w:t>
      </w:r>
    </w:p>
    <w:p w:rsidR="00647EF3" w:rsidRPr="00965527" w:rsidRDefault="00647EF3" w:rsidP="00647EF3">
      <w:pPr>
        <w:rPr>
          <w:b/>
          <w:bCs/>
          <w:sz w:val="22"/>
          <w:szCs w:val="22"/>
          <w:u w:val="single"/>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47EF3" w:rsidRPr="00965527" w:rsidTr="008D3039">
        <w:trPr>
          <w:trHeight w:val="3189"/>
        </w:trPr>
        <w:tc>
          <w:tcPr>
            <w:tcW w:w="9214" w:type="dxa"/>
            <w:tcBorders>
              <w:top w:val="single" w:sz="4" w:space="0" w:color="auto"/>
              <w:left w:val="single" w:sz="4" w:space="0" w:color="auto"/>
              <w:bottom w:val="single" w:sz="4" w:space="0" w:color="auto"/>
              <w:right w:val="single" w:sz="4" w:space="0" w:color="auto"/>
            </w:tcBorders>
          </w:tcPr>
          <w:p w:rsidR="00045460" w:rsidRPr="00965527" w:rsidRDefault="00045460" w:rsidP="00045460">
            <w:pPr>
              <w:rPr>
                <w:b/>
                <w:bCs/>
                <w:sz w:val="22"/>
                <w:szCs w:val="22"/>
              </w:rPr>
            </w:pPr>
            <w:r w:rsidRPr="00965527">
              <w:rPr>
                <w:b/>
                <w:bCs/>
                <w:sz w:val="22"/>
                <w:szCs w:val="22"/>
              </w:rPr>
              <w:t>i) Do Nothing</w:t>
            </w:r>
          </w:p>
          <w:p w:rsidR="00691A6F" w:rsidRPr="00965527" w:rsidRDefault="00691A6F" w:rsidP="00691A6F">
            <w:pPr>
              <w:jc w:val="both"/>
              <w:rPr>
                <w:sz w:val="22"/>
                <w:szCs w:val="22"/>
              </w:rPr>
            </w:pPr>
            <w:r w:rsidRPr="00965527">
              <w:rPr>
                <w:sz w:val="22"/>
                <w:szCs w:val="22"/>
              </w:rPr>
              <w:t>The main advantages to leaving the legislation unchanged are to eliminate the resource requirement</w:t>
            </w:r>
            <w:r w:rsidR="008D4179" w:rsidRPr="00965527">
              <w:rPr>
                <w:sz w:val="22"/>
                <w:szCs w:val="22"/>
              </w:rPr>
              <w:t>s</w:t>
            </w:r>
            <w:r w:rsidRPr="00965527">
              <w:rPr>
                <w:sz w:val="22"/>
                <w:szCs w:val="22"/>
              </w:rPr>
              <w:t xml:space="preserve"> to bring them into effect and would avoid </w:t>
            </w:r>
            <w:r w:rsidR="00EE4E77">
              <w:rPr>
                <w:sz w:val="22"/>
                <w:szCs w:val="22"/>
              </w:rPr>
              <w:t xml:space="preserve">potential controversy around </w:t>
            </w:r>
            <w:r w:rsidRPr="00965527">
              <w:rPr>
                <w:sz w:val="22"/>
                <w:szCs w:val="22"/>
              </w:rPr>
              <w:t xml:space="preserve">first time environmental permitting burdens for the IoS Council, the Duchy of Cornwall, Tresco Estates and </w:t>
            </w:r>
            <w:r w:rsidR="003B40D7" w:rsidRPr="00965527">
              <w:rPr>
                <w:sz w:val="22"/>
                <w:szCs w:val="22"/>
              </w:rPr>
              <w:t xml:space="preserve">those </w:t>
            </w:r>
            <w:r w:rsidRPr="00965527">
              <w:rPr>
                <w:sz w:val="22"/>
                <w:szCs w:val="22"/>
              </w:rPr>
              <w:t>residents with discharges. Residents are likely to question the payment of charges (however small) as hitherto water discharge and other activities have been free of charge.</w:t>
            </w:r>
          </w:p>
          <w:p w:rsidR="005218F9" w:rsidRDefault="00691A6F" w:rsidP="001C015A">
            <w:pPr>
              <w:jc w:val="both"/>
              <w:rPr>
                <w:sz w:val="22"/>
                <w:szCs w:val="22"/>
              </w:rPr>
            </w:pPr>
            <w:r w:rsidRPr="00965527">
              <w:rPr>
                <w:sz w:val="22"/>
                <w:szCs w:val="22"/>
              </w:rPr>
              <w:t>However, the management of the public health and environmental risks would remain on an informal footing with the regulators (DWI and EA) which may not be</w:t>
            </w:r>
            <w:r w:rsidR="00B27D38">
              <w:rPr>
                <w:sz w:val="22"/>
                <w:szCs w:val="22"/>
              </w:rPr>
              <w:t xml:space="preserve"> sustainable in the long term. </w:t>
            </w:r>
            <w:r w:rsidR="00D32B9C">
              <w:rPr>
                <w:sz w:val="22"/>
                <w:szCs w:val="22"/>
              </w:rPr>
              <w:t xml:space="preserve">There would remain a lack of clear transparent drivers for improvements when they are necessary.  </w:t>
            </w:r>
            <w:r w:rsidR="008B0196">
              <w:rPr>
                <w:sz w:val="22"/>
                <w:szCs w:val="22"/>
              </w:rPr>
              <w:t xml:space="preserve">This may lead to risks not being identified and addressed early and a build up of investment requirements which would need to be addressed by further significant capital injections from central government.  </w:t>
            </w:r>
            <w:r w:rsidRPr="00965527">
              <w:rPr>
                <w:sz w:val="22"/>
                <w:szCs w:val="22"/>
              </w:rPr>
              <w:t xml:space="preserve">The infraction risk would </w:t>
            </w:r>
            <w:r w:rsidR="00D134DB" w:rsidRPr="00965527">
              <w:rPr>
                <w:sz w:val="22"/>
                <w:szCs w:val="22"/>
              </w:rPr>
              <w:t xml:space="preserve">also </w:t>
            </w:r>
            <w:r w:rsidRPr="00965527">
              <w:rPr>
                <w:sz w:val="22"/>
                <w:szCs w:val="22"/>
              </w:rPr>
              <w:t>not be addressed</w:t>
            </w:r>
            <w:r w:rsidR="00D32B9C">
              <w:rPr>
                <w:sz w:val="22"/>
                <w:szCs w:val="22"/>
              </w:rPr>
              <w:t xml:space="preserve"> and there could be issues of preferential treatment compared to those who are already permitt</w:t>
            </w:r>
            <w:r w:rsidR="001C015A">
              <w:rPr>
                <w:sz w:val="22"/>
                <w:szCs w:val="22"/>
              </w:rPr>
              <w:t>ed</w:t>
            </w:r>
            <w:r w:rsidR="00D32B9C">
              <w:rPr>
                <w:sz w:val="22"/>
                <w:szCs w:val="22"/>
              </w:rPr>
              <w:t xml:space="preserve"> on the mainland</w:t>
            </w:r>
            <w:r w:rsidRPr="00965527">
              <w:rPr>
                <w:sz w:val="22"/>
                <w:szCs w:val="22"/>
              </w:rPr>
              <w:t>.</w:t>
            </w:r>
            <w:r w:rsidR="003762F5">
              <w:rPr>
                <w:sz w:val="22"/>
                <w:szCs w:val="22"/>
              </w:rPr>
              <w:t xml:space="preserve"> </w:t>
            </w:r>
          </w:p>
          <w:p w:rsidR="00EC63DF" w:rsidRPr="00965527" w:rsidRDefault="00EC63DF" w:rsidP="00EC63DF">
            <w:pPr>
              <w:jc w:val="both"/>
              <w:rPr>
                <w:sz w:val="22"/>
                <w:szCs w:val="22"/>
              </w:rPr>
            </w:pPr>
          </w:p>
        </w:tc>
      </w:tr>
      <w:tr w:rsidR="00647EF3" w:rsidRPr="00965527" w:rsidTr="006B2D27">
        <w:tc>
          <w:tcPr>
            <w:tcW w:w="9214" w:type="dxa"/>
            <w:tcBorders>
              <w:top w:val="single" w:sz="4" w:space="0" w:color="auto"/>
            </w:tcBorders>
          </w:tcPr>
          <w:p w:rsidR="002F5088" w:rsidRPr="00965527" w:rsidRDefault="002F5088" w:rsidP="002F5088">
            <w:pPr>
              <w:rPr>
                <w:sz w:val="22"/>
                <w:szCs w:val="22"/>
              </w:rPr>
            </w:pPr>
            <w:r w:rsidRPr="00965527">
              <w:rPr>
                <w:b/>
                <w:bCs/>
                <w:sz w:val="22"/>
                <w:szCs w:val="22"/>
              </w:rPr>
              <w:t>ii) Non-Regulatory Options</w:t>
            </w:r>
          </w:p>
          <w:p w:rsidR="00337B1F" w:rsidRPr="00965527" w:rsidRDefault="00701260" w:rsidP="00337B1F">
            <w:pPr>
              <w:jc w:val="both"/>
              <w:rPr>
                <w:sz w:val="22"/>
                <w:szCs w:val="22"/>
              </w:rPr>
            </w:pPr>
            <w:r w:rsidRPr="00965527">
              <w:rPr>
                <w:sz w:val="22"/>
                <w:szCs w:val="22"/>
              </w:rPr>
              <w:t xml:space="preserve">The non regulatory options are similar to the </w:t>
            </w:r>
            <w:r w:rsidR="003216D2" w:rsidRPr="00965527">
              <w:rPr>
                <w:sz w:val="22"/>
                <w:szCs w:val="22"/>
              </w:rPr>
              <w:t>do nothing option described above</w:t>
            </w:r>
            <w:r w:rsidR="00337B1F" w:rsidRPr="00965527">
              <w:rPr>
                <w:sz w:val="22"/>
                <w:szCs w:val="22"/>
              </w:rPr>
              <w:t xml:space="preserve"> as the DWI has operated informally on the IoS since 2006</w:t>
            </w:r>
            <w:r w:rsidR="003216D2" w:rsidRPr="00965527">
              <w:rPr>
                <w:sz w:val="22"/>
                <w:szCs w:val="22"/>
              </w:rPr>
              <w:t xml:space="preserve">. </w:t>
            </w:r>
            <w:r w:rsidR="00337B1F" w:rsidRPr="00965527">
              <w:rPr>
                <w:sz w:val="22"/>
                <w:szCs w:val="22"/>
              </w:rPr>
              <w:t>More recently the EA ha</w:t>
            </w:r>
            <w:r w:rsidR="00C624A9" w:rsidRPr="00965527">
              <w:rPr>
                <w:sz w:val="22"/>
                <w:szCs w:val="22"/>
              </w:rPr>
              <w:t>s</w:t>
            </w:r>
            <w:r w:rsidR="00337B1F" w:rsidRPr="00965527">
              <w:rPr>
                <w:sz w:val="22"/>
                <w:szCs w:val="22"/>
              </w:rPr>
              <w:t xml:space="preserve"> an involvement in groundwater and </w:t>
            </w:r>
            <w:r w:rsidR="00C222A8" w:rsidRPr="00965527">
              <w:rPr>
                <w:sz w:val="22"/>
                <w:szCs w:val="22"/>
              </w:rPr>
              <w:t>coastal</w:t>
            </w:r>
            <w:r w:rsidR="00337B1F" w:rsidRPr="00965527">
              <w:rPr>
                <w:sz w:val="22"/>
                <w:szCs w:val="22"/>
              </w:rPr>
              <w:t xml:space="preserve"> water protection.</w:t>
            </w:r>
          </w:p>
          <w:p w:rsidR="00337B1F" w:rsidRPr="00965527" w:rsidRDefault="00337B1F" w:rsidP="00337B1F">
            <w:pPr>
              <w:jc w:val="both"/>
              <w:rPr>
                <w:sz w:val="22"/>
                <w:szCs w:val="22"/>
              </w:rPr>
            </w:pPr>
            <w:r w:rsidRPr="00965527">
              <w:rPr>
                <w:sz w:val="22"/>
                <w:szCs w:val="22"/>
              </w:rPr>
              <w:t xml:space="preserve">In order to assist the maintenance of the quality of the public (and private) drinking water supplies their position as regulators needs to continue and be enhanced to provide confidence in the quality of </w:t>
            </w:r>
            <w:r w:rsidR="00EB0B96" w:rsidRPr="00965527">
              <w:rPr>
                <w:sz w:val="22"/>
                <w:szCs w:val="22"/>
              </w:rPr>
              <w:t xml:space="preserve">water </w:t>
            </w:r>
            <w:r w:rsidRPr="00965527">
              <w:rPr>
                <w:sz w:val="22"/>
                <w:szCs w:val="22"/>
              </w:rPr>
              <w:t xml:space="preserve">supplies. </w:t>
            </w:r>
          </w:p>
          <w:p w:rsidR="00840823" w:rsidRDefault="00EB0B96" w:rsidP="0089472C">
            <w:pPr>
              <w:jc w:val="both"/>
              <w:rPr>
                <w:sz w:val="22"/>
                <w:szCs w:val="22"/>
              </w:rPr>
            </w:pPr>
            <w:r w:rsidRPr="00965527">
              <w:rPr>
                <w:sz w:val="22"/>
                <w:szCs w:val="22"/>
              </w:rPr>
              <w:t>The</w:t>
            </w:r>
            <w:r w:rsidR="00337B1F" w:rsidRPr="00965527">
              <w:rPr>
                <w:sz w:val="22"/>
                <w:szCs w:val="22"/>
              </w:rPr>
              <w:t xml:space="preserve"> </w:t>
            </w:r>
            <w:r w:rsidRPr="00965527">
              <w:rPr>
                <w:sz w:val="22"/>
                <w:szCs w:val="22"/>
              </w:rPr>
              <w:t>EA and DWI do n</w:t>
            </w:r>
            <w:r w:rsidR="00337B1F" w:rsidRPr="00965527">
              <w:rPr>
                <w:sz w:val="22"/>
                <w:szCs w:val="22"/>
              </w:rPr>
              <w:t xml:space="preserve">ot have legal powers of enforcement. This could limit their ability to act to protect human health or the environment or to provide the IoS with the level of support necessary were their resources required to fulfil legal obligations elsewhere. </w:t>
            </w:r>
            <w:r w:rsidR="00840823">
              <w:rPr>
                <w:sz w:val="22"/>
                <w:szCs w:val="22"/>
              </w:rPr>
              <w:t>The current non-regulatory framework does not allow the DWI and EA to recover costs against their activities.</w:t>
            </w:r>
          </w:p>
          <w:p w:rsidR="00647EF3" w:rsidRDefault="00337B1F" w:rsidP="0089472C">
            <w:pPr>
              <w:jc w:val="both"/>
              <w:rPr>
                <w:sz w:val="22"/>
                <w:szCs w:val="22"/>
              </w:rPr>
            </w:pPr>
            <w:r w:rsidRPr="00965527">
              <w:rPr>
                <w:sz w:val="22"/>
                <w:szCs w:val="22"/>
              </w:rPr>
              <w:t>Many European directives,</w:t>
            </w:r>
            <w:r w:rsidR="008D4179" w:rsidRPr="00965527">
              <w:rPr>
                <w:sz w:val="22"/>
                <w:szCs w:val="22"/>
              </w:rPr>
              <w:t xml:space="preserve"> </w:t>
            </w:r>
            <w:r w:rsidRPr="00965527">
              <w:rPr>
                <w:sz w:val="22"/>
                <w:szCs w:val="22"/>
              </w:rPr>
              <w:t>notably UWWTD, DWD and W</w:t>
            </w:r>
            <w:r w:rsidR="00EB0B96" w:rsidRPr="00965527">
              <w:rPr>
                <w:sz w:val="22"/>
                <w:szCs w:val="22"/>
              </w:rPr>
              <w:t xml:space="preserve">ater </w:t>
            </w:r>
            <w:r w:rsidRPr="00965527">
              <w:rPr>
                <w:sz w:val="22"/>
                <w:szCs w:val="22"/>
              </w:rPr>
              <w:t>F</w:t>
            </w:r>
            <w:r w:rsidR="00EB0B96" w:rsidRPr="00965527">
              <w:rPr>
                <w:sz w:val="22"/>
                <w:szCs w:val="22"/>
              </w:rPr>
              <w:t xml:space="preserve">ramework </w:t>
            </w:r>
            <w:r w:rsidRPr="00965527">
              <w:rPr>
                <w:sz w:val="22"/>
                <w:szCs w:val="22"/>
              </w:rPr>
              <w:t>D</w:t>
            </w:r>
            <w:r w:rsidR="00EB0B96" w:rsidRPr="00965527">
              <w:rPr>
                <w:sz w:val="22"/>
                <w:szCs w:val="22"/>
              </w:rPr>
              <w:t>irective (WFD)</w:t>
            </w:r>
            <w:r w:rsidRPr="00965527">
              <w:rPr>
                <w:sz w:val="22"/>
                <w:szCs w:val="22"/>
              </w:rPr>
              <w:t xml:space="preserve"> are not fully applied to the IoS either directly in their transposition or through their reliance on powers and obligations found in domestic legislation.  This results in a risk of infraction.</w:t>
            </w:r>
          </w:p>
          <w:p w:rsidR="006D5503" w:rsidRPr="00965527" w:rsidRDefault="006D5503" w:rsidP="0089472C">
            <w:pPr>
              <w:jc w:val="both"/>
              <w:rPr>
                <w:sz w:val="22"/>
                <w:szCs w:val="22"/>
              </w:rPr>
            </w:pPr>
          </w:p>
        </w:tc>
      </w:tr>
      <w:tr w:rsidR="00647EF3" w:rsidRPr="00965527" w:rsidTr="00571055">
        <w:tc>
          <w:tcPr>
            <w:tcW w:w="9214" w:type="dxa"/>
          </w:tcPr>
          <w:p w:rsidR="00647EF3" w:rsidRPr="00965527" w:rsidRDefault="002F5088" w:rsidP="00647EF3">
            <w:pPr>
              <w:rPr>
                <w:b/>
                <w:bCs/>
                <w:sz w:val="22"/>
                <w:szCs w:val="22"/>
              </w:rPr>
            </w:pPr>
            <w:r w:rsidRPr="00965527">
              <w:rPr>
                <w:b/>
                <w:bCs/>
                <w:sz w:val="22"/>
                <w:szCs w:val="22"/>
              </w:rPr>
              <w:t>iii) Regulatory Options</w:t>
            </w:r>
          </w:p>
          <w:p w:rsidR="006B2D27" w:rsidRPr="00965527" w:rsidRDefault="006B2D27" w:rsidP="006B2D27">
            <w:pPr>
              <w:jc w:val="both"/>
              <w:rPr>
                <w:sz w:val="22"/>
                <w:szCs w:val="22"/>
              </w:rPr>
            </w:pPr>
            <w:r w:rsidRPr="00965527">
              <w:rPr>
                <w:sz w:val="22"/>
                <w:szCs w:val="22"/>
              </w:rPr>
              <w:t>The application of legislation will drive better behaviour and improve standards through the service providers being held to account within the regulatory framework.</w:t>
            </w:r>
            <w:r w:rsidR="00D32B9C">
              <w:rPr>
                <w:sz w:val="22"/>
                <w:szCs w:val="22"/>
              </w:rPr>
              <w:t xml:space="preserve">  This approach has worked well on the mainland.</w:t>
            </w:r>
          </w:p>
          <w:p w:rsidR="00647EF3" w:rsidRDefault="00EF5ACE" w:rsidP="00D14FAB">
            <w:pPr>
              <w:jc w:val="both"/>
              <w:rPr>
                <w:sz w:val="22"/>
                <w:szCs w:val="22"/>
              </w:rPr>
            </w:pPr>
            <w:r w:rsidRPr="00965527">
              <w:rPr>
                <w:sz w:val="22"/>
                <w:szCs w:val="22"/>
              </w:rPr>
              <w:t>Applying all the appropriate legislation in the IoS that does not currently apply would ensure the regulators are able to operate on a firm legal basis</w:t>
            </w:r>
            <w:r w:rsidR="00840823">
              <w:rPr>
                <w:sz w:val="22"/>
                <w:szCs w:val="22"/>
              </w:rPr>
              <w:t xml:space="preserve"> </w:t>
            </w:r>
            <w:r w:rsidRPr="00965527">
              <w:rPr>
                <w:sz w:val="22"/>
                <w:szCs w:val="22"/>
              </w:rPr>
              <w:t xml:space="preserve">to protect human health and the environment.  </w:t>
            </w:r>
            <w:r w:rsidR="00840823">
              <w:rPr>
                <w:sz w:val="22"/>
                <w:szCs w:val="22"/>
              </w:rPr>
              <w:t xml:space="preserve">It will also allow them to recover costs against their regulatory activities. </w:t>
            </w:r>
            <w:r w:rsidR="00D32B9C">
              <w:rPr>
                <w:sz w:val="22"/>
                <w:szCs w:val="22"/>
              </w:rPr>
              <w:t xml:space="preserve">This should allow them to </w:t>
            </w:r>
            <w:r w:rsidR="006B2D27" w:rsidRPr="00965527">
              <w:rPr>
                <w:sz w:val="22"/>
                <w:szCs w:val="22"/>
              </w:rPr>
              <w:t>achieve</w:t>
            </w:r>
            <w:r w:rsidRPr="00965527">
              <w:rPr>
                <w:sz w:val="22"/>
                <w:szCs w:val="22"/>
              </w:rPr>
              <w:t xml:space="preserve"> </w:t>
            </w:r>
            <w:r w:rsidR="006B2D27" w:rsidRPr="00965527">
              <w:rPr>
                <w:sz w:val="22"/>
                <w:szCs w:val="22"/>
              </w:rPr>
              <w:t xml:space="preserve">public health and environmental protection </w:t>
            </w:r>
            <w:r w:rsidR="00D32B9C">
              <w:rPr>
                <w:sz w:val="22"/>
                <w:szCs w:val="22"/>
              </w:rPr>
              <w:t>outcome</w:t>
            </w:r>
            <w:r w:rsidR="007774B7">
              <w:rPr>
                <w:sz w:val="22"/>
                <w:szCs w:val="22"/>
              </w:rPr>
              <w:t>s</w:t>
            </w:r>
            <w:r w:rsidR="00D32B9C">
              <w:rPr>
                <w:sz w:val="22"/>
                <w:szCs w:val="22"/>
              </w:rPr>
              <w:t xml:space="preserve"> that are equivalent </w:t>
            </w:r>
            <w:r w:rsidR="006B2D27" w:rsidRPr="00965527">
              <w:rPr>
                <w:sz w:val="22"/>
                <w:szCs w:val="22"/>
              </w:rPr>
              <w:t xml:space="preserve">to </w:t>
            </w:r>
            <w:r w:rsidR="00D32B9C">
              <w:rPr>
                <w:sz w:val="22"/>
                <w:szCs w:val="22"/>
              </w:rPr>
              <w:t xml:space="preserve">those for </w:t>
            </w:r>
            <w:r w:rsidR="006B2D27" w:rsidRPr="00965527">
              <w:rPr>
                <w:sz w:val="22"/>
                <w:szCs w:val="22"/>
              </w:rPr>
              <w:t>the mainland</w:t>
            </w:r>
            <w:r w:rsidRPr="00965527">
              <w:rPr>
                <w:sz w:val="22"/>
                <w:szCs w:val="22"/>
              </w:rPr>
              <w:t>.</w:t>
            </w:r>
            <w:r w:rsidR="004161FF" w:rsidRPr="00965527">
              <w:rPr>
                <w:sz w:val="22"/>
                <w:szCs w:val="22"/>
              </w:rPr>
              <w:t xml:space="preserve"> </w:t>
            </w:r>
            <w:r w:rsidRPr="00965527">
              <w:rPr>
                <w:sz w:val="22"/>
                <w:szCs w:val="22"/>
              </w:rPr>
              <w:t xml:space="preserve">It would limit the regulatory burdens associated with a blanket approach to applying legislation that is not relevant to the IoS. It would avoid the risk of infraction for incomplete application of relevant European Directives.  This would mean that the IoS Order will fill all the necessary gaps and there would be no need for a further </w:t>
            </w:r>
            <w:r w:rsidRPr="00965527">
              <w:rPr>
                <w:sz w:val="22"/>
                <w:szCs w:val="22"/>
              </w:rPr>
              <w:lastRenderedPageBreak/>
              <w:t>Order in a few years if the environment or drinking water supply should deteriorate as a result of partial enactment of legislation.</w:t>
            </w:r>
            <w:r w:rsidR="00840823">
              <w:rPr>
                <w:sz w:val="22"/>
                <w:szCs w:val="22"/>
              </w:rPr>
              <w:t xml:space="preserve"> The risk of any future requirement for further public money to support asset replacement will be reduced by the development of a </w:t>
            </w:r>
            <w:r w:rsidR="00681E1B">
              <w:rPr>
                <w:sz w:val="22"/>
                <w:szCs w:val="22"/>
              </w:rPr>
              <w:t>strategic plan that avoids the assets needing replacement all at once.</w:t>
            </w:r>
            <w:r w:rsidR="00F55944">
              <w:rPr>
                <w:sz w:val="22"/>
                <w:szCs w:val="22"/>
              </w:rPr>
              <w:t xml:space="preserve"> This should allow the costs of asset replacement to be met by the IoS Council.</w:t>
            </w:r>
          </w:p>
          <w:p w:rsidR="00D14FAB" w:rsidRPr="00965527" w:rsidRDefault="00D14FAB" w:rsidP="00647EF3">
            <w:pPr>
              <w:rPr>
                <w:sz w:val="22"/>
                <w:szCs w:val="22"/>
              </w:rPr>
            </w:pPr>
          </w:p>
          <w:p w:rsidR="00647EF3" w:rsidRPr="00965527" w:rsidRDefault="00647EF3" w:rsidP="00647EF3">
            <w:pPr>
              <w:rPr>
                <w:sz w:val="22"/>
                <w:szCs w:val="22"/>
              </w:rPr>
            </w:pPr>
            <w:r w:rsidRPr="00965527">
              <w:rPr>
                <w:sz w:val="22"/>
                <w:szCs w:val="22"/>
              </w:rPr>
              <w:t xml:space="preserve">Would these options result in additional costs to business?    Yes </w:t>
            </w:r>
            <w:r w:rsidR="00402AD1">
              <w:rPr>
                <w:b/>
                <w:noProof/>
                <w:sz w:val="22"/>
                <w:szCs w:val="22"/>
                <w:lang w:eastAsia="en-GB"/>
              </w:rPr>
              <w:drawing>
                <wp:inline distT="0" distB="0" distL="0" distR="0">
                  <wp:extent cx="224155" cy="129540"/>
                  <wp:effectExtent l="0" t="0" r="4445" b="3810"/>
                  <wp:docPr id="5" name="Picture 5" descr="MM90018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900185588[1]"/>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155" cy="129540"/>
                          </a:xfrm>
                          <a:prstGeom prst="rect">
                            <a:avLst/>
                          </a:prstGeom>
                          <a:noFill/>
                          <a:ln>
                            <a:noFill/>
                          </a:ln>
                        </pic:spPr>
                      </pic:pic>
                    </a:graphicData>
                  </a:graphic>
                </wp:inline>
              </w:drawing>
            </w:r>
            <w:r w:rsidRPr="00965527">
              <w:rPr>
                <w:b/>
                <w:sz w:val="22"/>
                <w:szCs w:val="22"/>
              </w:rPr>
              <w:t xml:space="preserve"> </w:t>
            </w:r>
            <w:r w:rsidRPr="00965527">
              <w:rPr>
                <w:sz w:val="22"/>
                <w:szCs w:val="22"/>
              </w:rPr>
              <w:t xml:space="preserve"> No </w:t>
            </w:r>
            <w:r w:rsidRPr="00965527">
              <w:rPr>
                <w:sz w:val="22"/>
                <w:szCs w:val="22"/>
              </w:rPr>
              <w:sym w:font="Webdings" w:char="F063"/>
            </w:r>
          </w:p>
          <w:p w:rsidR="00647EF3" w:rsidRPr="00965527" w:rsidRDefault="00647EF3" w:rsidP="00647EF3">
            <w:pPr>
              <w:rPr>
                <w:sz w:val="22"/>
                <w:szCs w:val="22"/>
              </w:rPr>
            </w:pPr>
            <w:r w:rsidRPr="00965527">
              <w:rPr>
                <w:sz w:val="22"/>
                <w:szCs w:val="22"/>
              </w:rPr>
              <w:t xml:space="preserve">Could such costs exceed £1m per year?                                 Yes </w:t>
            </w:r>
            <w:r w:rsidRPr="00965527">
              <w:rPr>
                <w:sz w:val="22"/>
                <w:szCs w:val="22"/>
              </w:rPr>
              <w:sym w:font="Webdings" w:char="F063"/>
            </w:r>
            <w:r w:rsidRPr="00965527">
              <w:rPr>
                <w:sz w:val="22"/>
                <w:szCs w:val="22"/>
              </w:rPr>
              <w:t xml:space="preserve">     No </w:t>
            </w:r>
            <w:r w:rsidR="00402AD1">
              <w:rPr>
                <w:b/>
                <w:noProof/>
                <w:sz w:val="22"/>
                <w:szCs w:val="22"/>
                <w:lang w:eastAsia="en-GB"/>
              </w:rPr>
              <w:drawing>
                <wp:inline distT="0" distB="0" distL="0" distR="0">
                  <wp:extent cx="224155" cy="129540"/>
                  <wp:effectExtent l="0" t="0" r="4445" b="3810"/>
                  <wp:docPr id="6" name="Picture 6" descr="MM90018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M900185588[1]"/>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155" cy="129540"/>
                          </a:xfrm>
                          <a:prstGeom prst="rect">
                            <a:avLst/>
                          </a:prstGeom>
                          <a:noFill/>
                          <a:ln>
                            <a:noFill/>
                          </a:ln>
                        </pic:spPr>
                      </pic:pic>
                    </a:graphicData>
                  </a:graphic>
                </wp:inline>
              </w:drawing>
            </w:r>
          </w:p>
        </w:tc>
      </w:tr>
      <w:tr w:rsidR="00647EF3" w:rsidRPr="00965527" w:rsidTr="00571055">
        <w:tc>
          <w:tcPr>
            <w:tcW w:w="9214" w:type="dxa"/>
          </w:tcPr>
          <w:p w:rsidR="002F5088" w:rsidRPr="00965527" w:rsidRDefault="002F5088" w:rsidP="00647EF3">
            <w:pPr>
              <w:rPr>
                <w:b/>
                <w:sz w:val="22"/>
                <w:szCs w:val="22"/>
              </w:rPr>
            </w:pPr>
            <w:r w:rsidRPr="00965527">
              <w:rPr>
                <w:b/>
                <w:bCs/>
                <w:sz w:val="22"/>
                <w:szCs w:val="22"/>
              </w:rPr>
              <w:lastRenderedPageBreak/>
              <w:t xml:space="preserve">iv) Options that have been ruled out </w:t>
            </w:r>
          </w:p>
          <w:p w:rsidR="00991633" w:rsidRPr="00965527" w:rsidRDefault="00D134DB" w:rsidP="00EE23A8">
            <w:pPr>
              <w:jc w:val="both"/>
              <w:rPr>
                <w:sz w:val="22"/>
                <w:szCs w:val="22"/>
              </w:rPr>
            </w:pPr>
            <w:r w:rsidRPr="00965527">
              <w:rPr>
                <w:sz w:val="22"/>
                <w:szCs w:val="22"/>
              </w:rPr>
              <w:t>An option to</w:t>
            </w:r>
            <w:r w:rsidR="00EF5ACE" w:rsidRPr="00965527">
              <w:rPr>
                <w:sz w:val="22"/>
                <w:szCs w:val="22"/>
              </w:rPr>
              <w:t xml:space="preserve"> apply some but not all legislation (such as applying all European legislation but not domestic legislation) </w:t>
            </w:r>
            <w:r w:rsidRPr="00965527">
              <w:rPr>
                <w:sz w:val="22"/>
                <w:szCs w:val="22"/>
              </w:rPr>
              <w:t>was</w:t>
            </w:r>
            <w:r w:rsidR="00EF5ACE" w:rsidRPr="00965527">
              <w:rPr>
                <w:sz w:val="22"/>
                <w:szCs w:val="22"/>
              </w:rPr>
              <w:t xml:space="preserve"> considered. This was ruled out on the basis that domestic legis</w:t>
            </w:r>
            <w:r w:rsidR="009C0859" w:rsidRPr="00965527">
              <w:rPr>
                <w:sz w:val="22"/>
                <w:szCs w:val="22"/>
              </w:rPr>
              <w:t xml:space="preserve">lation is needed to fully transpose </w:t>
            </w:r>
            <w:r w:rsidR="00D32B9C">
              <w:rPr>
                <w:sz w:val="22"/>
                <w:szCs w:val="22"/>
              </w:rPr>
              <w:t xml:space="preserve">and implement </w:t>
            </w:r>
            <w:r w:rsidRPr="00965527">
              <w:rPr>
                <w:sz w:val="22"/>
                <w:szCs w:val="22"/>
              </w:rPr>
              <w:t xml:space="preserve">some </w:t>
            </w:r>
            <w:r w:rsidR="009C0859" w:rsidRPr="00965527">
              <w:rPr>
                <w:sz w:val="22"/>
                <w:szCs w:val="22"/>
              </w:rPr>
              <w:t>European Directives</w:t>
            </w:r>
            <w:r w:rsidRPr="00965527">
              <w:rPr>
                <w:sz w:val="22"/>
                <w:szCs w:val="22"/>
              </w:rPr>
              <w:t>, which would therefore</w:t>
            </w:r>
            <w:r w:rsidR="009C0859" w:rsidRPr="00965527">
              <w:rPr>
                <w:sz w:val="22"/>
                <w:szCs w:val="22"/>
              </w:rPr>
              <w:t xml:space="preserve"> be technically challenging and confusing. </w:t>
            </w:r>
          </w:p>
          <w:p w:rsidR="00647EF3" w:rsidRDefault="00991633" w:rsidP="0089472C">
            <w:pPr>
              <w:jc w:val="both"/>
              <w:rPr>
                <w:sz w:val="22"/>
                <w:szCs w:val="22"/>
              </w:rPr>
            </w:pPr>
            <w:r w:rsidRPr="00965527">
              <w:rPr>
                <w:sz w:val="22"/>
                <w:szCs w:val="22"/>
              </w:rPr>
              <w:t xml:space="preserve">All drinking water and environmental legislation as applied in England could be applied to the IoS by taking a blanket approach. The main disadvantage would be, as some of the legislation appropriate to the mainland would not be relevant to the IoS, a plethora of irrelevant legislation may be introduced to the statute books. This would be the converse of the Better Regulation Agenda. </w:t>
            </w:r>
          </w:p>
          <w:p w:rsidR="006D5503" w:rsidRPr="00965527" w:rsidRDefault="006D5503" w:rsidP="0089472C">
            <w:pPr>
              <w:jc w:val="both"/>
              <w:rPr>
                <w:b/>
                <w:sz w:val="22"/>
                <w:szCs w:val="22"/>
              </w:rPr>
            </w:pPr>
          </w:p>
        </w:tc>
      </w:tr>
    </w:tbl>
    <w:p w:rsidR="000064C2" w:rsidRPr="00965527" w:rsidRDefault="000064C2" w:rsidP="000064C2">
      <w:pPr>
        <w:ind w:left="502"/>
        <w:rPr>
          <w:b/>
          <w:sz w:val="22"/>
          <w:szCs w:val="22"/>
        </w:rPr>
      </w:pPr>
    </w:p>
    <w:p w:rsidR="00647EF3" w:rsidRPr="00965527" w:rsidRDefault="00647EF3" w:rsidP="00647EF3">
      <w:pPr>
        <w:numPr>
          <w:ilvl w:val="0"/>
          <w:numId w:val="12"/>
        </w:numPr>
        <w:rPr>
          <w:b/>
          <w:sz w:val="22"/>
          <w:szCs w:val="22"/>
        </w:rPr>
      </w:pPr>
      <w:r w:rsidRPr="00965527">
        <w:rPr>
          <w:b/>
          <w:sz w:val="22"/>
          <w:szCs w:val="22"/>
        </w:rPr>
        <w:t xml:space="preserve">Initial data to be transferred to the Regulatory Management Tool </w:t>
      </w:r>
    </w:p>
    <w:p w:rsidR="00647EF3" w:rsidRPr="00965527" w:rsidRDefault="00647EF3" w:rsidP="00647EF3">
      <w:pPr>
        <w:rPr>
          <w:b/>
          <w:sz w:val="22"/>
          <w:szCs w:val="22"/>
        </w:rPr>
      </w:pPr>
      <w:r w:rsidRPr="00965527">
        <w:rPr>
          <w:b/>
          <w:i/>
          <w:sz w:val="22"/>
          <w:szCs w:val="22"/>
        </w:rPr>
        <w:t>Link</w:t>
      </w:r>
      <w:r w:rsidRPr="00965527">
        <w:rPr>
          <w:b/>
          <w:sz w:val="22"/>
          <w:szCs w:val="22"/>
        </w:rPr>
        <w:t>:</w:t>
      </w:r>
      <w:r w:rsidR="002F5088" w:rsidRPr="00965527">
        <w:rPr>
          <w:b/>
          <w:sz w:val="22"/>
          <w:szCs w:val="22"/>
        </w:rPr>
        <w:t xml:space="preserve"> </w:t>
      </w:r>
      <w:hyperlink r:id="rId16" w:history="1">
        <w:r w:rsidRPr="00965527">
          <w:rPr>
            <w:rStyle w:val="Hyperlink"/>
            <w:b/>
            <w:sz w:val="22"/>
            <w:szCs w:val="22"/>
          </w:rPr>
          <w:t>Regulatory Management Tool (RMT)</w:t>
        </w:r>
      </w:hyperlink>
    </w:p>
    <w:p w:rsidR="00EE23A8" w:rsidRPr="00965527" w:rsidRDefault="00EE23A8" w:rsidP="00647EF3">
      <w:pPr>
        <w:rPr>
          <w:b/>
          <w:sz w:val="22"/>
          <w:szCs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2410"/>
      </w:tblGrid>
      <w:tr w:rsidR="00647EF3" w:rsidRPr="00965527" w:rsidTr="00647EF3">
        <w:tc>
          <w:tcPr>
            <w:tcW w:w="7088" w:type="dxa"/>
          </w:tcPr>
          <w:p w:rsidR="00647EF3" w:rsidRPr="00965527" w:rsidRDefault="00647EF3" w:rsidP="00647EF3">
            <w:pPr>
              <w:rPr>
                <w:b/>
                <w:sz w:val="22"/>
                <w:szCs w:val="22"/>
              </w:rPr>
            </w:pPr>
            <w:r w:rsidRPr="00965527">
              <w:rPr>
                <w:b/>
                <w:sz w:val="22"/>
                <w:szCs w:val="22"/>
              </w:rPr>
              <w:t xml:space="preserve">Unique policy identification number </w:t>
            </w:r>
          </w:p>
        </w:tc>
        <w:tc>
          <w:tcPr>
            <w:tcW w:w="2410" w:type="dxa"/>
          </w:tcPr>
          <w:p w:rsidR="00647EF3" w:rsidRPr="00965527" w:rsidRDefault="000D7F6A" w:rsidP="00647EF3">
            <w:pPr>
              <w:rPr>
                <w:b/>
                <w:sz w:val="22"/>
                <w:szCs w:val="22"/>
              </w:rPr>
            </w:pPr>
            <w:r w:rsidRPr="00965527">
              <w:rPr>
                <w:sz w:val="22"/>
                <w:szCs w:val="22"/>
              </w:rPr>
              <w:t>DEFRA1224</w:t>
            </w:r>
          </w:p>
        </w:tc>
      </w:tr>
      <w:tr w:rsidR="00647EF3" w:rsidRPr="00965527" w:rsidTr="00647EF3">
        <w:tc>
          <w:tcPr>
            <w:tcW w:w="7088" w:type="dxa"/>
          </w:tcPr>
          <w:p w:rsidR="00647EF3" w:rsidRPr="00965527" w:rsidRDefault="00647EF3" w:rsidP="00647EF3">
            <w:pPr>
              <w:rPr>
                <w:b/>
                <w:sz w:val="22"/>
                <w:szCs w:val="22"/>
              </w:rPr>
            </w:pPr>
            <w:r w:rsidRPr="00965527">
              <w:rPr>
                <w:b/>
                <w:sz w:val="22"/>
                <w:szCs w:val="22"/>
              </w:rPr>
              <w:t>An Impact Assessment will be required</w:t>
            </w:r>
          </w:p>
        </w:tc>
        <w:tc>
          <w:tcPr>
            <w:tcW w:w="2410" w:type="dxa"/>
          </w:tcPr>
          <w:p w:rsidR="00647EF3" w:rsidRPr="00965527" w:rsidRDefault="00647EF3" w:rsidP="000D7F6A">
            <w:pPr>
              <w:rPr>
                <w:b/>
                <w:sz w:val="22"/>
                <w:szCs w:val="22"/>
              </w:rPr>
            </w:pPr>
            <w:r w:rsidRPr="00965527">
              <w:rPr>
                <w:b/>
                <w:sz w:val="22"/>
                <w:szCs w:val="22"/>
              </w:rPr>
              <w:t xml:space="preserve">Yes </w:t>
            </w:r>
            <w:r w:rsidR="00402AD1">
              <w:rPr>
                <w:b/>
                <w:noProof/>
                <w:sz w:val="22"/>
                <w:szCs w:val="22"/>
                <w:lang w:eastAsia="en-GB"/>
              </w:rPr>
              <w:drawing>
                <wp:inline distT="0" distB="0" distL="0" distR="0">
                  <wp:extent cx="224155" cy="129540"/>
                  <wp:effectExtent l="0" t="0" r="4445" b="3810"/>
                  <wp:docPr id="7" name="Picture 7" descr="MM90018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900185588[1]"/>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155" cy="129540"/>
                          </a:xfrm>
                          <a:prstGeom prst="rect">
                            <a:avLst/>
                          </a:prstGeom>
                          <a:noFill/>
                          <a:ln>
                            <a:noFill/>
                          </a:ln>
                        </pic:spPr>
                      </pic:pic>
                    </a:graphicData>
                  </a:graphic>
                </wp:inline>
              </w:drawing>
            </w:r>
            <w:r w:rsidR="000D7F6A" w:rsidRPr="00965527">
              <w:rPr>
                <w:sz w:val="22"/>
                <w:szCs w:val="22"/>
              </w:rPr>
              <w:t xml:space="preserve">      </w:t>
            </w:r>
            <w:r w:rsidRPr="00965527">
              <w:rPr>
                <w:sz w:val="22"/>
                <w:szCs w:val="22"/>
              </w:rPr>
              <w:t xml:space="preserve">No  </w:t>
            </w:r>
            <w:r w:rsidR="000D7F6A" w:rsidRPr="00965527">
              <w:rPr>
                <w:sz w:val="22"/>
                <w:szCs w:val="22"/>
              </w:rPr>
              <w:sym w:font="Webdings" w:char="F063"/>
            </w:r>
          </w:p>
        </w:tc>
      </w:tr>
      <w:tr w:rsidR="00647EF3" w:rsidRPr="00965527" w:rsidTr="00647EF3">
        <w:tc>
          <w:tcPr>
            <w:tcW w:w="7088" w:type="dxa"/>
          </w:tcPr>
          <w:p w:rsidR="00647EF3" w:rsidRPr="00965527" w:rsidRDefault="00647EF3" w:rsidP="00647EF3">
            <w:pPr>
              <w:rPr>
                <w:b/>
                <w:sz w:val="22"/>
                <w:szCs w:val="22"/>
              </w:rPr>
            </w:pPr>
            <w:r w:rsidRPr="00965527">
              <w:rPr>
                <w:b/>
                <w:sz w:val="22"/>
                <w:szCs w:val="22"/>
              </w:rPr>
              <w:t>A formal consultation will  be required</w:t>
            </w:r>
          </w:p>
        </w:tc>
        <w:tc>
          <w:tcPr>
            <w:tcW w:w="2410" w:type="dxa"/>
          </w:tcPr>
          <w:p w:rsidR="00647EF3" w:rsidRPr="00965527" w:rsidRDefault="00647EF3" w:rsidP="00647EF3">
            <w:pPr>
              <w:rPr>
                <w:b/>
                <w:sz w:val="22"/>
                <w:szCs w:val="22"/>
              </w:rPr>
            </w:pPr>
            <w:r w:rsidRPr="00965527">
              <w:rPr>
                <w:b/>
                <w:sz w:val="22"/>
                <w:szCs w:val="22"/>
              </w:rPr>
              <w:t xml:space="preserve">Yes </w:t>
            </w:r>
            <w:r w:rsidRPr="00965527">
              <w:rPr>
                <w:sz w:val="22"/>
                <w:szCs w:val="22"/>
              </w:rPr>
              <w:sym w:font="Webdings" w:char="F063"/>
            </w:r>
            <w:r w:rsidRPr="00965527">
              <w:rPr>
                <w:sz w:val="22"/>
                <w:szCs w:val="22"/>
              </w:rPr>
              <w:t xml:space="preserve">        No  </w:t>
            </w:r>
            <w:r w:rsidR="00402AD1">
              <w:rPr>
                <w:b/>
                <w:noProof/>
                <w:sz w:val="22"/>
                <w:szCs w:val="22"/>
                <w:lang w:eastAsia="en-GB"/>
              </w:rPr>
              <w:drawing>
                <wp:inline distT="0" distB="0" distL="0" distR="0">
                  <wp:extent cx="224155" cy="129540"/>
                  <wp:effectExtent l="0" t="0" r="4445" b="3810"/>
                  <wp:docPr id="8" name="Picture 8" descr="MM90018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900185588[1]"/>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155" cy="129540"/>
                          </a:xfrm>
                          <a:prstGeom prst="rect">
                            <a:avLst/>
                          </a:prstGeom>
                          <a:noFill/>
                          <a:ln>
                            <a:noFill/>
                          </a:ln>
                        </pic:spPr>
                      </pic:pic>
                    </a:graphicData>
                  </a:graphic>
                </wp:inline>
              </w:drawing>
            </w:r>
          </w:p>
        </w:tc>
      </w:tr>
      <w:tr w:rsidR="00647EF3" w:rsidRPr="00965527" w:rsidTr="00647EF3">
        <w:tc>
          <w:tcPr>
            <w:tcW w:w="7088" w:type="dxa"/>
          </w:tcPr>
          <w:p w:rsidR="00647EF3" w:rsidRPr="00965527" w:rsidRDefault="00647EF3" w:rsidP="000064C2">
            <w:pPr>
              <w:rPr>
                <w:b/>
                <w:sz w:val="22"/>
                <w:szCs w:val="22"/>
              </w:rPr>
            </w:pPr>
            <w:r w:rsidRPr="00965527">
              <w:rPr>
                <w:b/>
                <w:sz w:val="22"/>
                <w:szCs w:val="22"/>
              </w:rPr>
              <w:t xml:space="preserve">For legislative options  </w:t>
            </w:r>
            <w:r w:rsidR="000064C2" w:rsidRPr="00965527">
              <w:rPr>
                <w:b/>
                <w:sz w:val="22"/>
                <w:szCs w:val="22"/>
              </w:rPr>
              <w:t>-</w:t>
            </w:r>
            <w:r w:rsidRPr="00965527">
              <w:rPr>
                <w:b/>
                <w:sz w:val="22"/>
                <w:szCs w:val="22"/>
              </w:rPr>
              <w:t xml:space="preserve"> The type of legislation will be</w:t>
            </w:r>
          </w:p>
        </w:tc>
        <w:tc>
          <w:tcPr>
            <w:tcW w:w="2410" w:type="dxa"/>
          </w:tcPr>
          <w:p w:rsidR="00647EF3" w:rsidRPr="00965527" w:rsidRDefault="00647EF3" w:rsidP="00647EF3">
            <w:pPr>
              <w:rPr>
                <w:b/>
                <w:sz w:val="22"/>
                <w:szCs w:val="22"/>
              </w:rPr>
            </w:pPr>
            <w:r w:rsidRPr="00965527">
              <w:rPr>
                <w:b/>
                <w:sz w:val="22"/>
                <w:szCs w:val="22"/>
              </w:rPr>
              <w:t xml:space="preserve">Primary            </w:t>
            </w:r>
            <w:r w:rsidR="000D7F6A" w:rsidRPr="00965527">
              <w:rPr>
                <w:b/>
                <w:sz w:val="22"/>
                <w:szCs w:val="22"/>
              </w:rPr>
              <w:t xml:space="preserve">  </w:t>
            </w:r>
            <w:r w:rsidR="000D7F6A" w:rsidRPr="00965527">
              <w:rPr>
                <w:sz w:val="22"/>
                <w:szCs w:val="22"/>
              </w:rPr>
              <w:sym w:font="Webdings" w:char="F063"/>
            </w:r>
          </w:p>
          <w:p w:rsidR="00647EF3" w:rsidRPr="00965527" w:rsidRDefault="00647EF3" w:rsidP="00647EF3">
            <w:pPr>
              <w:rPr>
                <w:b/>
                <w:sz w:val="22"/>
                <w:szCs w:val="22"/>
              </w:rPr>
            </w:pPr>
            <w:r w:rsidRPr="00965527">
              <w:rPr>
                <w:b/>
                <w:sz w:val="22"/>
                <w:szCs w:val="22"/>
              </w:rPr>
              <w:t xml:space="preserve">Secondary        </w:t>
            </w:r>
            <w:r w:rsidR="00402AD1">
              <w:rPr>
                <w:b/>
                <w:noProof/>
                <w:sz w:val="22"/>
                <w:szCs w:val="22"/>
                <w:lang w:eastAsia="en-GB"/>
              </w:rPr>
              <w:drawing>
                <wp:inline distT="0" distB="0" distL="0" distR="0">
                  <wp:extent cx="224155" cy="129540"/>
                  <wp:effectExtent l="0" t="0" r="4445" b="3810"/>
                  <wp:docPr id="9" name="Picture 9" descr="MM90018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900185588[1]"/>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155" cy="129540"/>
                          </a:xfrm>
                          <a:prstGeom prst="rect">
                            <a:avLst/>
                          </a:prstGeom>
                          <a:noFill/>
                          <a:ln>
                            <a:noFill/>
                          </a:ln>
                        </pic:spPr>
                      </pic:pic>
                    </a:graphicData>
                  </a:graphic>
                </wp:inline>
              </w:drawing>
            </w:r>
          </w:p>
          <w:p w:rsidR="00647EF3" w:rsidRPr="00965527" w:rsidRDefault="00647EF3" w:rsidP="00647EF3">
            <w:pPr>
              <w:rPr>
                <w:b/>
                <w:sz w:val="22"/>
                <w:szCs w:val="22"/>
              </w:rPr>
            </w:pPr>
            <w:r w:rsidRPr="00965527">
              <w:rPr>
                <w:b/>
                <w:sz w:val="22"/>
                <w:szCs w:val="22"/>
              </w:rPr>
              <w:t xml:space="preserve">Affirmative        </w:t>
            </w:r>
            <w:r w:rsidR="002F5088" w:rsidRPr="00965527">
              <w:rPr>
                <w:sz w:val="22"/>
                <w:szCs w:val="22"/>
              </w:rPr>
              <w:sym w:font="Webdings" w:char="F063"/>
            </w:r>
          </w:p>
          <w:p w:rsidR="00647EF3" w:rsidRPr="00965527" w:rsidRDefault="002F5088" w:rsidP="00647EF3">
            <w:pPr>
              <w:rPr>
                <w:b/>
                <w:sz w:val="22"/>
                <w:szCs w:val="22"/>
              </w:rPr>
            </w:pPr>
            <w:r w:rsidRPr="00965527">
              <w:rPr>
                <w:b/>
                <w:sz w:val="22"/>
                <w:szCs w:val="22"/>
              </w:rPr>
              <w:t xml:space="preserve">Negative            </w:t>
            </w:r>
            <w:r w:rsidR="00402AD1">
              <w:rPr>
                <w:b/>
                <w:noProof/>
                <w:sz w:val="22"/>
                <w:szCs w:val="22"/>
                <w:lang w:eastAsia="en-GB"/>
              </w:rPr>
              <w:drawing>
                <wp:inline distT="0" distB="0" distL="0" distR="0">
                  <wp:extent cx="224155" cy="129540"/>
                  <wp:effectExtent l="0" t="0" r="4445" b="3810"/>
                  <wp:docPr id="10" name="Picture 10" descr="MM90018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M900185588[1]"/>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155" cy="129540"/>
                          </a:xfrm>
                          <a:prstGeom prst="rect">
                            <a:avLst/>
                          </a:prstGeom>
                          <a:noFill/>
                          <a:ln>
                            <a:noFill/>
                          </a:ln>
                        </pic:spPr>
                      </pic:pic>
                    </a:graphicData>
                  </a:graphic>
                </wp:inline>
              </w:drawing>
            </w:r>
          </w:p>
        </w:tc>
      </w:tr>
      <w:tr w:rsidR="00647EF3" w:rsidRPr="00965527" w:rsidTr="00647EF3">
        <w:tc>
          <w:tcPr>
            <w:tcW w:w="7088" w:type="dxa"/>
          </w:tcPr>
          <w:p w:rsidR="00647EF3" w:rsidRPr="00965527" w:rsidRDefault="00647EF3" w:rsidP="000064C2">
            <w:pPr>
              <w:rPr>
                <w:b/>
                <w:sz w:val="22"/>
                <w:szCs w:val="22"/>
              </w:rPr>
            </w:pPr>
            <w:r w:rsidRPr="00965527">
              <w:rPr>
                <w:b/>
                <w:sz w:val="22"/>
                <w:szCs w:val="22"/>
              </w:rPr>
              <w:t xml:space="preserve">For legislative options </w:t>
            </w:r>
            <w:r w:rsidR="000064C2" w:rsidRPr="00965527">
              <w:rPr>
                <w:b/>
                <w:sz w:val="22"/>
                <w:szCs w:val="22"/>
              </w:rPr>
              <w:t>-</w:t>
            </w:r>
            <w:r w:rsidRPr="00965527">
              <w:rPr>
                <w:b/>
                <w:sz w:val="22"/>
                <w:szCs w:val="22"/>
              </w:rPr>
              <w:t xml:space="preserve"> The impact on existing statute will be</w:t>
            </w:r>
          </w:p>
        </w:tc>
        <w:tc>
          <w:tcPr>
            <w:tcW w:w="2410" w:type="dxa"/>
          </w:tcPr>
          <w:p w:rsidR="00647EF3" w:rsidRPr="00965527" w:rsidRDefault="00647EF3" w:rsidP="00647EF3">
            <w:pPr>
              <w:rPr>
                <w:b/>
                <w:sz w:val="22"/>
                <w:szCs w:val="22"/>
              </w:rPr>
            </w:pPr>
            <w:r w:rsidRPr="00965527">
              <w:rPr>
                <w:b/>
                <w:sz w:val="22"/>
                <w:szCs w:val="22"/>
              </w:rPr>
              <w:t xml:space="preserve">New                    </w:t>
            </w:r>
            <w:r w:rsidRPr="00965527">
              <w:rPr>
                <w:sz w:val="22"/>
                <w:szCs w:val="22"/>
              </w:rPr>
              <w:sym w:font="Webdings" w:char="F063"/>
            </w:r>
          </w:p>
          <w:p w:rsidR="00647EF3" w:rsidRPr="00965527" w:rsidRDefault="000D7F6A" w:rsidP="00647EF3">
            <w:pPr>
              <w:rPr>
                <w:sz w:val="22"/>
                <w:szCs w:val="22"/>
              </w:rPr>
            </w:pPr>
            <w:r w:rsidRPr="00965527">
              <w:rPr>
                <w:b/>
                <w:sz w:val="22"/>
                <w:szCs w:val="22"/>
              </w:rPr>
              <w:t xml:space="preserve">Amending         </w:t>
            </w:r>
            <w:r w:rsidR="00402AD1">
              <w:rPr>
                <w:b/>
                <w:noProof/>
                <w:sz w:val="22"/>
                <w:szCs w:val="22"/>
                <w:lang w:eastAsia="en-GB"/>
              </w:rPr>
              <w:drawing>
                <wp:inline distT="0" distB="0" distL="0" distR="0">
                  <wp:extent cx="224155" cy="129540"/>
                  <wp:effectExtent l="0" t="0" r="4445" b="3810"/>
                  <wp:docPr id="11" name="Picture 11" descr="MM90018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M900185588[1]"/>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155" cy="129540"/>
                          </a:xfrm>
                          <a:prstGeom prst="rect">
                            <a:avLst/>
                          </a:prstGeom>
                          <a:noFill/>
                          <a:ln>
                            <a:noFill/>
                          </a:ln>
                        </pic:spPr>
                      </pic:pic>
                    </a:graphicData>
                  </a:graphic>
                </wp:inline>
              </w:drawing>
            </w:r>
          </w:p>
          <w:p w:rsidR="00647EF3" w:rsidRPr="00965527" w:rsidRDefault="00647EF3" w:rsidP="00647EF3">
            <w:pPr>
              <w:rPr>
                <w:b/>
                <w:sz w:val="22"/>
                <w:szCs w:val="22"/>
              </w:rPr>
            </w:pPr>
            <w:r w:rsidRPr="00965527">
              <w:rPr>
                <w:b/>
                <w:sz w:val="22"/>
                <w:szCs w:val="22"/>
              </w:rPr>
              <w:t xml:space="preserve">Deregulatory    </w:t>
            </w:r>
            <w:r w:rsidR="000D7F6A" w:rsidRPr="00965527">
              <w:rPr>
                <w:b/>
                <w:sz w:val="22"/>
                <w:szCs w:val="22"/>
              </w:rPr>
              <w:t xml:space="preserve"> </w:t>
            </w:r>
            <w:r w:rsidRPr="00965527">
              <w:rPr>
                <w:b/>
                <w:sz w:val="22"/>
                <w:szCs w:val="22"/>
              </w:rPr>
              <w:t xml:space="preserve"> </w:t>
            </w:r>
            <w:r w:rsidR="000D7F6A" w:rsidRPr="00965527">
              <w:rPr>
                <w:b/>
                <w:sz w:val="22"/>
                <w:szCs w:val="22"/>
              </w:rPr>
              <w:sym w:font="Webdings" w:char="F063"/>
            </w:r>
          </w:p>
          <w:p w:rsidR="00647EF3" w:rsidRPr="00965527" w:rsidRDefault="00647EF3" w:rsidP="00647EF3">
            <w:pPr>
              <w:rPr>
                <w:b/>
                <w:sz w:val="22"/>
                <w:szCs w:val="22"/>
              </w:rPr>
            </w:pPr>
            <w:r w:rsidRPr="00965527">
              <w:rPr>
                <w:b/>
                <w:sz w:val="22"/>
                <w:szCs w:val="22"/>
              </w:rPr>
              <w:t xml:space="preserve">Repealing           </w:t>
            </w:r>
            <w:r w:rsidRPr="00965527">
              <w:rPr>
                <w:b/>
                <w:sz w:val="22"/>
                <w:szCs w:val="22"/>
              </w:rPr>
              <w:sym w:font="Webdings" w:char="F063"/>
            </w:r>
          </w:p>
        </w:tc>
      </w:tr>
      <w:tr w:rsidR="00647EF3" w:rsidRPr="00965527" w:rsidTr="00647EF3">
        <w:tc>
          <w:tcPr>
            <w:tcW w:w="7088" w:type="dxa"/>
          </w:tcPr>
          <w:p w:rsidR="001F1D85" w:rsidRPr="001F1D85" w:rsidRDefault="00647EF3" w:rsidP="001F1D85">
            <w:pPr>
              <w:rPr>
                <w:sz w:val="22"/>
                <w:szCs w:val="22"/>
              </w:rPr>
            </w:pPr>
            <w:r w:rsidRPr="00965527">
              <w:rPr>
                <w:b/>
                <w:sz w:val="22"/>
                <w:szCs w:val="22"/>
              </w:rPr>
              <w:t xml:space="preserve">For legislative options </w:t>
            </w:r>
            <w:r w:rsidR="000064C2" w:rsidRPr="00965527">
              <w:rPr>
                <w:b/>
                <w:sz w:val="22"/>
                <w:szCs w:val="22"/>
              </w:rPr>
              <w:t>-</w:t>
            </w:r>
            <w:r w:rsidRPr="00965527">
              <w:rPr>
                <w:b/>
                <w:sz w:val="22"/>
                <w:szCs w:val="22"/>
              </w:rPr>
              <w:t xml:space="preserve"> </w:t>
            </w:r>
            <w:r w:rsidR="001F1D85" w:rsidRPr="001F1D85">
              <w:rPr>
                <w:sz w:val="22"/>
                <w:szCs w:val="22"/>
              </w:rPr>
              <w:t>This measure consists of several elements so that it meets our minimum EU requirements on a number of European Water related Directives, but it does not go beyond these requirements (i.e it is not gold plated).  Implementing European legislation is out of scope of OIOO.</w:t>
            </w:r>
          </w:p>
          <w:p w:rsidR="00647EF3" w:rsidRPr="00965527" w:rsidRDefault="001F1D85" w:rsidP="001F1D85">
            <w:pPr>
              <w:rPr>
                <w:b/>
                <w:sz w:val="22"/>
                <w:szCs w:val="22"/>
              </w:rPr>
            </w:pPr>
            <w:r w:rsidRPr="001F1D85">
              <w:rPr>
                <w:sz w:val="22"/>
                <w:szCs w:val="22"/>
              </w:rPr>
              <w:t>Implementing domestic legislation is an ‘IN’ with an equivalent annual net cost to business of £0.0021m.</w:t>
            </w:r>
          </w:p>
        </w:tc>
        <w:tc>
          <w:tcPr>
            <w:tcW w:w="2410" w:type="dxa"/>
          </w:tcPr>
          <w:p w:rsidR="00647EF3" w:rsidRPr="00965527" w:rsidRDefault="00647EF3" w:rsidP="00647EF3">
            <w:pPr>
              <w:rPr>
                <w:b/>
                <w:sz w:val="22"/>
                <w:szCs w:val="22"/>
              </w:rPr>
            </w:pPr>
            <w:r w:rsidRPr="00965527">
              <w:rPr>
                <w:b/>
                <w:sz w:val="22"/>
                <w:szCs w:val="22"/>
              </w:rPr>
              <w:t xml:space="preserve">Out of scope      </w:t>
            </w:r>
            <w:r w:rsidR="00402AD1">
              <w:rPr>
                <w:b/>
                <w:noProof/>
                <w:sz w:val="22"/>
                <w:szCs w:val="22"/>
                <w:lang w:eastAsia="en-GB"/>
              </w:rPr>
              <w:drawing>
                <wp:inline distT="0" distB="0" distL="0" distR="0">
                  <wp:extent cx="224155" cy="129540"/>
                  <wp:effectExtent l="0" t="0" r="4445" b="3810"/>
                  <wp:docPr id="12" name="Picture 12" descr="MM90018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900185588[1]"/>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155" cy="129540"/>
                          </a:xfrm>
                          <a:prstGeom prst="rect">
                            <a:avLst/>
                          </a:prstGeom>
                          <a:noFill/>
                          <a:ln>
                            <a:noFill/>
                          </a:ln>
                        </pic:spPr>
                      </pic:pic>
                    </a:graphicData>
                  </a:graphic>
                </wp:inline>
              </w:drawing>
            </w:r>
          </w:p>
          <w:p w:rsidR="00647EF3" w:rsidRPr="00965527" w:rsidRDefault="00647EF3" w:rsidP="00647EF3">
            <w:pPr>
              <w:rPr>
                <w:sz w:val="22"/>
                <w:szCs w:val="22"/>
              </w:rPr>
            </w:pPr>
            <w:r w:rsidRPr="00965527">
              <w:rPr>
                <w:b/>
                <w:sz w:val="22"/>
                <w:szCs w:val="22"/>
              </w:rPr>
              <w:t xml:space="preserve">An Out              </w:t>
            </w:r>
            <w:r w:rsidR="000D7F6A" w:rsidRPr="00965527">
              <w:rPr>
                <w:b/>
                <w:sz w:val="22"/>
                <w:szCs w:val="22"/>
              </w:rPr>
              <w:t xml:space="preserve"> </w:t>
            </w:r>
            <w:r w:rsidR="000D7F6A" w:rsidRPr="00965527">
              <w:rPr>
                <w:sz w:val="22"/>
                <w:szCs w:val="22"/>
              </w:rPr>
              <w:sym w:font="Webdings" w:char="F063"/>
            </w:r>
          </w:p>
          <w:p w:rsidR="00647EF3" w:rsidRPr="00965527" w:rsidRDefault="00647EF3" w:rsidP="00647EF3">
            <w:pPr>
              <w:rPr>
                <w:b/>
                <w:sz w:val="22"/>
                <w:szCs w:val="22"/>
              </w:rPr>
            </w:pPr>
            <w:r w:rsidRPr="00965527">
              <w:rPr>
                <w:b/>
                <w:sz w:val="22"/>
                <w:szCs w:val="22"/>
              </w:rPr>
              <w:t xml:space="preserve">An In £1m-         </w:t>
            </w:r>
            <w:r w:rsidR="00402AD1">
              <w:rPr>
                <w:b/>
                <w:noProof/>
                <w:sz w:val="22"/>
                <w:szCs w:val="22"/>
                <w:lang w:eastAsia="en-GB"/>
              </w:rPr>
              <w:drawing>
                <wp:inline distT="0" distB="0" distL="0" distR="0">
                  <wp:extent cx="224155" cy="129540"/>
                  <wp:effectExtent l="0" t="0" r="4445" b="3810"/>
                  <wp:docPr id="13" name="Picture 13" descr="MM90018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900185588[1]"/>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155" cy="129540"/>
                          </a:xfrm>
                          <a:prstGeom prst="rect">
                            <a:avLst/>
                          </a:prstGeom>
                          <a:noFill/>
                          <a:ln>
                            <a:noFill/>
                          </a:ln>
                        </pic:spPr>
                      </pic:pic>
                    </a:graphicData>
                  </a:graphic>
                </wp:inline>
              </w:drawing>
            </w:r>
          </w:p>
          <w:p w:rsidR="00647EF3" w:rsidRPr="00965527" w:rsidRDefault="00647EF3" w:rsidP="00647EF3">
            <w:pPr>
              <w:rPr>
                <w:b/>
                <w:sz w:val="22"/>
                <w:szCs w:val="22"/>
              </w:rPr>
            </w:pPr>
            <w:r w:rsidRPr="00965527">
              <w:rPr>
                <w:b/>
                <w:sz w:val="22"/>
                <w:szCs w:val="22"/>
              </w:rPr>
              <w:t xml:space="preserve">An In £1m+       </w:t>
            </w:r>
            <w:r w:rsidRPr="00965527">
              <w:rPr>
                <w:sz w:val="22"/>
                <w:szCs w:val="22"/>
              </w:rPr>
              <w:t xml:space="preserve"> </w:t>
            </w:r>
            <w:r w:rsidRPr="00965527">
              <w:rPr>
                <w:sz w:val="22"/>
                <w:szCs w:val="22"/>
              </w:rPr>
              <w:sym w:font="Webdings" w:char="F063"/>
            </w:r>
          </w:p>
        </w:tc>
      </w:tr>
      <w:tr w:rsidR="00647EF3" w:rsidRPr="00965527" w:rsidTr="00647EF3">
        <w:tc>
          <w:tcPr>
            <w:tcW w:w="7088" w:type="dxa"/>
          </w:tcPr>
          <w:p w:rsidR="00647EF3" w:rsidRPr="00965527" w:rsidRDefault="00647EF3" w:rsidP="00647EF3">
            <w:pPr>
              <w:rPr>
                <w:b/>
                <w:sz w:val="22"/>
                <w:szCs w:val="22"/>
              </w:rPr>
            </w:pPr>
            <w:r w:rsidRPr="00965527">
              <w:rPr>
                <w:b/>
                <w:sz w:val="22"/>
                <w:szCs w:val="22"/>
              </w:rPr>
              <w:t xml:space="preserve">For legislative options </w:t>
            </w:r>
            <w:r w:rsidR="000064C2" w:rsidRPr="00965527">
              <w:rPr>
                <w:b/>
                <w:sz w:val="22"/>
                <w:szCs w:val="22"/>
              </w:rPr>
              <w:t>- T</w:t>
            </w:r>
            <w:r w:rsidRPr="00965527">
              <w:rPr>
                <w:b/>
                <w:sz w:val="22"/>
                <w:szCs w:val="22"/>
              </w:rPr>
              <w:t>he following will be required</w:t>
            </w:r>
          </w:p>
          <w:p w:rsidR="00647EF3" w:rsidRPr="00965527" w:rsidRDefault="00647EF3" w:rsidP="00647EF3">
            <w:pPr>
              <w:rPr>
                <w:b/>
                <w:sz w:val="22"/>
                <w:szCs w:val="22"/>
              </w:rPr>
            </w:pPr>
          </w:p>
        </w:tc>
        <w:tc>
          <w:tcPr>
            <w:tcW w:w="2410" w:type="dxa"/>
          </w:tcPr>
          <w:p w:rsidR="00647EF3" w:rsidRPr="00965527" w:rsidRDefault="00647EF3" w:rsidP="00647EF3">
            <w:pPr>
              <w:rPr>
                <w:b/>
                <w:sz w:val="22"/>
                <w:szCs w:val="22"/>
              </w:rPr>
            </w:pPr>
            <w:r w:rsidRPr="00965527">
              <w:rPr>
                <w:b/>
                <w:sz w:val="22"/>
                <w:szCs w:val="22"/>
              </w:rPr>
              <w:t xml:space="preserve">A sunset             </w:t>
            </w:r>
            <w:r w:rsidRPr="00965527">
              <w:rPr>
                <w:sz w:val="22"/>
                <w:szCs w:val="22"/>
              </w:rPr>
              <w:sym w:font="Webdings" w:char="F063"/>
            </w:r>
          </w:p>
          <w:p w:rsidR="00647EF3" w:rsidRPr="00965527" w:rsidRDefault="00647EF3" w:rsidP="00647EF3">
            <w:pPr>
              <w:rPr>
                <w:b/>
                <w:sz w:val="22"/>
                <w:szCs w:val="22"/>
              </w:rPr>
            </w:pPr>
            <w:r w:rsidRPr="00965527">
              <w:rPr>
                <w:b/>
                <w:sz w:val="22"/>
                <w:szCs w:val="22"/>
              </w:rPr>
              <w:t>A review clause</w:t>
            </w:r>
            <w:r w:rsidR="00402AD1">
              <w:rPr>
                <w:b/>
                <w:noProof/>
                <w:sz w:val="22"/>
                <w:szCs w:val="22"/>
                <w:lang w:eastAsia="en-GB"/>
              </w:rPr>
              <w:drawing>
                <wp:inline distT="0" distB="0" distL="0" distR="0">
                  <wp:extent cx="224155" cy="129540"/>
                  <wp:effectExtent l="0" t="0" r="4445" b="3810"/>
                  <wp:docPr id="14" name="Picture 14" descr="MM90018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M900185588[1]"/>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155" cy="129540"/>
                          </a:xfrm>
                          <a:prstGeom prst="rect">
                            <a:avLst/>
                          </a:prstGeom>
                          <a:noFill/>
                          <a:ln>
                            <a:noFill/>
                          </a:ln>
                        </pic:spPr>
                      </pic:pic>
                    </a:graphicData>
                  </a:graphic>
                </wp:inline>
              </w:drawing>
            </w:r>
          </w:p>
        </w:tc>
      </w:tr>
      <w:tr w:rsidR="00647EF3" w:rsidRPr="00965527" w:rsidTr="00647EF3">
        <w:tc>
          <w:tcPr>
            <w:tcW w:w="7088" w:type="dxa"/>
          </w:tcPr>
          <w:p w:rsidR="00647EF3" w:rsidRPr="00965527" w:rsidRDefault="00647EF3" w:rsidP="00647EF3">
            <w:pPr>
              <w:rPr>
                <w:b/>
                <w:sz w:val="22"/>
                <w:szCs w:val="22"/>
              </w:rPr>
            </w:pPr>
            <w:r w:rsidRPr="00965527">
              <w:rPr>
                <w:b/>
                <w:sz w:val="22"/>
                <w:szCs w:val="22"/>
              </w:rPr>
              <w:t>Fast track Policy clearance is available</w:t>
            </w:r>
          </w:p>
        </w:tc>
        <w:tc>
          <w:tcPr>
            <w:tcW w:w="2410" w:type="dxa"/>
          </w:tcPr>
          <w:p w:rsidR="00647EF3" w:rsidRPr="00965527" w:rsidRDefault="00647EF3" w:rsidP="00647EF3">
            <w:pPr>
              <w:rPr>
                <w:b/>
                <w:sz w:val="22"/>
                <w:szCs w:val="22"/>
              </w:rPr>
            </w:pPr>
            <w:r w:rsidRPr="00965527">
              <w:rPr>
                <w:b/>
                <w:sz w:val="22"/>
                <w:szCs w:val="22"/>
              </w:rPr>
              <w:t xml:space="preserve">Yes </w:t>
            </w:r>
            <w:r w:rsidR="00402AD1">
              <w:rPr>
                <w:b/>
                <w:noProof/>
                <w:sz w:val="22"/>
                <w:szCs w:val="22"/>
                <w:lang w:eastAsia="en-GB"/>
              </w:rPr>
              <w:drawing>
                <wp:inline distT="0" distB="0" distL="0" distR="0">
                  <wp:extent cx="224155" cy="129540"/>
                  <wp:effectExtent l="0" t="0" r="4445" b="3810"/>
                  <wp:docPr id="15" name="Picture 15" descr="MM90018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M900185588[1]"/>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155" cy="129540"/>
                          </a:xfrm>
                          <a:prstGeom prst="rect">
                            <a:avLst/>
                          </a:prstGeom>
                          <a:noFill/>
                          <a:ln>
                            <a:noFill/>
                          </a:ln>
                        </pic:spPr>
                      </pic:pic>
                    </a:graphicData>
                  </a:graphic>
                </wp:inline>
              </w:drawing>
            </w:r>
            <w:r w:rsidRPr="00965527">
              <w:rPr>
                <w:sz w:val="22"/>
                <w:szCs w:val="22"/>
              </w:rPr>
              <w:t xml:space="preserve">           No </w:t>
            </w:r>
            <w:r w:rsidRPr="00965527">
              <w:rPr>
                <w:sz w:val="22"/>
                <w:szCs w:val="22"/>
              </w:rPr>
              <w:sym w:font="Webdings" w:char="F063"/>
            </w:r>
          </w:p>
        </w:tc>
      </w:tr>
      <w:tr w:rsidR="00647EF3" w:rsidRPr="00965527" w:rsidTr="00647EF3">
        <w:tc>
          <w:tcPr>
            <w:tcW w:w="7088" w:type="dxa"/>
          </w:tcPr>
          <w:p w:rsidR="00647EF3" w:rsidRPr="00965527" w:rsidRDefault="00647EF3" w:rsidP="00647EF3">
            <w:pPr>
              <w:rPr>
                <w:b/>
                <w:sz w:val="22"/>
                <w:szCs w:val="22"/>
              </w:rPr>
            </w:pPr>
            <w:r w:rsidRPr="00965527">
              <w:rPr>
                <w:b/>
                <w:sz w:val="22"/>
                <w:szCs w:val="22"/>
              </w:rPr>
              <w:t>Target date for call for evidence consultation</w:t>
            </w:r>
          </w:p>
        </w:tc>
        <w:tc>
          <w:tcPr>
            <w:tcW w:w="2410" w:type="dxa"/>
          </w:tcPr>
          <w:p w:rsidR="00647EF3" w:rsidRPr="00965527" w:rsidRDefault="00647EF3" w:rsidP="00647EF3">
            <w:pPr>
              <w:rPr>
                <w:b/>
                <w:sz w:val="22"/>
                <w:szCs w:val="22"/>
              </w:rPr>
            </w:pPr>
          </w:p>
        </w:tc>
      </w:tr>
      <w:tr w:rsidR="00647EF3" w:rsidRPr="00965527" w:rsidTr="00647EF3">
        <w:tc>
          <w:tcPr>
            <w:tcW w:w="7088" w:type="dxa"/>
          </w:tcPr>
          <w:p w:rsidR="00647EF3" w:rsidRPr="00965527" w:rsidRDefault="00647EF3" w:rsidP="00647EF3">
            <w:pPr>
              <w:rPr>
                <w:b/>
                <w:sz w:val="22"/>
                <w:szCs w:val="22"/>
              </w:rPr>
            </w:pPr>
            <w:r w:rsidRPr="00965527">
              <w:rPr>
                <w:b/>
                <w:sz w:val="22"/>
                <w:szCs w:val="22"/>
              </w:rPr>
              <w:t>Target date for call for consultation on proposals</w:t>
            </w:r>
          </w:p>
        </w:tc>
        <w:tc>
          <w:tcPr>
            <w:tcW w:w="2410" w:type="dxa"/>
          </w:tcPr>
          <w:p w:rsidR="00647EF3" w:rsidRPr="00965527" w:rsidRDefault="00647EF3" w:rsidP="00647EF3">
            <w:pPr>
              <w:rPr>
                <w:b/>
                <w:sz w:val="22"/>
                <w:szCs w:val="22"/>
              </w:rPr>
            </w:pPr>
          </w:p>
        </w:tc>
      </w:tr>
      <w:tr w:rsidR="00647EF3" w:rsidRPr="00965527" w:rsidTr="00647EF3">
        <w:tc>
          <w:tcPr>
            <w:tcW w:w="7088" w:type="dxa"/>
          </w:tcPr>
          <w:p w:rsidR="00647EF3" w:rsidRPr="00965527" w:rsidRDefault="00647EF3" w:rsidP="00647EF3">
            <w:pPr>
              <w:rPr>
                <w:b/>
                <w:sz w:val="22"/>
                <w:szCs w:val="22"/>
              </w:rPr>
            </w:pPr>
            <w:r w:rsidRPr="00965527">
              <w:rPr>
                <w:b/>
                <w:sz w:val="22"/>
                <w:szCs w:val="22"/>
              </w:rPr>
              <w:t>Target date for Implementation [or to finalise policy options/IA?]</w:t>
            </w:r>
          </w:p>
        </w:tc>
        <w:tc>
          <w:tcPr>
            <w:tcW w:w="2410" w:type="dxa"/>
          </w:tcPr>
          <w:p w:rsidR="00647EF3" w:rsidRPr="00965527" w:rsidRDefault="008F0E1D" w:rsidP="00165F87">
            <w:pPr>
              <w:rPr>
                <w:b/>
                <w:sz w:val="22"/>
                <w:szCs w:val="22"/>
              </w:rPr>
            </w:pPr>
            <w:r w:rsidRPr="00965527">
              <w:rPr>
                <w:b/>
                <w:sz w:val="22"/>
                <w:szCs w:val="22"/>
              </w:rPr>
              <w:t>October</w:t>
            </w:r>
            <w:r w:rsidR="00165F87" w:rsidRPr="00965527">
              <w:rPr>
                <w:b/>
                <w:sz w:val="22"/>
                <w:szCs w:val="22"/>
              </w:rPr>
              <w:t xml:space="preserve"> 2013 (</w:t>
            </w:r>
            <w:r w:rsidR="00647EF3" w:rsidRPr="00965527">
              <w:rPr>
                <w:b/>
                <w:sz w:val="22"/>
                <w:szCs w:val="22"/>
              </w:rPr>
              <w:t>SNR</w:t>
            </w:r>
            <w:r w:rsidR="00647A87" w:rsidRPr="00965527">
              <w:rPr>
                <w:b/>
                <w:sz w:val="22"/>
                <w:szCs w:val="22"/>
              </w:rPr>
              <w:t>6</w:t>
            </w:r>
            <w:r w:rsidR="00165F87" w:rsidRPr="00965527">
              <w:rPr>
                <w:b/>
                <w:sz w:val="22"/>
                <w:szCs w:val="22"/>
              </w:rPr>
              <w:t>)</w:t>
            </w:r>
          </w:p>
        </w:tc>
      </w:tr>
      <w:tr w:rsidR="00647EF3" w:rsidRPr="00965527" w:rsidTr="00647EF3">
        <w:tc>
          <w:tcPr>
            <w:tcW w:w="7088" w:type="dxa"/>
          </w:tcPr>
          <w:p w:rsidR="00647EF3" w:rsidRPr="00965527" w:rsidRDefault="00647EF3" w:rsidP="00647EF3">
            <w:pPr>
              <w:rPr>
                <w:b/>
                <w:sz w:val="22"/>
                <w:szCs w:val="22"/>
              </w:rPr>
            </w:pPr>
            <w:r w:rsidRPr="00965527">
              <w:rPr>
                <w:b/>
                <w:sz w:val="22"/>
                <w:szCs w:val="22"/>
              </w:rPr>
              <w:t>Estimated FTEs required to develop policy through to clearance</w:t>
            </w:r>
          </w:p>
        </w:tc>
        <w:tc>
          <w:tcPr>
            <w:tcW w:w="2410" w:type="dxa"/>
          </w:tcPr>
          <w:p w:rsidR="00647EF3" w:rsidRPr="00965527" w:rsidRDefault="00157D3A" w:rsidP="00647EF3">
            <w:pPr>
              <w:rPr>
                <w:b/>
                <w:sz w:val="22"/>
                <w:szCs w:val="22"/>
              </w:rPr>
            </w:pPr>
            <w:r w:rsidRPr="00965527">
              <w:rPr>
                <w:b/>
                <w:sz w:val="22"/>
                <w:szCs w:val="22"/>
              </w:rPr>
              <w:t>1</w:t>
            </w:r>
          </w:p>
        </w:tc>
      </w:tr>
    </w:tbl>
    <w:p w:rsidR="00647EF3" w:rsidRPr="00965527" w:rsidRDefault="00647EF3" w:rsidP="00647EF3">
      <w:pPr>
        <w:rPr>
          <w:b/>
          <w:sz w:val="22"/>
          <w:szCs w:val="22"/>
        </w:rPr>
      </w:pPr>
    </w:p>
    <w:p w:rsidR="00647EF3" w:rsidRPr="00965527" w:rsidRDefault="00647EF3" w:rsidP="00647EF3">
      <w:pPr>
        <w:numPr>
          <w:ilvl w:val="0"/>
          <w:numId w:val="12"/>
        </w:numPr>
        <w:rPr>
          <w:b/>
          <w:sz w:val="22"/>
          <w:szCs w:val="22"/>
        </w:rPr>
      </w:pPr>
      <w:r w:rsidRPr="00965527">
        <w:rPr>
          <w:b/>
          <w:sz w:val="22"/>
          <w:szCs w:val="22"/>
        </w:rPr>
        <w:t>Policy Sign-On</w:t>
      </w:r>
    </w:p>
    <w:p w:rsidR="00647EF3" w:rsidRPr="00965527" w:rsidRDefault="00647EF3" w:rsidP="00647EF3">
      <w:pPr>
        <w:rPr>
          <w:b/>
          <w:sz w:val="22"/>
          <w:szCs w:val="22"/>
        </w:rPr>
      </w:pPr>
      <w:r w:rsidRPr="00965527">
        <w:rPr>
          <w:b/>
          <w:sz w:val="22"/>
          <w:szCs w:val="22"/>
        </w:rPr>
        <w:t>We have considered the problem and desired outcomes and have agreed the options and evidence required to enable those options to be further assessed and compared</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blLayout w:type="fixed"/>
        <w:tblLook w:val="04A0" w:firstRow="1" w:lastRow="0" w:firstColumn="1" w:lastColumn="0" w:noHBand="0" w:noVBand="1"/>
      </w:tblPr>
      <w:tblGrid>
        <w:gridCol w:w="3261"/>
        <w:gridCol w:w="4252"/>
        <w:gridCol w:w="1701"/>
      </w:tblGrid>
      <w:tr w:rsidR="00647EF3" w:rsidRPr="00965527" w:rsidTr="00571055">
        <w:tc>
          <w:tcPr>
            <w:tcW w:w="3261" w:type="dxa"/>
            <w:tcBorders>
              <w:bottom w:val="single" w:sz="4" w:space="0" w:color="000000"/>
            </w:tcBorders>
            <w:shd w:val="clear" w:color="auto" w:fill="B6DDE8"/>
          </w:tcPr>
          <w:p w:rsidR="00647EF3" w:rsidRPr="00965527" w:rsidRDefault="00647EF3" w:rsidP="00647EF3">
            <w:pPr>
              <w:rPr>
                <w:b/>
                <w:sz w:val="22"/>
                <w:szCs w:val="22"/>
                <w:u w:val="single"/>
              </w:rPr>
            </w:pPr>
            <w:r w:rsidRPr="00965527">
              <w:rPr>
                <w:b/>
                <w:sz w:val="22"/>
                <w:szCs w:val="22"/>
                <w:u w:val="single"/>
              </w:rPr>
              <w:t>Sign-on  team</w:t>
            </w:r>
          </w:p>
        </w:tc>
        <w:tc>
          <w:tcPr>
            <w:tcW w:w="4252" w:type="dxa"/>
            <w:tcBorders>
              <w:bottom w:val="single" w:sz="4" w:space="0" w:color="000000"/>
            </w:tcBorders>
            <w:shd w:val="clear" w:color="auto" w:fill="B6DDE8"/>
          </w:tcPr>
          <w:p w:rsidR="00647EF3" w:rsidRPr="00965527" w:rsidRDefault="00647EF3" w:rsidP="00647EF3">
            <w:pPr>
              <w:rPr>
                <w:b/>
                <w:sz w:val="22"/>
                <w:szCs w:val="22"/>
                <w:u w:val="single"/>
              </w:rPr>
            </w:pPr>
            <w:r w:rsidRPr="00965527">
              <w:rPr>
                <w:b/>
                <w:sz w:val="22"/>
                <w:szCs w:val="22"/>
                <w:u w:val="single"/>
              </w:rPr>
              <w:t xml:space="preserve">Name </w:t>
            </w:r>
          </w:p>
        </w:tc>
        <w:tc>
          <w:tcPr>
            <w:tcW w:w="1701" w:type="dxa"/>
            <w:tcBorders>
              <w:bottom w:val="single" w:sz="4" w:space="0" w:color="000000"/>
            </w:tcBorders>
            <w:shd w:val="clear" w:color="auto" w:fill="B6DDE8"/>
          </w:tcPr>
          <w:p w:rsidR="00647EF3" w:rsidRPr="00965527" w:rsidRDefault="00647EF3" w:rsidP="00647EF3">
            <w:pPr>
              <w:rPr>
                <w:b/>
                <w:sz w:val="22"/>
                <w:szCs w:val="22"/>
                <w:u w:val="single"/>
              </w:rPr>
            </w:pPr>
            <w:r w:rsidRPr="00965527">
              <w:rPr>
                <w:b/>
                <w:sz w:val="22"/>
                <w:szCs w:val="22"/>
                <w:u w:val="single"/>
              </w:rPr>
              <w:t>Date</w:t>
            </w:r>
          </w:p>
        </w:tc>
      </w:tr>
      <w:tr w:rsidR="00647EF3" w:rsidRPr="00965527" w:rsidTr="00571055">
        <w:tc>
          <w:tcPr>
            <w:tcW w:w="3261" w:type="dxa"/>
            <w:shd w:val="clear" w:color="auto" w:fill="B6DDE8"/>
          </w:tcPr>
          <w:p w:rsidR="00647EF3" w:rsidRPr="00965527" w:rsidRDefault="00647EF3" w:rsidP="00647EF3">
            <w:pPr>
              <w:rPr>
                <w:b/>
                <w:sz w:val="22"/>
                <w:szCs w:val="22"/>
              </w:rPr>
            </w:pPr>
            <w:r w:rsidRPr="00965527">
              <w:rPr>
                <w:b/>
                <w:sz w:val="22"/>
                <w:szCs w:val="22"/>
              </w:rPr>
              <w:t xml:space="preserve">Policy Lead                                                                 </w:t>
            </w:r>
          </w:p>
        </w:tc>
        <w:tc>
          <w:tcPr>
            <w:tcW w:w="4252" w:type="dxa"/>
            <w:shd w:val="clear" w:color="auto" w:fill="B6DDE8"/>
          </w:tcPr>
          <w:p w:rsidR="00647EF3" w:rsidRPr="00965527" w:rsidRDefault="009F1058" w:rsidP="00647EF3">
            <w:pPr>
              <w:rPr>
                <w:b/>
                <w:sz w:val="22"/>
                <w:szCs w:val="22"/>
              </w:rPr>
            </w:pPr>
            <w:r w:rsidRPr="00965527">
              <w:rPr>
                <w:b/>
                <w:sz w:val="22"/>
                <w:szCs w:val="22"/>
              </w:rPr>
              <w:t>Gill Davies</w:t>
            </w:r>
          </w:p>
        </w:tc>
        <w:tc>
          <w:tcPr>
            <w:tcW w:w="1701" w:type="dxa"/>
            <w:shd w:val="clear" w:color="auto" w:fill="B6DDE8"/>
          </w:tcPr>
          <w:p w:rsidR="00647EF3" w:rsidRPr="00965527" w:rsidRDefault="00647EF3" w:rsidP="00647EF3">
            <w:pPr>
              <w:rPr>
                <w:b/>
                <w:sz w:val="22"/>
                <w:szCs w:val="22"/>
              </w:rPr>
            </w:pPr>
          </w:p>
        </w:tc>
      </w:tr>
      <w:tr w:rsidR="00647EF3" w:rsidRPr="00965527" w:rsidTr="00571055">
        <w:tc>
          <w:tcPr>
            <w:tcW w:w="3261" w:type="dxa"/>
            <w:shd w:val="clear" w:color="auto" w:fill="B6DDE8"/>
          </w:tcPr>
          <w:p w:rsidR="00647EF3" w:rsidRPr="00965527" w:rsidRDefault="00647EF3" w:rsidP="00647EF3">
            <w:pPr>
              <w:rPr>
                <w:b/>
                <w:sz w:val="22"/>
                <w:szCs w:val="22"/>
              </w:rPr>
            </w:pPr>
            <w:r w:rsidRPr="00965527">
              <w:rPr>
                <w:b/>
                <w:sz w:val="22"/>
                <w:szCs w:val="22"/>
              </w:rPr>
              <w:t xml:space="preserve">Better Regulation                       </w:t>
            </w:r>
          </w:p>
        </w:tc>
        <w:tc>
          <w:tcPr>
            <w:tcW w:w="4252" w:type="dxa"/>
            <w:shd w:val="clear" w:color="auto" w:fill="B6DDE8"/>
          </w:tcPr>
          <w:p w:rsidR="00647EF3" w:rsidRPr="00965527" w:rsidRDefault="00157D3A" w:rsidP="00647EF3">
            <w:pPr>
              <w:rPr>
                <w:b/>
                <w:sz w:val="22"/>
                <w:szCs w:val="22"/>
              </w:rPr>
            </w:pPr>
            <w:r w:rsidRPr="00965527">
              <w:rPr>
                <w:b/>
                <w:sz w:val="22"/>
                <w:szCs w:val="22"/>
              </w:rPr>
              <w:t>Andy Welberry</w:t>
            </w:r>
          </w:p>
        </w:tc>
        <w:tc>
          <w:tcPr>
            <w:tcW w:w="1701" w:type="dxa"/>
            <w:shd w:val="clear" w:color="auto" w:fill="B6DDE8"/>
          </w:tcPr>
          <w:p w:rsidR="00647EF3" w:rsidRPr="00965527" w:rsidRDefault="00647EF3" w:rsidP="00647EF3">
            <w:pPr>
              <w:rPr>
                <w:b/>
                <w:sz w:val="22"/>
                <w:szCs w:val="22"/>
              </w:rPr>
            </w:pPr>
          </w:p>
        </w:tc>
      </w:tr>
      <w:tr w:rsidR="00647EF3" w:rsidRPr="00965527" w:rsidTr="00571055">
        <w:tc>
          <w:tcPr>
            <w:tcW w:w="3261" w:type="dxa"/>
            <w:shd w:val="clear" w:color="auto" w:fill="B6DDE8"/>
          </w:tcPr>
          <w:p w:rsidR="00647EF3" w:rsidRPr="00965527" w:rsidRDefault="00647EF3" w:rsidP="00647EF3">
            <w:pPr>
              <w:rPr>
                <w:b/>
                <w:sz w:val="22"/>
                <w:szCs w:val="22"/>
              </w:rPr>
            </w:pPr>
            <w:r w:rsidRPr="00965527">
              <w:rPr>
                <w:b/>
                <w:sz w:val="22"/>
                <w:szCs w:val="22"/>
              </w:rPr>
              <w:t>Economist</w:t>
            </w:r>
          </w:p>
        </w:tc>
        <w:tc>
          <w:tcPr>
            <w:tcW w:w="4252" w:type="dxa"/>
            <w:shd w:val="clear" w:color="auto" w:fill="B6DDE8"/>
          </w:tcPr>
          <w:p w:rsidR="00647EF3" w:rsidRPr="00965527" w:rsidRDefault="009F1058" w:rsidP="00647EF3">
            <w:pPr>
              <w:rPr>
                <w:b/>
                <w:sz w:val="22"/>
                <w:szCs w:val="22"/>
              </w:rPr>
            </w:pPr>
            <w:r w:rsidRPr="00965527">
              <w:rPr>
                <w:b/>
                <w:sz w:val="22"/>
                <w:szCs w:val="22"/>
              </w:rPr>
              <w:t>Nick Haigh</w:t>
            </w:r>
          </w:p>
        </w:tc>
        <w:tc>
          <w:tcPr>
            <w:tcW w:w="1701" w:type="dxa"/>
            <w:shd w:val="clear" w:color="auto" w:fill="B6DDE8"/>
          </w:tcPr>
          <w:p w:rsidR="00647EF3" w:rsidRPr="00965527" w:rsidRDefault="00647EF3" w:rsidP="00647EF3">
            <w:pPr>
              <w:rPr>
                <w:b/>
                <w:sz w:val="22"/>
                <w:szCs w:val="22"/>
              </w:rPr>
            </w:pPr>
          </w:p>
        </w:tc>
      </w:tr>
      <w:tr w:rsidR="00647EF3" w:rsidRPr="00965527" w:rsidTr="00571055">
        <w:tc>
          <w:tcPr>
            <w:tcW w:w="3261" w:type="dxa"/>
            <w:shd w:val="clear" w:color="auto" w:fill="B6DDE8"/>
          </w:tcPr>
          <w:p w:rsidR="00647EF3" w:rsidRPr="00965527" w:rsidRDefault="00647EF3" w:rsidP="00647EF3">
            <w:pPr>
              <w:rPr>
                <w:b/>
                <w:sz w:val="22"/>
                <w:szCs w:val="22"/>
              </w:rPr>
            </w:pPr>
            <w:r w:rsidRPr="00965527">
              <w:rPr>
                <w:b/>
                <w:sz w:val="22"/>
                <w:szCs w:val="22"/>
              </w:rPr>
              <w:t>Lawyer</w:t>
            </w:r>
          </w:p>
        </w:tc>
        <w:tc>
          <w:tcPr>
            <w:tcW w:w="4252" w:type="dxa"/>
            <w:shd w:val="clear" w:color="auto" w:fill="B6DDE8"/>
          </w:tcPr>
          <w:p w:rsidR="00647EF3" w:rsidRPr="00965527" w:rsidRDefault="00647EF3" w:rsidP="00647EF3">
            <w:pPr>
              <w:rPr>
                <w:b/>
                <w:sz w:val="22"/>
                <w:szCs w:val="22"/>
              </w:rPr>
            </w:pPr>
            <w:r w:rsidRPr="00965527">
              <w:rPr>
                <w:b/>
                <w:sz w:val="22"/>
                <w:szCs w:val="22"/>
              </w:rPr>
              <w:t>N/A</w:t>
            </w:r>
          </w:p>
        </w:tc>
        <w:tc>
          <w:tcPr>
            <w:tcW w:w="1701" w:type="dxa"/>
            <w:shd w:val="clear" w:color="auto" w:fill="B6DDE8"/>
          </w:tcPr>
          <w:p w:rsidR="00647EF3" w:rsidRPr="00965527" w:rsidRDefault="00647EF3" w:rsidP="00647EF3">
            <w:pPr>
              <w:rPr>
                <w:b/>
                <w:sz w:val="22"/>
                <w:szCs w:val="22"/>
              </w:rPr>
            </w:pPr>
          </w:p>
        </w:tc>
      </w:tr>
      <w:tr w:rsidR="00647EF3" w:rsidRPr="00965527" w:rsidTr="00571055">
        <w:tc>
          <w:tcPr>
            <w:tcW w:w="3261" w:type="dxa"/>
            <w:shd w:val="clear" w:color="auto" w:fill="B6DDE8"/>
          </w:tcPr>
          <w:p w:rsidR="00647EF3" w:rsidRPr="00965527" w:rsidRDefault="00647EF3" w:rsidP="00647EF3">
            <w:pPr>
              <w:rPr>
                <w:b/>
                <w:sz w:val="22"/>
                <w:szCs w:val="22"/>
              </w:rPr>
            </w:pPr>
            <w:r w:rsidRPr="00965527">
              <w:rPr>
                <w:b/>
                <w:sz w:val="22"/>
                <w:szCs w:val="22"/>
              </w:rPr>
              <w:t>Social Researcher</w:t>
            </w:r>
          </w:p>
        </w:tc>
        <w:tc>
          <w:tcPr>
            <w:tcW w:w="4252" w:type="dxa"/>
            <w:shd w:val="clear" w:color="auto" w:fill="B6DDE8"/>
          </w:tcPr>
          <w:p w:rsidR="00647EF3" w:rsidRPr="00965527" w:rsidRDefault="00647EF3" w:rsidP="00647EF3">
            <w:pPr>
              <w:rPr>
                <w:b/>
                <w:sz w:val="22"/>
                <w:szCs w:val="22"/>
              </w:rPr>
            </w:pPr>
            <w:r w:rsidRPr="00965527">
              <w:rPr>
                <w:b/>
                <w:sz w:val="22"/>
                <w:szCs w:val="22"/>
              </w:rPr>
              <w:t>N/A</w:t>
            </w:r>
          </w:p>
        </w:tc>
        <w:tc>
          <w:tcPr>
            <w:tcW w:w="1701" w:type="dxa"/>
            <w:shd w:val="clear" w:color="auto" w:fill="B6DDE8"/>
          </w:tcPr>
          <w:p w:rsidR="00647EF3" w:rsidRPr="00965527" w:rsidRDefault="00647EF3" w:rsidP="00647EF3">
            <w:pPr>
              <w:rPr>
                <w:b/>
                <w:sz w:val="22"/>
                <w:szCs w:val="22"/>
              </w:rPr>
            </w:pPr>
          </w:p>
        </w:tc>
      </w:tr>
      <w:tr w:rsidR="00647EF3" w:rsidRPr="00965527" w:rsidTr="00571055">
        <w:tc>
          <w:tcPr>
            <w:tcW w:w="3261" w:type="dxa"/>
            <w:shd w:val="clear" w:color="auto" w:fill="B6DDE8"/>
          </w:tcPr>
          <w:p w:rsidR="00647EF3" w:rsidRPr="00965527" w:rsidRDefault="00647EF3" w:rsidP="00647EF3">
            <w:pPr>
              <w:rPr>
                <w:b/>
                <w:sz w:val="22"/>
                <w:szCs w:val="22"/>
              </w:rPr>
            </w:pPr>
            <w:r w:rsidRPr="00965527">
              <w:rPr>
                <w:b/>
                <w:sz w:val="22"/>
                <w:szCs w:val="22"/>
              </w:rPr>
              <w:t>Delivery Body</w:t>
            </w:r>
          </w:p>
        </w:tc>
        <w:tc>
          <w:tcPr>
            <w:tcW w:w="4252" w:type="dxa"/>
            <w:shd w:val="clear" w:color="auto" w:fill="B6DDE8"/>
          </w:tcPr>
          <w:p w:rsidR="00647EF3" w:rsidRPr="00965527" w:rsidRDefault="00EA0245" w:rsidP="00647EF3">
            <w:pPr>
              <w:rPr>
                <w:b/>
                <w:sz w:val="22"/>
                <w:szCs w:val="22"/>
              </w:rPr>
            </w:pPr>
            <w:r w:rsidRPr="00965527">
              <w:rPr>
                <w:b/>
                <w:sz w:val="22"/>
                <w:szCs w:val="22"/>
              </w:rPr>
              <w:t>DWI and EA</w:t>
            </w:r>
          </w:p>
        </w:tc>
        <w:tc>
          <w:tcPr>
            <w:tcW w:w="1701" w:type="dxa"/>
            <w:shd w:val="clear" w:color="auto" w:fill="B6DDE8"/>
          </w:tcPr>
          <w:p w:rsidR="00647EF3" w:rsidRPr="00965527" w:rsidRDefault="00647EF3" w:rsidP="00647EF3">
            <w:pPr>
              <w:rPr>
                <w:b/>
                <w:sz w:val="22"/>
                <w:szCs w:val="22"/>
              </w:rPr>
            </w:pPr>
          </w:p>
        </w:tc>
      </w:tr>
      <w:tr w:rsidR="00647EF3" w:rsidRPr="00965527" w:rsidTr="00571055">
        <w:tc>
          <w:tcPr>
            <w:tcW w:w="3261" w:type="dxa"/>
            <w:shd w:val="clear" w:color="auto" w:fill="B6DDE8"/>
          </w:tcPr>
          <w:p w:rsidR="00647EF3" w:rsidRPr="00965527" w:rsidRDefault="00647EF3" w:rsidP="00647EF3">
            <w:pPr>
              <w:rPr>
                <w:b/>
                <w:i/>
                <w:sz w:val="22"/>
                <w:szCs w:val="22"/>
              </w:rPr>
            </w:pPr>
            <w:r w:rsidRPr="00965527">
              <w:rPr>
                <w:b/>
                <w:i/>
                <w:sz w:val="22"/>
                <w:szCs w:val="22"/>
              </w:rPr>
              <w:t>[Other]</w:t>
            </w:r>
          </w:p>
        </w:tc>
        <w:tc>
          <w:tcPr>
            <w:tcW w:w="4252" w:type="dxa"/>
            <w:shd w:val="clear" w:color="auto" w:fill="B6DDE8"/>
          </w:tcPr>
          <w:p w:rsidR="00647EF3" w:rsidRPr="00965527" w:rsidRDefault="00647EF3" w:rsidP="00647EF3">
            <w:pPr>
              <w:rPr>
                <w:b/>
                <w:sz w:val="22"/>
                <w:szCs w:val="22"/>
              </w:rPr>
            </w:pPr>
          </w:p>
        </w:tc>
        <w:tc>
          <w:tcPr>
            <w:tcW w:w="1701" w:type="dxa"/>
            <w:shd w:val="clear" w:color="auto" w:fill="B6DDE8"/>
          </w:tcPr>
          <w:p w:rsidR="00647EF3" w:rsidRPr="00965527" w:rsidRDefault="00647EF3" w:rsidP="00647EF3">
            <w:pPr>
              <w:rPr>
                <w:b/>
                <w:sz w:val="22"/>
                <w:szCs w:val="22"/>
              </w:rPr>
            </w:pPr>
          </w:p>
        </w:tc>
      </w:tr>
      <w:tr w:rsidR="00647EF3" w:rsidRPr="00965527" w:rsidTr="00571055">
        <w:tc>
          <w:tcPr>
            <w:tcW w:w="3261" w:type="dxa"/>
            <w:shd w:val="clear" w:color="auto" w:fill="B6DDE8"/>
          </w:tcPr>
          <w:p w:rsidR="00647EF3" w:rsidRPr="00965527" w:rsidRDefault="00647EF3" w:rsidP="00647EF3">
            <w:pPr>
              <w:rPr>
                <w:b/>
                <w:sz w:val="22"/>
                <w:szCs w:val="22"/>
              </w:rPr>
            </w:pPr>
            <w:r w:rsidRPr="00965527">
              <w:rPr>
                <w:b/>
                <w:sz w:val="22"/>
                <w:szCs w:val="22"/>
              </w:rPr>
              <w:t>Approval to proceed (SRO)</w:t>
            </w:r>
          </w:p>
          <w:p w:rsidR="00647EF3" w:rsidRPr="00965527" w:rsidRDefault="00647EF3" w:rsidP="00647EF3">
            <w:pPr>
              <w:rPr>
                <w:b/>
                <w:sz w:val="22"/>
                <w:szCs w:val="22"/>
              </w:rPr>
            </w:pPr>
            <w:r w:rsidRPr="00965527">
              <w:rPr>
                <w:b/>
                <w:sz w:val="22"/>
                <w:szCs w:val="22"/>
              </w:rPr>
              <w:t>(After agreement to any business case produced)</w:t>
            </w:r>
          </w:p>
        </w:tc>
        <w:tc>
          <w:tcPr>
            <w:tcW w:w="4252" w:type="dxa"/>
            <w:shd w:val="clear" w:color="auto" w:fill="B6DDE8"/>
          </w:tcPr>
          <w:p w:rsidR="00647EF3" w:rsidRPr="00965527" w:rsidRDefault="002F5088" w:rsidP="00647EF3">
            <w:pPr>
              <w:rPr>
                <w:b/>
                <w:sz w:val="22"/>
                <w:szCs w:val="22"/>
              </w:rPr>
            </w:pPr>
            <w:r w:rsidRPr="00965527">
              <w:rPr>
                <w:b/>
                <w:sz w:val="22"/>
                <w:szCs w:val="22"/>
              </w:rPr>
              <w:t>John Bourne</w:t>
            </w:r>
          </w:p>
        </w:tc>
        <w:tc>
          <w:tcPr>
            <w:tcW w:w="1701" w:type="dxa"/>
            <w:shd w:val="clear" w:color="auto" w:fill="B6DDE8"/>
          </w:tcPr>
          <w:p w:rsidR="00647EF3" w:rsidRPr="00965527" w:rsidRDefault="00647EF3" w:rsidP="00647EF3">
            <w:pPr>
              <w:rPr>
                <w:b/>
                <w:sz w:val="22"/>
                <w:szCs w:val="22"/>
              </w:rPr>
            </w:pPr>
          </w:p>
        </w:tc>
      </w:tr>
    </w:tbl>
    <w:p w:rsidR="00647EF3" w:rsidRPr="00965527" w:rsidRDefault="00647EF3" w:rsidP="00647EF3">
      <w:pPr>
        <w:rPr>
          <w:b/>
          <w:sz w:val="22"/>
          <w:szCs w:val="22"/>
        </w:rPr>
      </w:pPr>
    </w:p>
    <w:p w:rsidR="00647EF3" w:rsidRPr="00965527" w:rsidRDefault="00647EF3" w:rsidP="00647EF3">
      <w:pPr>
        <w:numPr>
          <w:ilvl w:val="0"/>
          <w:numId w:val="12"/>
        </w:numPr>
        <w:rPr>
          <w:b/>
          <w:bCs/>
          <w:sz w:val="22"/>
          <w:szCs w:val="22"/>
          <w:u w:val="single"/>
        </w:rPr>
      </w:pPr>
      <w:r w:rsidRPr="00965527">
        <w:rPr>
          <w:b/>
          <w:bCs/>
          <w:sz w:val="22"/>
          <w:szCs w:val="22"/>
          <w:u w:val="single"/>
        </w:rPr>
        <w:t>Summary of Existing Evidence / Evaluation</w:t>
      </w:r>
    </w:p>
    <w:p w:rsidR="00647EF3" w:rsidRPr="00965527" w:rsidRDefault="00647EF3" w:rsidP="00647EF3">
      <w:pPr>
        <w:rPr>
          <w:b/>
          <w:bCs/>
          <w:sz w:val="22"/>
          <w:szCs w:val="22"/>
          <w:u w:val="single"/>
        </w:rPr>
      </w:pPr>
    </w:p>
    <w:p w:rsidR="00647EF3" w:rsidRPr="00965527" w:rsidRDefault="00647EF3" w:rsidP="00647EF3">
      <w:pPr>
        <w:rPr>
          <w:bCs/>
          <w:sz w:val="22"/>
          <w:szCs w:val="22"/>
        </w:rPr>
      </w:pPr>
      <w:r w:rsidRPr="00965527">
        <w:rPr>
          <w:bCs/>
          <w:sz w:val="22"/>
          <w:szCs w:val="22"/>
        </w:rPr>
        <w:t xml:space="preserve">For Policy Appraisal complete </w:t>
      </w:r>
      <w:r w:rsidRPr="00965527">
        <w:rPr>
          <w:b/>
          <w:bCs/>
          <w:sz w:val="22"/>
          <w:szCs w:val="22"/>
        </w:rPr>
        <w:t xml:space="preserve">Annex A </w:t>
      </w:r>
    </w:p>
    <w:p w:rsidR="00647EF3" w:rsidRPr="00965527" w:rsidRDefault="00647EF3" w:rsidP="00647EF3">
      <w:pPr>
        <w:rPr>
          <w:bCs/>
          <w:sz w:val="22"/>
          <w:szCs w:val="22"/>
        </w:rPr>
      </w:pPr>
      <w:r w:rsidRPr="00965527">
        <w:rPr>
          <w:bCs/>
          <w:sz w:val="22"/>
          <w:szCs w:val="22"/>
        </w:rPr>
        <w:t xml:space="preserve">Fast Track measures complete </w:t>
      </w:r>
      <w:r w:rsidRPr="00965527">
        <w:rPr>
          <w:b/>
          <w:bCs/>
          <w:sz w:val="22"/>
          <w:szCs w:val="22"/>
        </w:rPr>
        <w:t>Annex B</w:t>
      </w:r>
      <w:r w:rsidRPr="00965527">
        <w:rPr>
          <w:bCs/>
          <w:sz w:val="22"/>
          <w:szCs w:val="22"/>
        </w:rPr>
        <w:t xml:space="preserve"> (To be submitted to RPC for validation)</w:t>
      </w:r>
    </w:p>
    <w:p w:rsidR="00647EF3" w:rsidRPr="00965527" w:rsidRDefault="00647EF3" w:rsidP="00647EF3">
      <w:pPr>
        <w:rPr>
          <w:b/>
          <w:sz w:val="22"/>
          <w:szCs w:val="22"/>
          <w:u w:val="single"/>
        </w:rPr>
      </w:pPr>
      <w:r w:rsidRPr="00965527">
        <w:rPr>
          <w:bCs/>
          <w:sz w:val="22"/>
          <w:szCs w:val="22"/>
        </w:rPr>
        <w:br w:type="page"/>
      </w:r>
      <w:r w:rsidRPr="00965527">
        <w:rPr>
          <w:b/>
          <w:sz w:val="22"/>
          <w:szCs w:val="22"/>
          <w:u w:val="single"/>
        </w:rPr>
        <w:t>ANNEX B – Rationale for Fast Track measures</w:t>
      </w:r>
      <w:r w:rsidR="00E03136" w:rsidRPr="00965527">
        <w:rPr>
          <w:b/>
          <w:sz w:val="22"/>
          <w:szCs w:val="22"/>
          <w:u w:val="single"/>
        </w:rPr>
        <w:t xml:space="preserve"> </w:t>
      </w:r>
    </w:p>
    <w:p w:rsidR="008F0E1D" w:rsidRPr="00965527" w:rsidRDefault="008F0E1D" w:rsidP="00647EF3">
      <w:pPr>
        <w:rPr>
          <w:b/>
          <w:sz w:val="22"/>
          <w:szCs w:val="22"/>
          <w:u w:val="single"/>
        </w:rPr>
      </w:pPr>
    </w:p>
    <w:p w:rsidR="00647EF3" w:rsidRPr="00965527" w:rsidRDefault="00647EF3" w:rsidP="00647EF3">
      <w:pPr>
        <w:rPr>
          <w:b/>
          <w:sz w:val="22"/>
          <w:szCs w:val="22"/>
          <w:u w:val="single"/>
        </w:rPr>
      </w:pPr>
      <w:r w:rsidRPr="00965527">
        <w:rPr>
          <w:b/>
          <w:sz w:val="22"/>
          <w:szCs w:val="22"/>
          <w:u w:val="single"/>
        </w:rPr>
        <w:t xml:space="preserve">Rationale for intervention and intended effects </w:t>
      </w:r>
    </w:p>
    <w:p w:rsidR="00D148D1" w:rsidRPr="00965527" w:rsidRDefault="00D148D1" w:rsidP="0074354A">
      <w:pPr>
        <w:jc w:val="both"/>
        <w:rPr>
          <w:sz w:val="22"/>
          <w:szCs w:val="22"/>
        </w:rPr>
      </w:pPr>
    </w:p>
    <w:p w:rsidR="0057388A" w:rsidRPr="00965527" w:rsidRDefault="00B573D3" w:rsidP="004161FF">
      <w:pPr>
        <w:jc w:val="both"/>
        <w:rPr>
          <w:sz w:val="22"/>
          <w:szCs w:val="22"/>
        </w:rPr>
      </w:pPr>
      <w:r w:rsidRPr="00965527">
        <w:rPr>
          <w:sz w:val="22"/>
          <w:szCs w:val="22"/>
        </w:rPr>
        <w:t>The Isles of Scilly (IoS) are a group of small islands 28 miles off the coast of Cornwall. The population is 2</w:t>
      </w:r>
      <w:r>
        <w:rPr>
          <w:sz w:val="22"/>
          <w:szCs w:val="22"/>
        </w:rPr>
        <w:t>200</w:t>
      </w:r>
      <w:r w:rsidRPr="00965527">
        <w:rPr>
          <w:sz w:val="22"/>
          <w:szCs w:val="22"/>
        </w:rPr>
        <w:t xml:space="preserve"> (20</w:t>
      </w:r>
      <w:r>
        <w:rPr>
          <w:sz w:val="22"/>
          <w:szCs w:val="22"/>
        </w:rPr>
        <w:t>1</w:t>
      </w:r>
      <w:r w:rsidRPr="00965527">
        <w:rPr>
          <w:sz w:val="22"/>
          <w:szCs w:val="22"/>
        </w:rPr>
        <w:t>1 census), but in the summer months the population peaks at 5000 due to the influx of tourists (85% of the IoS economy is based on tourism). Unlike the rest of England</w:t>
      </w:r>
      <w:r>
        <w:rPr>
          <w:sz w:val="22"/>
          <w:szCs w:val="22"/>
        </w:rPr>
        <w:t xml:space="preserve"> delivery of </w:t>
      </w:r>
      <w:r w:rsidRPr="00965527">
        <w:rPr>
          <w:sz w:val="22"/>
          <w:szCs w:val="22"/>
        </w:rPr>
        <w:t xml:space="preserve">public drinking water and sewerage </w:t>
      </w:r>
      <w:r>
        <w:rPr>
          <w:sz w:val="22"/>
          <w:szCs w:val="22"/>
        </w:rPr>
        <w:t>services</w:t>
      </w:r>
      <w:r w:rsidRPr="00965527">
        <w:rPr>
          <w:sz w:val="22"/>
          <w:szCs w:val="22"/>
        </w:rPr>
        <w:t xml:space="preserve"> </w:t>
      </w:r>
      <w:r>
        <w:rPr>
          <w:sz w:val="22"/>
          <w:szCs w:val="22"/>
        </w:rPr>
        <w:t xml:space="preserve">were </w:t>
      </w:r>
      <w:r w:rsidRPr="00965527">
        <w:rPr>
          <w:sz w:val="22"/>
          <w:szCs w:val="22"/>
        </w:rPr>
        <w:t>not privatised in 1991</w:t>
      </w:r>
      <w:r>
        <w:rPr>
          <w:sz w:val="22"/>
          <w:szCs w:val="22"/>
        </w:rPr>
        <w:t xml:space="preserve"> and the IoS Council remains the water and sewerage undertaker</w:t>
      </w:r>
      <w:r w:rsidRPr="00965527">
        <w:rPr>
          <w:sz w:val="22"/>
          <w:szCs w:val="22"/>
        </w:rPr>
        <w:t xml:space="preserve">. </w:t>
      </w:r>
      <w:r>
        <w:rPr>
          <w:sz w:val="22"/>
          <w:szCs w:val="22"/>
        </w:rPr>
        <w:t>It</w:t>
      </w:r>
      <w:r w:rsidRPr="00965527">
        <w:rPr>
          <w:sz w:val="22"/>
          <w:szCs w:val="22"/>
        </w:rPr>
        <w:t xml:space="preserve"> suppl</w:t>
      </w:r>
      <w:r>
        <w:rPr>
          <w:sz w:val="22"/>
          <w:szCs w:val="22"/>
        </w:rPr>
        <w:t>ies</w:t>
      </w:r>
      <w:r w:rsidRPr="00965527">
        <w:rPr>
          <w:sz w:val="22"/>
          <w:szCs w:val="22"/>
        </w:rPr>
        <w:t xml:space="preserve"> water to a limited base of 900 customers on the Isles of St. Mary’s and Bryher and to 600 sewerage customers on St. Mary’s. </w:t>
      </w:r>
    </w:p>
    <w:p w:rsidR="00C27BF5" w:rsidRDefault="00B573D3" w:rsidP="00B573D3">
      <w:pPr>
        <w:jc w:val="both"/>
        <w:rPr>
          <w:sz w:val="22"/>
          <w:szCs w:val="22"/>
        </w:rPr>
      </w:pPr>
      <w:r w:rsidRPr="00965527">
        <w:rPr>
          <w:sz w:val="22"/>
          <w:szCs w:val="22"/>
        </w:rPr>
        <w:t xml:space="preserve">Various key pieces of water legislation within England that protect public and environmental health have not been applied to the IoS or have only been applied in part. </w:t>
      </w:r>
      <w:r>
        <w:rPr>
          <w:sz w:val="22"/>
          <w:szCs w:val="22"/>
        </w:rPr>
        <w:t xml:space="preserve">  Such legislative gaps mean that the </w:t>
      </w:r>
      <w:r w:rsidRPr="00965527">
        <w:rPr>
          <w:sz w:val="22"/>
          <w:szCs w:val="22"/>
        </w:rPr>
        <w:t>Drinking Water Inspectorate (DWI) and Environment Agency (EA) have no enforcement powers in r</w:t>
      </w:r>
      <w:r>
        <w:rPr>
          <w:sz w:val="22"/>
          <w:szCs w:val="22"/>
        </w:rPr>
        <w:t xml:space="preserve">elation to water on the islands and that a number of </w:t>
      </w:r>
      <w:r w:rsidRPr="00965527">
        <w:rPr>
          <w:sz w:val="22"/>
          <w:szCs w:val="22"/>
        </w:rPr>
        <w:t>E</w:t>
      </w:r>
      <w:r>
        <w:rPr>
          <w:sz w:val="22"/>
          <w:szCs w:val="22"/>
        </w:rPr>
        <w:t>uropean</w:t>
      </w:r>
      <w:r w:rsidRPr="00965527">
        <w:rPr>
          <w:sz w:val="22"/>
          <w:szCs w:val="22"/>
        </w:rPr>
        <w:t xml:space="preserve"> Directives, </w:t>
      </w:r>
      <w:r>
        <w:rPr>
          <w:sz w:val="22"/>
          <w:szCs w:val="22"/>
        </w:rPr>
        <w:t>including</w:t>
      </w:r>
      <w:r w:rsidRPr="00965527">
        <w:rPr>
          <w:sz w:val="22"/>
          <w:szCs w:val="22"/>
        </w:rPr>
        <w:t xml:space="preserve"> the Drinking Water Directive (DWD) and the Urban Waste Water Treatment Directive (UWWTD)</w:t>
      </w:r>
      <w:r>
        <w:rPr>
          <w:sz w:val="22"/>
          <w:szCs w:val="22"/>
        </w:rPr>
        <w:t>, have not been properly transposed resulting in a risk of infraction.</w:t>
      </w:r>
    </w:p>
    <w:p w:rsidR="00B573D3" w:rsidRPr="00965527" w:rsidRDefault="00B573D3" w:rsidP="004161FF">
      <w:pPr>
        <w:jc w:val="both"/>
        <w:rPr>
          <w:sz w:val="22"/>
          <w:szCs w:val="22"/>
        </w:rPr>
      </w:pPr>
      <w:r>
        <w:rPr>
          <w:sz w:val="22"/>
          <w:szCs w:val="22"/>
        </w:rPr>
        <w:t xml:space="preserve">The lack of separation between the regulatory activity and service supply has contributed to reduced levels of investment in water and waste water infrastructure putting public health and the environment at risk.  Whilst measures have been put in place to address immediate problems, a clear separation between </w:t>
      </w:r>
      <w:r w:rsidR="00AB5171">
        <w:rPr>
          <w:sz w:val="22"/>
          <w:szCs w:val="22"/>
        </w:rPr>
        <w:t xml:space="preserve">the </w:t>
      </w:r>
      <w:r>
        <w:rPr>
          <w:sz w:val="22"/>
          <w:szCs w:val="22"/>
        </w:rPr>
        <w:t xml:space="preserve">regulator and regulated would allow the </w:t>
      </w:r>
      <w:r w:rsidR="000632B6">
        <w:rPr>
          <w:sz w:val="22"/>
          <w:szCs w:val="22"/>
        </w:rPr>
        <w:t xml:space="preserve">distance </w:t>
      </w:r>
      <w:r>
        <w:rPr>
          <w:sz w:val="22"/>
          <w:szCs w:val="22"/>
        </w:rPr>
        <w:t xml:space="preserve">to understand risks, set objectives and develop a clear strategic approach to future water investment consistent with the rest of England.  One example of the threats faced is </w:t>
      </w:r>
      <w:r w:rsidR="00AB5171">
        <w:rPr>
          <w:sz w:val="22"/>
          <w:szCs w:val="22"/>
        </w:rPr>
        <w:t xml:space="preserve">the </w:t>
      </w:r>
      <w:r>
        <w:rPr>
          <w:sz w:val="22"/>
          <w:szCs w:val="22"/>
        </w:rPr>
        <w:t xml:space="preserve">risk to </w:t>
      </w:r>
      <w:r w:rsidRPr="00965527">
        <w:rPr>
          <w:sz w:val="22"/>
          <w:szCs w:val="22"/>
        </w:rPr>
        <w:t>groundwater drinking water supplies, which are particularly vulnerable to over-abstraction with the potential for saline ingress contaminating supplies.</w:t>
      </w:r>
    </w:p>
    <w:p w:rsidR="0057388A" w:rsidRPr="00965527" w:rsidRDefault="000B20E4" w:rsidP="004161FF">
      <w:pPr>
        <w:jc w:val="both"/>
        <w:rPr>
          <w:sz w:val="22"/>
          <w:szCs w:val="22"/>
        </w:rPr>
      </w:pPr>
      <w:r w:rsidRPr="00C27BF5">
        <w:rPr>
          <w:sz w:val="22"/>
          <w:szCs w:val="22"/>
        </w:rPr>
        <w:t>T</w:t>
      </w:r>
      <w:r w:rsidRPr="00965527">
        <w:rPr>
          <w:sz w:val="22"/>
          <w:szCs w:val="22"/>
        </w:rPr>
        <w:t xml:space="preserve">he </w:t>
      </w:r>
      <w:r>
        <w:rPr>
          <w:sz w:val="22"/>
          <w:szCs w:val="22"/>
        </w:rPr>
        <w:t xml:space="preserve">immediate threats will largely be </w:t>
      </w:r>
      <w:r w:rsidRPr="00965527">
        <w:rPr>
          <w:sz w:val="22"/>
          <w:szCs w:val="22"/>
        </w:rPr>
        <w:t>addressed by a £1.5 million Defra grant to improve the drinking water infrastructure</w:t>
      </w:r>
      <w:r>
        <w:rPr>
          <w:sz w:val="22"/>
          <w:szCs w:val="22"/>
        </w:rPr>
        <w:t xml:space="preserve"> that has been given to the IoS Council in 2012.</w:t>
      </w:r>
      <w:r w:rsidRPr="00965527">
        <w:rPr>
          <w:sz w:val="22"/>
          <w:szCs w:val="22"/>
        </w:rPr>
        <w:t xml:space="preserve">  </w:t>
      </w:r>
      <w:r w:rsidR="00F411AF" w:rsidRPr="00965527">
        <w:rPr>
          <w:sz w:val="22"/>
          <w:szCs w:val="22"/>
        </w:rPr>
        <w:t xml:space="preserve">A further £1 million is </w:t>
      </w:r>
      <w:r w:rsidR="00F411AF">
        <w:rPr>
          <w:sz w:val="22"/>
          <w:szCs w:val="22"/>
        </w:rPr>
        <w:t xml:space="preserve">estimated to be </w:t>
      </w:r>
      <w:r w:rsidR="00F411AF" w:rsidRPr="00965527">
        <w:rPr>
          <w:sz w:val="22"/>
          <w:szCs w:val="22"/>
        </w:rPr>
        <w:t>needed to improve the sewerage infrastructure</w:t>
      </w:r>
      <w:r w:rsidR="00F411AF">
        <w:rPr>
          <w:sz w:val="22"/>
          <w:szCs w:val="22"/>
        </w:rPr>
        <w:t xml:space="preserve">. </w:t>
      </w:r>
      <w:r w:rsidR="00F411AF" w:rsidRPr="00965527">
        <w:rPr>
          <w:sz w:val="22"/>
          <w:szCs w:val="22"/>
        </w:rPr>
        <w:t xml:space="preserve">The amount will be confirmed by December 2012. A further Defra grant to fund these improvements, at least in part, is currently being considered. </w:t>
      </w:r>
      <w:r w:rsidR="00F411AF">
        <w:rPr>
          <w:sz w:val="22"/>
          <w:szCs w:val="22"/>
        </w:rPr>
        <w:t xml:space="preserve"> This should ensure that water and sewerage assets meet the minimum required standards and are able to comply with the requirements of European legislation.</w:t>
      </w:r>
    </w:p>
    <w:p w:rsidR="00474C8E" w:rsidRPr="00965527" w:rsidRDefault="000A4F3E" w:rsidP="004161FF">
      <w:pPr>
        <w:jc w:val="both"/>
        <w:rPr>
          <w:sz w:val="22"/>
          <w:szCs w:val="22"/>
        </w:rPr>
      </w:pPr>
      <w:r w:rsidRPr="00965527">
        <w:rPr>
          <w:sz w:val="22"/>
          <w:szCs w:val="22"/>
        </w:rPr>
        <w:t xml:space="preserve">For the longer term, </w:t>
      </w:r>
      <w:r>
        <w:rPr>
          <w:sz w:val="22"/>
          <w:szCs w:val="22"/>
        </w:rPr>
        <w:t>a clear evidence based strategy on how to maintain and where necessary improve the quality of drinking water and environmental waters</w:t>
      </w:r>
      <w:r w:rsidR="000B20E4">
        <w:rPr>
          <w:sz w:val="22"/>
          <w:szCs w:val="22"/>
        </w:rPr>
        <w:t xml:space="preserve"> is needed</w:t>
      </w:r>
      <w:r>
        <w:rPr>
          <w:sz w:val="22"/>
          <w:szCs w:val="22"/>
        </w:rPr>
        <w:t xml:space="preserve">.  There should be a clear separation between those responsible for setting and monitoring standards and those responsible for delivering an investment strategy for water and waste water infrastructure. </w:t>
      </w:r>
      <w:r w:rsidR="000632B6">
        <w:rPr>
          <w:sz w:val="22"/>
          <w:szCs w:val="22"/>
        </w:rPr>
        <w:t xml:space="preserve">The IoS Council will be encouraged to become self sufficient and less reliant on government funding to support its drinking water and sewerage asset replacement by working in partnership with the DWI and EA. </w:t>
      </w:r>
      <w:r>
        <w:rPr>
          <w:sz w:val="22"/>
          <w:szCs w:val="22"/>
        </w:rPr>
        <w:t xml:space="preserve"> </w:t>
      </w:r>
      <w:r w:rsidR="00B27D38">
        <w:rPr>
          <w:sz w:val="22"/>
          <w:szCs w:val="22"/>
        </w:rPr>
        <w:t xml:space="preserve">A more strategic and transparent plan should allow the </w:t>
      </w:r>
      <w:r w:rsidR="002F7826">
        <w:rPr>
          <w:sz w:val="22"/>
          <w:szCs w:val="22"/>
        </w:rPr>
        <w:t xml:space="preserve">Council </w:t>
      </w:r>
      <w:r w:rsidR="00B27D38">
        <w:rPr>
          <w:sz w:val="22"/>
          <w:szCs w:val="22"/>
        </w:rPr>
        <w:t xml:space="preserve">to engage with its stakeholders on key issues and challenges faced.  This should allow a more open debate on how to maintain assets and plan for future funding.  </w:t>
      </w:r>
      <w:r w:rsidR="00474C8E" w:rsidRPr="006D5503">
        <w:rPr>
          <w:sz w:val="22"/>
          <w:szCs w:val="22"/>
        </w:rPr>
        <w:t>However, even with the capital expenditure and longer term asset replacement being addressed risks to the long term sustainability of the groundwater drinking supply exist that will need to be addressed through a regulatory framework.</w:t>
      </w:r>
    </w:p>
    <w:p w:rsidR="0074354A" w:rsidRPr="00965527" w:rsidRDefault="0074354A" w:rsidP="0074354A">
      <w:pPr>
        <w:rPr>
          <w:sz w:val="22"/>
          <w:szCs w:val="22"/>
        </w:rPr>
      </w:pPr>
    </w:p>
    <w:p w:rsidR="0074354A" w:rsidRDefault="0074354A" w:rsidP="0074354A">
      <w:pPr>
        <w:rPr>
          <w:b/>
          <w:sz w:val="22"/>
          <w:szCs w:val="22"/>
          <w:u w:val="single"/>
        </w:rPr>
      </w:pPr>
      <w:r w:rsidRPr="00965527">
        <w:rPr>
          <w:b/>
          <w:sz w:val="22"/>
          <w:szCs w:val="22"/>
          <w:u w:val="single"/>
        </w:rPr>
        <w:t>Policy objectives and intended effects</w:t>
      </w:r>
    </w:p>
    <w:p w:rsidR="0057388A" w:rsidRPr="00965527" w:rsidRDefault="0057388A" w:rsidP="0074354A">
      <w:pPr>
        <w:rPr>
          <w:b/>
          <w:sz w:val="22"/>
          <w:szCs w:val="22"/>
          <w:u w:val="single"/>
        </w:rPr>
      </w:pPr>
    </w:p>
    <w:p w:rsidR="00C27BF5" w:rsidRDefault="00C27BF5" w:rsidP="00C27BF5">
      <w:pPr>
        <w:jc w:val="both"/>
        <w:rPr>
          <w:sz w:val="22"/>
          <w:szCs w:val="22"/>
        </w:rPr>
      </w:pPr>
      <w:r w:rsidRPr="00965527">
        <w:rPr>
          <w:sz w:val="22"/>
          <w:szCs w:val="22"/>
        </w:rPr>
        <w:t xml:space="preserve">The overall policy objective is to ensure that </w:t>
      </w:r>
      <w:r>
        <w:rPr>
          <w:sz w:val="22"/>
          <w:szCs w:val="22"/>
        </w:rPr>
        <w:t xml:space="preserve">the IoS enjoy public health and environmental outcomes on a par with other parts of the United Kingdom.  In terms of water this means that at least the minimum standards considered acceptable in England are achieved in drinking water and environmental waters and that sufficient safeguards exist to deliver and maintain these standards over the long term.  </w:t>
      </w:r>
    </w:p>
    <w:p w:rsidR="004161FF" w:rsidRPr="00965527" w:rsidRDefault="004161FF" w:rsidP="00647EF3">
      <w:pPr>
        <w:rPr>
          <w:b/>
          <w:sz w:val="22"/>
          <w:szCs w:val="22"/>
          <w:u w:val="single"/>
        </w:rPr>
      </w:pPr>
    </w:p>
    <w:p w:rsidR="00647EF3" w:rsidRPr="00965527" w:rsidRDefault="00647EF3" w:rsidP="00647EF3">
      <w:pPr>
        <w:rPr>
          <w:b/>
          <w:sz w:val="22"/>
          <w:szCs w:val="22"/>
          <w:u w:val="single"/>
        </w:rPr>
      </w:pPr>
      <w:r w:rsidRPr="00965527">
        <w:rPr>
          <w:b/>
          <w:sz w:val="22"/>
          <w:szCs w:val="22"/>
          <w:u w:val="single"/>
        </w:rPr>
        <w:t>Viable policy options (including alternatives to regulation)</w:t>
      </w:r>
    </w:p>
    <w:p w:rsidR="00647EF3" w:rsidRPr="00965527" w:rsidRDefault="00647EF3" w:rsidP="00647EF3">
      <w:pPr>
        <w:rPr>
          <w:b/>
          <w:sz w:val="22"/>
          <w:szCs w:val="22"/>
        </w:rPr>
      </w:pPr>
    </w:p>
    <w:p w:rsidR="00521925" w:rsidRDefault="00647EF3" w:rsidP="00521925">
      <w:pPr>
        <w:jc w:val="both"/>
        <w:rPr>
          <w:sz w:val="22"/>
          <w:szCs w:val="22"/>
          <w:u w:val="single"/>
        </w:rPr>
      </w:pPr>
      <w:r w:rsidRPr="00965527">
        <w:rPr>
          <w:sz w:val="22"/>
          <w:szCs w:val="22"/>
        </w:rPr>
        <w:t>Option 1 -</w:t>
      </w:r>
      <w:r w:rsidR="0074354A" w:rsidRPr="00965527">
        <w:rPr>
          <w:sz w:val="22"/>
          <w:szCs w:val="22"/>
        </w:rPr>
        <w:t xml:space="preserve"> </w:t>
      </w:r>
      <w:r w:rsidR="00521925" w:rsidRPr="00965527">
        <w:rPr>
          <w:sz w:val="22"/>
          <w:szCs w:val="22"/>
          <w:u w:val="single"/>
        </w:rPr>
        <w:t>Full application of legislation</w:t>
      </w:r>
      <w:r w:rsidR="00EA0245" w:rsidRPr="00965527">
        <w:rPr>
          <w:sz w:val="22"/>
          <w:szCs w:val="22"/>
          <w:u w:val="single"/>
        </w:rPr>
        <w:t xml:space="preserve"> as applied</w:t>
      </w:r>
      <w:r w:rsidR="00521925" w:rsidRPr="00965527">
        <w:rPr>
          <w:sz w:val="22"/>
          <w:szCs w:val="22"/>
          <w:u w:val="single"/>
        </w:rPr>
        <w:t xml:space="preserve"> in England </w:t>
      </w:r>
    </w:p>
    <w:p w:rsidR="0057388A" w:rsidRPr="00965527" w:rsidRDefault="0057388A" w:rsidP="00521925">
      <w:pPr>
        <w:jc w:val="both"/>
        <w:rPr>
          <w:sz w:val="22"/>
          <w:szCs w:val="22"/>
          <w:u w:val="single"/>
        </w:rPr>
      </w:pPr>
    </w:p>
    <w:p w:rsidR="00521925" w:rsidRPr="00965527" w:rsidRDefault="00521925" w:rsidP="00521925">
      <w:pPr>
        <w:jc w:val="both"/>
        <w:rPr>
          <w:sz w:val="22"/>
          <w:szCs w:val="22"/>
        </w:rPr>
      </w:pPr>
      <w:r w:rsidRPr="00965527">
        <w:rPr>
          <w:sz w:val="22"/>
          <w:szCs w:val="22"/>
        </w:rPr>
        <w:t xml:space="preserve">All drinking water and environmental legislation as applied in England could be applied to the IoS by taking this blanket approach. The main advantage to doing this would be consistent regulation for drinking water and the environment on the IoS compared with England, and no gaps in legislation going forward. The main disadvantage would be, as some of the legislation appropriate to the mainland would not be relevant to the IoS, a plethora of irrelevant legislation may be introduced to the statute books. This would be the converse of the Better Regulation Agenda. </w:t>
      </w:r>
    </w:p>
    <w:p w:rsidR="00521925" w:rsidRPr="00965527" w:rsidRDefault="00521925" w:rsidP="00521925">
      <w:pPr>
        <w:jc w:val="both"/>
        <w:rPr>
          <w:sz w:val="22"/>
          <w:szCs w:val="22"/>
        </w:rPr>
      </w:pPr>
      <w:r w:rsidRPr="00965527">
        <w:rPr>
          <w:sz w:val="22"/>
          <w:szCs w:val="22"/>
        </w:rPr>
        <w:t>There are examples of this on the drinking water and environmental side. For instance, the Water Industry Act competition provisions for water companies, such as financial regulation by OFWAT, C</w:t>
      </w:r>
      <w:r w:rsidR="0092120C">
        <w:rPr>
          <w:sz w:val="22"/>
          <w:szCs w:val="22"/>
        </w:rPr>
        <w:t xml:space="preserve">onsumer </w:t>
      </w:r>
      <w:r w:rsidRPr="00965527">
        <w:rPr>
          <w:sz w:val="22"/>
          <w:szCs w:val="22"/>
        </w:rPr>
        <w:t>C</w:t>
      </w:r>
      <w:r w:rsidR="0092120C">
        <w:rPr>
          <w:sz w:val="22"/>
          <w:szCs w:val="22"/>
        </w:rPr>
        <w:t>ouncil for</w:t>
      </w:r>
      <w:r w:rsidRPr="00965527">
        <w:rPr>
          <w:sz w:val="22"/>
          <w:szCs w:val="22"/>
        </w:rPr>
        <w:t xml:space="preserve"> Water representation etc. cannot be applied to the IoS Council as water undertaker. On the environmental side there are no rivers therefore the Freshwater Fish Directive does not apply. Similarly, there has been no historic mining activity therefore legislation to control abandoned mines will not apply. </w:t>
      </w:r>
    </w:p>
    <w:p w:rsidR="00521925" w:rsidRPr="00965527" w:rsidRDefault="00521925" w:rsidP="00521925">
      <w:pPr>
        <w:jc w:val="both"/>
        <w:rPr>
          <w:sz w:val="22"/>
          <w:szCs w:val="22"/>
        </w:rPr>
      </w:pPr>
      <w:r w:rsidRPr="00965527">
        <w:rPr>
          <w:sz w:val="22"/>
          <w:szCs w:val="22"/>
        </w:rPr>
        <w:t>Finally</w:t>
      </w:r>
      <w:r w:rsidR="00FB2A1A" w:rsidRPr="00965527">
        <w:rPr>
          <w:sz w:val="22"/>
          <w:szCs w:val="22"/>
        </w:rPr>
        <w:t>,</w:t>
      </w:r>
      <w:r w:rsidRPr="00965527">
        <w:rPr>
          <w:sz w:val="22"/>
          <w:szCs w:val="22"/>
        </w:rPr>
        <w:t xml:space="preserve"> there may be unintended consequences in applying such legislation that could lead to an unnecessary administrative burden. </w:t>
      </w:r>
    </w:p>
    <w:p w:rsidR="00647EF3" w:rsidRPr="00965527" w:rsidRDefault="00647EF3" w:rsidP="00647EF3">
      <w:pPr>
        <w:rPr>
          <w:sz w:val="22"/>
          <w:szCs w:val="22"/>
        </w:rPr>
      </w:pPr>
    </w:p>
    <w:p w:rsidR="00521925" w:rsidRDefault="00647EF3" w:rsidP="00521925">
      <w:pPr>
        <w:jc w:val="both"/>
        <w:rPr>
          <w:sz w:val="22"/>
          <w:szCs w:val="22"/>
          <w:u w:val="single"/>
        </w:rPr>
      </w:pPr>
      <w:r w:rsidRPr="00965527">
        <w:rPr>
          <w:sz w:val="22"/>
          <w:szCs w:val="22"/>
        </w:rPr>
        <w:t xml:space="preserve">Option 2 – </w:t>
      </w:r>
      <w:r w:rsidR="00521925" w:rsidRPr="00965527">
        <w:rPr>
          <w:sz w:val="22"/>
          <w:szCs w:val="22"/>
          <w:u w:val="single"/>
        </w:rPr>
        <w:t>Application of all appropriate legislation</w:t>
      </w:r>
    </w:p>
    <w:p w:rsidR="0057388A" w:rsidRPr="00965527" w:rsidRDefault="0057388A" w:rsidP="00521925">
      <w:pPr>
        <w:jc w:val="both"/>
        <w:rPr>
          <w:sz w:val="22"/>
          <w:szCs w:val="22"/>
          <w:u w:val="single"/>
        </w:rPr>
      </w:pPr>
    </w:p>
    <w:p w:rsidR="00432C00" w:rsidRPr="00965527" w:rsidRDefault="00432C00" w:rsidP="00432C00">
      <w:pPr>
        <w:jc w:val="both"/>
        <w:rPr>
          <w:sz w:val="22"/>
          <w:szCs w:val="22"/>
        </w:rPr>
      </w:pPr>
      <w:r w:rsidRPr="00965527">
        <w:rPr>
          <w:sz w:val="22"/>
          <w:szCs w:val="22"/>
        </w:rPr>
        <w:t>The application of legislation will drive better behaviour and improve standards through the service providers being held to account within the regulatory framework.</w:t>
      </w:r>
      <w:r>
        <w:rPr>
          <w:sz w:val="22"/>
          <w:szCs w:val="22"/>
        </w:rPr>
        <w:t xml:space="preserve">  This approach has worked well on the mainland.</w:t>
      </w:r>
    </w:p>
    <w:p w:rsidR="006F428D" w:rsidRDefault="00432C00" w:rsidP="006F428D">
      <w:pPr>
        <w:jc w:val="both"/>
        <w:rPr>
          <w:sz w:val="22"/>
          <w:szCs w:val="22"/>
        </w:rPr>
      </w:pPr>
      <w:r w:rsidRPr="00965527">
        <w:rPr>
          <w:sz w:val="22"/>
          <w:szCs w:val="22"/>
        </w:rPr>
        <w:t>Applying all the appropriate legislation in the IoS that does not currently apply would ensure the regulators are able to operate on a firm legal basis to protect human health and the environment</w:t>
      </w:r>
      <w:r>
        <w:rPr>
          <w:sz w:val="22"/>
          <w:szCs w:val="22"/>
        </w:rPr>
        <w:t xml:space="preserve"> (Annex 1)</w:t>
      </w:r>
      <w:r w:rsidRPr="00965527">
        <w:rPr>
          <w:sz w:val="22"/>
          <w:szCs w:val="22"/>
        </w:rPr>
        <w:t>.</w:t>
      </w:r>
      <w:r w:rsidR="006F428D">
        <w:rPr>
          <w:sz w:val="22"/>
          <w:szCs w:val="22"/>
        </w:rPr>
        <w:t xml:space="preserve"> It will also allow them to recover costs against their regulatory activities. </w:t>
      </w:r>
      <w:r>
        <w:rPr>
          <w:sz w:val="22"/>
          <w:szCs w:val="22"/>
        </w:rPr>
        <w:t xml:space="preserve">This should allow them to </w:t>
      </w:r>
      <w:r w:rsidRPr="00965527">
        <w:rPr>
          <w:sz w:val="22"/>
          <w:szCs w:val="22"/>
        </w:rPr>
        <w:t xml:space="preserve">achieve public health and environmental protection </w:t>
      </w:r>
      <w:r>
        <w:rPr>
          <w:sz w:val="22"/>
          <w:szCs w:val="22"/>
        </w:rPr>
        <w:t xml:space="preserve">outcomes that are equivalent </w:t>
      </w:r>
      <w:r w:rsidRPr="00965527">
        <w:rPr>
          <w:sz w:val="22"/>
          <w:szCs w:val="22"/>
        </w:rPr>
        <w:t xml:space="preserve">to </w:t>
      </w:r>
      <w:r>
        <w:rPr>
          <w:sz w:val="22"/>
          <w:szCs w:val="22"/>
        </w:rPr>
        <w:t xml:space="preserve">those for </w:t>
      </w:r>
      <w:r w:rsidRPr="00965527">
        <w:rPr>
          <w:sz w:val="22"/>
          <w:szCs w:val="22"/>
        </w:rPr>
        <w:t>the mainland. It would limit the regulatory burdens associated with a blanket approach to applying legislation that is not relevant to the IoS. It would avoid the risk of infraction for incomplete application of relevant European Directives.  This would mean that the IoS Order will fill all the necessary gaps and there would be no need for a further Order in a few years if the environment or drinking water supply should deteriorate as a result of partial enactment of legislation.</w:t>
      </w:r>
      <w:r w:rsidR="006F428D">
        <w:rPr>
          <w:sz w:val="22"/>
          <w:szCs w:val="22"/>
        </w:rPr>
        <w:t xml:space="preserve"> The risk of any future requirement for further public money to support asset replacement will be reduced by the development of a strategic plan that avoids the assets needing replacement all at once. This should allow the costs of asset replacement to be met by the IoS Council.</w:t>
      </w:r>
    </w:p>
    <w:p w:rsidR="00647EF3" w:rsidRPr="00965527" w:rsidRDefault="00647EF3" w:rsidP="00647EF3">
      <w:pPr>
        <w:rPr>
          <w:sz w:val="22"/>
          <w:szCs w:val="22"/>
        </w:rPr>
      </w:pPr>
    </w:p>
    <w:p w:rsidR="00521925" w:rsidRDefault="00647EF3" w:rsidP="00521925">
      <w:pPr>
        <w:jc w:val="both"/>
        <w:rPr>
          <w:sz w:val="22"/>
          <w:szCs w:val="22"/>
        </w:rPr>
      </w:pPr>
      <w:r w:rsidRPr="00965527">
        <w:rPr>
          <w:sz w:val="22"/>
          <w:szCs w:val="22"/>
        </w:rPr>
        <w:t xml:space="preserve">Other non regulatory approaches have been considered </w:t>
      </w:r>
    </w:p>
    <w:p w:rsidR="0057388A" w:rsidRPr="00965527" w:rsidRDefault="0057388A" w:rsidP="00521925">
      <w:pPr>
        <w:jc w:val="both"/>
        <w:rPr>
          <w:sz w:val="22"/>
          <w:szCs w:val="22"/>
        </w:rPr>
      </w:pPr>
    </w:p>
    <w:p w:rsidR="00521925" w:rsidRPr="00965527" w:rsidRDefault="00521925" w:rsidP="00521925">
      <w:pPr>
        <w:jc w:val="both"/>
        <w:rPr>
          <w:sz w:val="22"/>
          <w:szCs w:val="22"/>
        </w:rPr>
      </w:pPr>
      <w:r w:rsidRPr="00314531">
        <w:rPr>
          <w:sz w:val="22"/>
          <w:szCs w:val="22"/>
        </w:rPr>
        <w:t>The non regulatory options are similar to the do nothing option as the DWI has operated informally on the IoS since 2006.</w:t>
      </w:r>
      <w:r w:rsidRPr="00965527">
        <w:rPr>
          <w:sz w:val="22"/>
          <w:szCs w:val="22"/>
        </w:rPr>
        <w:t xml:space="preserve"> More recently the EA have an involvement in groundwater and overall environmental water protection.</w:t>
      </w:r>
      <w:r w:rsidR="00314531">
        <w:rPr>
          <w:sz w:val="22"/>
          <w:szCs w:val="22"/>
        </w:rPr>
        <w:t xml:space="preserve"> </w:t>
      </w:r>
      <w:r w:rsidRPr="00965527">
        <w:rPr>
          <w:sz w:val="22"/>
          <w:szCs w:val="22"/>
        </w:rPr>
        <w:t xml:space="preserve">In order to assist the maintenance of the quality of the public (and private) drinking water supplies their position as regulators needs to continue and be enhanced to provide confidence in the quality of water supplies. </w:t>
      </w:r>
    </w:p>
    <w:p w:rsidR="006F428D" w:rsidRDefault="00521925" w:rsidP="00521925">
      <w:pPr>
        <w:jc w:val="both"/>
        <w:rPr>
          <w:sz w:val="22"/>
          <w:szCs w:val="22"/>
        </w:rPr>
      </w:pPr>
      <w:r w:rsidRPr="00965527">
        <w:rPr>
          <w:sz w:val="22"/>
          <w:szCs w:val="22"/>
        </w:rPr>
        <w:t>The EA and DWI do not have legal powers of enforcement.  This could limit their ability to act to protect human health or the environment or to provide the IoS with the level of support necessary were their resources required to fulf</w:t>
      </w:r>
      <w:r w:rsidR="00FB2A1A" w:rsidRPr="00965527">
        <w:rPr>
          <w:sz w:val="22"/>
          <w:szCs w:val="22"/>
        </w:rPr>
        <w:t xml:space="preserve">il legal obligations elsewhere. </w:t>
      </w:r>
      <w:r w:rsidR="002F7826">
        <w:rPr>
          <w:sz w:val="22"/>
          <w:szCs w:val="22"/>
        </w:rPr>
        <w:t>The current non-regulatory framework does not allow the DWI and EA to recover costs against their activities.</w:t>
      </w:r>
      <w:r w:rsidR="006F428D">
        <w:rPr>
          <w:sz w:val="22"/>
          <w:szCs w:val="22"/>
        </w:rPr>
        <w:t xml:space="preserve"> </w:t>
      </w:r>
    </w:p>
    <w:p w:rsidR="00647EF3" w:rsidRDefault="00521925" w:rsidP="00521925">
      <w:pPr>
        <w:jc w:val="both"/>
        <w:rPr>
          <w:sz w:val="22"/>
          <w:szCs w:val="22"/>
        </w:rPr>
      </w:pPr>
      <w:r w:rsidRPr="00965527">
        <w:rPr>
          <w:sz w:val="22"/>
          <w:szCs w:val="22"/>
        </w:rPr>
        <w:t>Many European directives, notably UWWTD, DWD and Water Framework Directive (WFD) are not fully applied to the IoS either directly in their transposition or through their reliance on powers and obligations found in domestic legislation.  This results in a risk of infraction.</w:t>
      </w:r>
    </w:p>
    <w:p w:rsidR="002F7826" w:rsidRPr="00965527" w:rsidRDefault="002F7826" w:rsidP="00521925">
      <w:pPr>
        <w:jc w:val="both"/>
        <w:rPr>
          <w:sz w:val="22"/>
          <w:szCs w:val="22"/>
        </w:rPr>
      </w:pPr>
      <w:r>
        <w:rPr>
          <w:sz w:val="22"/>
          <w:szCs w:val="22"/>
        </w:rPr>
        <w:t xml:space="preserve">There would remain a lack of clear transparent drivers for asset improvements when they are necessary.  This may lead to risks not being identified and addressed early and a build up of investment requirements which would need to be addressed by further significant capital injections from central government.  </w:t>
      </w:r>
    </w:p>
    <w:p w:rsidR="00647EF3" w:rsidRPr="00965527" w:rsidRDefault="00647EF3" w:rsidP="00647EF3">
      <w:pPr>
        <w:rPr>
          <w:sz w:val="22"/>
          <w:szCs w:val="22"/>
        </w:rPr>
      </w:pPr>
    </w:p>
    <w:p w:rsidR="00647EF3" w:rsidRDefault="00647EF3" w:rsidP="00647EF3">
      <w:pPr>
        <w:rPr>
          <w:b/>
          <w:i/>
          <w:sz w:val="22"/>
          <w:szCs w:val="22"/>
        </w:rPr>
      </w:pPr>
      <w:r w:rsidRPr="00965527">
        <w:rPr>
          <w:b/>
          <w:i/>
          <w:sz w:val="22"/>
          <w:szCs w:val="22"/>
        </w:rPr>
        <w:t>Option 2 is the preferred option.</w:t>
      </w:r>
    </w:p>
    <w:p w:rsidR="0092120C" w:rsidRPr="00965527" w:rsidRDefault="0092120C" w:rsidP="00647EF3">
      <w:pPr>
        <w:rPr>
          <w:b/>
          <w:i/>
          <w:sz w:val="22"/>
          <w:szCs w:val="22"/>
        </w:rPr>
      </w:pPr>
    </w:p>
    <w:p w:rsidR="00647EF3" w:rsidRPr="00965527" w:rsidRDefault="00647EF3" w:rsidP="00647EF3">
      <w:pPr>
        <w:rPr>
          <w:b/>
          <w:sz w:val="22"/>
          <w:szCs w:val="22"/>
          <w:u w:val="single"/>
        </w:rPr>
      </w:pPr>
      <w:r w:rsidRPr="00965527">
        <w:rPr>
          <w:b/>
          <w:sz w:val="22"/>
          <w:szCs w:val="22"/>
          <w:u w:val="single"/>
        </w:rPr>
        <w:t xml:space="preserve">Initial assessment of business impact </w:t>
      </w:r>
    </w:p>
    <w:p w:rsidR="00647EF3" w:rsidRPr="00965527" w:rsidRDefault="00647EF3" w:rsidP="00647EF3">
      <w:pPr>
        <w:rPr>
          <w:b/>
          <w:sz w:val="22"/>
          <w:szCs w:val="22"/>
          <w:u w:val="single"/>
        </w:rPr>
      </w:pPr>
    </w:p>
    <w:p w:rsidR="00165F87" w:rsidRPr="00965527" w:rsidRDefault="00165F87" w:rsidP="00165F87">
      <w:pPr>
        <w:jc w:val="both"/>
        <w:rPr>
          <w:b/>
          <w:i/>
          <w:sz w:val="22"/>
          <w:szCs w:val="22"/>
        </w:rPr>
      </w:pPr>
      <w:r w:rsidRPr="00965527">
        <w:rPr>
          <w:b/>
          <w:i/>
          <w:sz w:val="22"/>
          <w:szCs w:val="22"/>
        </w:rPr>
        <w:t>Option 1</w:t>
      </w:r>
    </w:p>
    <w:p w:rsidR="005C0178" w:rsidRPr="00965527" w:rsidRDefault="005C0178" w:rsidP="00165F87">
      <w:pPr>
        <w:jc w:val="both"/>
        <w:rPr>
          <w:sz w:val="22"/>
          <w:szCs w:val="22"/>
        </w:rPr>
      </w:pPr>
    </w:p>
    <w:p w:rsidR="004C25E6" w:rsidRDefault="004C25E6" w:rsidP="00331E89">
      <w:pPr>
        <w:jc w:val="both"/>
        <w:rPr>
          <w:sz w:val="22"/>
          <w:szCs w:val="22"/>
        </w:rPr>
      </w:pPr>
      <w:r w:rsidRPr="00965527">
        <w:rPr>
          <w:sz w:val="22"/>
          <w:szCs w:val="22"/>
        </w:rPr>
        <w:t>The</w:t>
      </w:r>
      <w:r w:rsidR="00165F87" w:rsidRPr="00965527">
        <w:rPr>
          <w:sz w:val="22"/>
          <w:szCs w:val="22"/>
        </w:rPr>
        <w:t xml:space="preserve"> monetised costs and non-</w:t>
      </w:r>
      <w:r w:rsidR="00440F74" w:rsidRPr="00965527">
        <w:rPr>
          <w:sz w:val="22"/>
          <w:szCs w:val="22"/>
        </w:rPr>
        <w:t>monetised</w:t>
      </w:r>
      <w:r w:rsidR="00165F87" w:rsidRPr="00965527">
        <w:rPr>
          <w:sz w:val="22"/>
          <w:szCs w:val="22"/>
        </w:rPr>
        <w:t xml:space="preserve"> benefits will</w:t>
      </w:r>
      <w:r w:rsidRPr="00965527">
        <w:rPr>
          <w:sz w:val="22"/>
          <w:szCs w:val="22"/>
        </w:rPr>
        <w:t xml:space="preserve"> be the same as described for Option 2 below.</w:t>
      </w:r>
      <w:r w:rsidR="00165F87" w:rsidRPr="00965527">
        <w:rPr>
          <w:sz w:val="22"/>
          <w:szCs w:val="22"/>
        </w:rPr>
        <w:t xml:space="preserve"> However, i</w:t>
      </w:r>
      <w:r w:rsidRPr="00965527">
        <w:rPr>
          <w:sz w:val="22"/>
          <w:szCs w:val="22"/>
        </w:rPr>
        <w:t xml:space="preserve">n applying irrelevant legislation </w:t>
      </w:r>
      <w:r w:rsidR="00165F87" w:rsidRPr="00965527">
        <w:rPr>
          <w:sz w:val="22"/>
          <w:szCs w:val="22"/>
        </w:rPr>
        <w:t xml:space="preserve">under this Option </w:t>
      </w:r>
      <w:r w:rsidRPr="00965527">
        <w:rPr>
          <w:sz w:val="22"/>
          <w:szCs w:val="22"/>
        </w:rPr>
        <w:t>it could lead to an unnecessary administrative burden</w:t>
      </w:r>
      <w:r w:rsidR="00165F87" w:rsidRPr="00965527">
        <w:rPr>
          <w:sz w:val="22"/>
          <w:szCs w:val="22"/>
        </w:rPr>
        <w:t xml:space="preserve"> which could increase costs (this has not been monetised)</w:t>
      </w:r>
      <w:r w:rsidRPr="00965527">
        <w:rPr>
          <w:sz w:val="22"/>
          <w:szCs w:val="22"/>
        </w:rPr>
        <w:t>.</w:t>
      </w:r>
    </w:p>
    <w:p w:rsidR="006D5503" w:rsidRPr="00965527" w:rsidRDefault="006D5503" w:rsidP="00331E89">
      <w:pPr>
        <w:jc w:val="both"/>
        <w:rPr>
          <w:sz w:val="22"/>
          <w:szCs w:val="22"/>
        </w:rPr>
      </w:pPr>
    </w:p>
    <w:p w:rsidR="004C25E6" w:rsidRPr="00965527" w:rsidRDefault="004C25E6" w:rsidP="00331E89">
      <w:pPr>
        <w:jc w:val="both"/>
        <w:rPr>
          <w:i/>
          <w:sz w:val="22"/>
          <w:szCs w:val="22"/>
        </w:rPr>
      </w:pPr>
    </w:p>
    <w:p w:rsidR="004C25E6" w:rsidRPr="00965527" w:rsidRDefault="00C501AB" w:rsidP="00331E89">
      <w:pPr>
        <w:jc w:val="both"/>
        <w:rPr>
          <w:b/>
          <w:i/>
          <w:sz w:val="22"/>
          <w:szCs w:val="22"/>
        </w:rPr>
      </w:pPr>
      <w:r w:rsidRPr="00965527">
        <w:rPr>
          <w:b/>
          <w:i/>
          <w:sz w:val="22"/>
          <w:szCs w:val="22"/>
        </w:rPr>
        <w:t>Option 2</w:t>
      </w:r>
    </w:p>
    <w:p w:rsidR="00965527" w:rsidRPr="00965527" w:rsidRDefault="00965527" w:rsidP="00331E89">
      <w:pPr>
        <w:jc w:val="both"/>
        <w:rPr>
          <w:b/>
          <w:i/>
          <w:sz w:val="22"/>
          <w:szCs w:val="22"/>
        </w:rPr>
      </w:pPr>
    </w:p>
    <w:p w:rsidR="00C501AB" w:rsidRPr="00965527" w:rsidRDefault="00C501AB" w:rsidP="00C501AB">
      <w:pPr>
        <w:numPr>
          <w:ilvl w:val="0"/>
          <w:numId w:val="17"/>
        </w:numPr>
        <w:jc w:val="both"/>
        <w:rPr>
          <w:i/>
          <w:sz w:val="22"/>
          <w:szCs w:val="22"/>
        </w:rPr>
      </w:pPr>
      <w:r w:rsidRPr="00965527">
        <w:rPr>
          <w:i/>
          <w:sz w:val="22"/>
          <w:szCs w:val="22"/>
        </w:rPr>
        <w:t>Monetised Costs</w:t>
      </w:r>
    </w:p>
    <w:p w:rsidR="00C501AB" w:rsidRPr="00965527" w:rsidRDefault="00C501AB" w:rsidP="00C501AB">
      <w:pPr>
        <w:ind w:left="720"/>
        <w:jc w:val="both"/>
        <w:rPr>
          <w:sz w:val="22"/>
          <w:szCs w:val="22"/>
          <w:u w:val="single"/>
        </w:rPr>
      </w:pPr>
    </w:p>
    <w:p w:rsidR="00C501AB" w:rsidRPr="00965527" w:rsidRDefault="003814B0" w:rsidP="00C501AB">
      <w:pPr>
        <w:jc w:val="both"/>
        <w:rPr>
          <w:sz w:val="22"/>
          <w:szCs w:val="22"/>
          <w:u w:val="single"/>
        </w:rPr>
      </w:pPr>
      <w:r w:rsidRPr="00965527">
        <w:rPr>
          <w:sz w:val="22"/>
          <w:szCs w:val="22"/>
          <w:u w:val="single"/>
        </w:rPr>
        <w:t>Business and Micro-businesses</w:t>
      </w:r>
    </w:p>
    <w:p w:rsidR="00C501AB" w:rsidRPr="00965527" w:rsidRDefault="00C501AB" w:rsidP="00C501AB">
      <w:pPr>
        <w:jc w:val="both"/>
        <w:rPr>
          <w:sz w:val="22"/>
          <w:szCs w:val="22"/>
        </w:rPr>
      </w:pPr>
    </w:p>
    <w:p w:rsidR="00C501AB" w:rsidRPr="00965527" w:rsidRDefault="00192384" w:rsidP="00C501AB">
      <w:pPr>
        <w:jc w:val="both"/>
        <w:rPr>
          <w:sz w:val="22"/>
          <w:szCs w:val="22"/>
        </w:rPr>
      </w:pPr>
      <w:r w:rsidRPr="00965527">
        <w:rPr>
          <w:sz w:val="22"/>
          <w:szCs w:val="22"/>
        </w:rPr>
        <w:t xml:space="preserve">Businesses </w:t>
      </w:r>
      <w:r w:rsidR="003814B0" w:rsidRPr="00965527">
        <w:rPr>
          <w:sz w:val="22"/>
          <w:szCs w:val="22"/>
        </w:rPr>
        <w:t xml:space="preserve">will </w:t>
      </w:r>
      <w:r w:rsidR="006D5503">
        <w:rPr>
          <w:sz w:val="22"/>
          <w:szCs w:val="22"/>
        </w:rPr>
        <w:t xml:space="preserve">be the land owners and managers, </w:t>
      </w:r>
      <w:r w:rsidR="003814B0" w:rsidRPr="00965527">
        <w:rPr>
          <w:sz w:val="22"/>
          <w:szCs w:val="22"/>
        </w:rPr>
        <w:t>the Duchy of Cornwall and Tresco Estates</w:t>
      </w:r>
      <w:r w:rsidR="006D5503">
        <w:rPr>
          <w:sz w:val="22"/>
          <w:szCs w:val="22"/>
        </w:rPr>
        <w:t xml:space="preserve">, </w:t>
      </w:r>
      <w:r w:rsidR="00F8473E" w:rsidRPr="00965527">
        <w:rPr>
          <w:sz w:val="22"/>
          <w:szCs w:val="22"/>
        </w:rPr>
        <w:t>around</w:t>
      </w:r>
      <w:r w:rsidRPr="00965527">
        <w:rPr>
          <w:sz w:val="22"/>
          <w:szCs w:val="22"/>
        </w:rPr>
        <w:t xml:space="preserve"> the size of an SME. The privately owned</w:t>
      </w:r>
      <w:r w:rsidR="003814B0" w:rsidRPr="00965527">
        <w:rPr>
          <w:sz w:val="22"/>
          <w:szCs w:val="22"/>
        </w:rPr>
        <w:t xml:space="preserve"> hotels, campsites and B&amp;Bs fall into the category of micro-businesses.</w:t>
      </w:r>
    </w:p>
    <w:p w:rsidR="00D63374" w:rsidRDefault="0057388A" w:rsidP="00C501AB">
      <w:pPr>
        <w:jc w:val="both"/>
        <w:rPr>
          <w:sz w:val="22"/>
          <w:szCs w:val="22"/>
        </w:rPr>
      </w:pPr>
      <w:r>
        <w:rPr>
          <w:sz w:val="22"/>
          <w:szCs w:val="22"/>
        </w:rPr>
        <w:t xml:space="preserve">From the Table in Annex 1, an assessment of </w:t>
      </w:r>
      <w:r w:rsidR="0032111A" w:rsidRPr="00965527">
        <w:rPr>
          <w:sz w:val="22"/>
          <w:szCs w:val="22"/>
        </w:rPr>
        <w:t xml:space="preserve">introducing </w:t>
      </w:r>
      <w:r w:rsidR="003814B0" w:rsidRPr="00965527">
        <w:rPr>
          <w:sz w:val="22"/>
          <w:szCs w:val="22"/>
        </w:rPr>
        <w:t>the Environmental Permitting Regulations (EPR</w:t>
      </w:r>
      <w:r w:rsidR="00107785" w:rsidRPr="00965527">
        <w:rPr>
          <w:sz w:val="22"/>
          <w:szCs w:val="22"/>
        </w:rPr>
        <w:t xml:space="preserve">) </w:t>
      </w:r>
      <w:r w:rsidR="003814B0" w:rsidRPr="00965527">
        <w:rPr>
          <w:sz w:val="22"/>
          <w:szCs w:val="22"/>
        </w:rPr>
        <w:t xml:space="preserve">2010 </w:t>
      </w:r>
      <w:r w:rsidR="005C0178" w:rsidRPr="00965527">
        <w:rPr>
          <w:sz w:val="22"/>
          <w:szCs w:val="22"/>
        </w:rPr>
        <w:t>on</w:t>
      </w:r>
      <w:r w:rsidR="0032111A" w:rsidRPr="00965527">
        <w:rPr>
          <w:sz w:val="22"/>
          <w:szCs w:val="22"/>
        </w:rPr>
        <w:t xml:space="preserve"> the Duchy and</w:t>
      </w:r>
      <w:r w:rsidR="003814B0" w:rsidRPr="00965527">
        <w:rPr>
          <w:sz w:val="22"/>
          <w:szCs w:val="22"/>
        </w:rPr>
        <w:t xml:space="preserve"> Tresco</w:t>
      </w:r>
      <w:r w:rsidR="005C0178" w:rsidRPr="00965527">
        <w:rPr>
          <w:sz w:val="22"/>
          <w:szCs w:val="22"/>
        </w:rPr>
        <w:t xml:space="preserve"> Estates and on</w:t>
      </w:r>
      <w:r w:rsidR="003814B0" w:rsidRPr="00965527">
        <w:rPr>
          <w:sz w:val="22"/>
          <w:szCs w:val="22"/>
        </w:rPr>
        <w:t xml:space="preserve"> micro-businesses </w:t>
      </w:r>
      <w:r w:rsidR="0032111A" w:rsidRPr="00965527">
        <w:rPr>
          <w:sz w:val="22"/>
          <w:szCs w:val="22"/>
        </w:rPr>
        <w:t>currently would result in</w:t>
      </w:r>
      <w:r w:rsidR="005C0178" w:rsidRPr="00965527">
        <w:rPr>
          <w:sz w:val="22"/>
          <w:szCs w:val="22"/>
        </w:rPr>
        <w:t xml:space="preserve"> a</w:t>
      </w:r>
      <w:r w:rsidR="0032111A" w:rsidRPr="00965527">
        <w:rPr>
          <w:sz w:val="22"/>
          <w:szCs w:val="22"/>
        </w:rPr>
        <w:t>n estimated</w:t>
      </w:r>
      <w:r w:rsidR="005C0178" w:rsidRPr="00965527">
        <w:rPr>
          <w:sz w:val="22"/>
          <w:szCs w:val="22"/>
        </w:rPr>
        <w:t xml:space="preserve"> cost </w:t>
      </w:r>
      <w:r w:rsidR="0032111A" w:rsidRPr="00965527">
        <w:rPr>
          <w:sz w:val="22"/>
          <w:szCs w:val="22"/>
        </w:rPr>
        <w:t xml:space="preserve">of </w:t>
      </w:r>
      <w:r w:rsidR="005C0178" w:rsidRPr="00965527">
        <w:rPr>
          <w:sz w:val="22"/>
          <w:szCs w:val="22"/>
        </w:rPr>
        <w:t>£6.4k for the first year</w:t>
      </w:r>
      <w:r w:rsidR="0032111A" w:rsidRPr="00965527">
        <w:rPr>
          <w:sz w:val="22"/>
          <w:szCs w:val="22"/>
        </w:rPr>
        <w:t xml:space="preserve"> and then annual subsistence charges each year (£2</w:t>
      </w:r>
      <w:r w:rsidR="00D63374">
        <w:rPr>
          <w:sz w:val="22"/>
          <w:szCs w:val="22"/>
        </w:rPr>
        <w:t>k</w:t>
      </w:r>
      <w:r w:rsidR="0032111A" w:rsidRPr="00965527">
        <w:rPr>
          <w:sz w:val="22"/>
          <w:szCs w:val="22"/>
        </w:rPr>
        <w:t>)</w:t>
      </w:r>
      <w:r w:rsidR="003814B0" w:rsidRPr="00965527">
        <w:rPr>
          <w:sz w:val="22"/>
          <w:szCs w:val="22"/>
        </w:rPr>
        <w:t xml:space="preserve">. </w:t>
      </w:r>
    </w:p>
    <w:p w:rsidR="00D63374" w:rsidRDefault="00D63374" w:rsidP="00C501AB">
      <w:pPr>
        <w:jc w:val="both"/>
        <w:rPr>
          <w:sz w:val="22"/>
          <w:szCs w:val="22"/>
        </w:rPr>
      </w:pPr>
      <w:r>
        <w:rPr>
          <w:sz w:val="22"/>
          <w:szCs w:val="22"/>
        </w:rPr>
        <w:t xml:space="preserve">This is based on one </w:t>
      </w:r>
      <w:r w:rsidR="0034321C">
        <w:rPr>
          <w:sz w:val="22"/>
          <w:szCs w:val="22"/>
        </w:rPr>
        <w:t xml:space="preserve">large sewage discharge from the </w:t>
      </w:r>
      <w:r>
        <w:rPr>
          <w:sz w:val="22"/>
          <w:szCs w:val="22"/>
        </w:rPr>
        <w:t>Tresco Estates (£884 plus £2</w:t>
      </w:r>
      <w:r w:rsidR="0034321C">
        <w:rPr>
          <w:sz w:val="22"/>
          <w:szCs w:val="22"/>
        </w:rPr>
        <w:t>000</w:t>
      </w:r>
      <w:r>
        <w:rPr>
          <w:sz w:val="22"/>
          <w:szCs w:val="22"/>
        </w:rPr>
        <w:t xml:space="preserve"> annually) that attracts the bulk of the permit charges. The three private sewage plant discharges </w:t>
      </w:r>
      <w:r w:rsidR="0034321C">
        <w:rPr>
          <w:sz w:val="22"/>
          <w:szCs w:val="22"/>
        </w:rPr>
        <w:t xml:space="preserve">(micro-businesses) </w:t>
      </w:r>
      <w:r>
        <w:rPr>
          <w:sz w:val="22"/>
          <w:szCs w:val="22"/>
        </w:rPr>
        <w:t xml:space="preserve">would bring in first year charges of £125 and then will be exempt. Similarly an estimated 25 septic tank discharges out of 250 on the islands (that are </w:t>
      </w:r>
      <w:r w:rsidR="0034321C">
        <w:rPr>
          <w:sz w:val="22"/>
          <w:szCs w:val="22"/>
        </w:rPr>
        <w:t xml:space="preserve">domestic discharges </w:t>
      </w:r>
      <w:r>
        <w:rPr>
          <w:sz w:val="22"/>
          <w:szCs w:val="22"/>
        </w:rPr>
        <w:t>close to drinking water supplies) would qualify for £125 first time charges and then be exempt.</w:t>
      </w:r>
    </w:p>
    <w:p w:rsidR="00AE262F" w:rsidRDefault="00440F74" w:rsidP="00C501AB">
      <w:pPr>
        <w:jc w:val="both"/>
        <w:rPr>
          <w:sz w:val="22"/>
          <w:szCs w:val="22"/>
        </w:rPr>
      </w:pPr>
      <w:r w:rsidRPr="00965527">
        <w:rPr>
          <w:sz w:val="22"/>
          <w:szCs w:val="22"/>
        </w:rPr>
        <w:t>These estimates</w:t>
      </w:r>
      <w:r w:rsidR="005C0178" w:rsidRPr="00965527">
        <w:rPr>
          <w:sz w:val="22"/>
          <w:szCs w:val="22"/>
        </w:rPr>
        <w:t xml:space="preserve"> will</w:t>
      </w:r>
      <w:r w:rsidR="003814B0" w:rsidRPr="00965527">
        <w:rPr>
          <w:sz w:val="22"/>
          <w:szCs w:val="22"/>
        </w:rPr>
        <w:t xml:space="preserve"> be improved through a survey to be co</w:t>
      </w:r>
      <w:r w:rsidR="00165F87" w:rsidRPr="00965527">
        <w:rPr>
          <w:sz w:val="22"/>
          <w:szCs w:val="22"/>
        </w:rPr>
        <w:t>nducted by the EA from October ‘</w:t>
      </w:r>
      <w:r w:rsidR="003814B0" w:rsidRPr="00965527">
        <w:rPr>
          <w:sz w:val="22"/>
          <w:szCs w:val="22"/>
        </w:rPr>
        <w:t>12 and through the consultation process. We have based the current estimates on the results of a Water Interests survey in August 2011, where the number and nature of small sewage treatment plants and septic tanks discharging to soak</w:t>
      </w:r>
      <w:r w:rsidR="00107785" w:rsidRPr="00965527">
        <w:rPr>
          <w:sz w:val="22"/>
          <w:szCs w:val="22"/>
        </w:rPr>
        <w:t>-</w:t>
      </w:r>
      <w:r w:rsidR="003814B0" w:rsidRPr="00965527">
        <w:rPr>
          <w:sz w:val="22"/>
          <w:szCs w:val="22"/>
        </w:rPr>
        <w:t>away on the islands were approximated. It may increase</w:t>
      </w:r>
      <w:r w:rsidR="00F55944">
        <w:rPr>
          <w:sz w:val="22"/>
          <w:szCs w:val="22"/>
        </w:rPr>
        <w:t xml:space="preserve"> marginally</w:t>
      </w:r>
      <w:r w:rsidR="003814B0" w:rsidRPr="00965527">
        <w:rPr>
          <w:sz w:val="22"/>
          <w:szCs w:val="22"/>
        </w:rPr>
        <w:t xml:space="preserve"> from £6.4k in the first year</w:t>
      </w:r>
      <w:r w:rsidR="00E625B8" w:rsidRPr="00965527">
        <w:rPr>
          <w:sz w:val="22"/>
          <w:szCs w:val="22"/>
        </w:rPr>
        <w:t xml:space="preserve"> and £2k in subsequent years as our understanding of the size of the discharges and their proximity to drinking water boreholes improves</w:t>
      </w:r>
      <w:r w:rsidR="00F55944">
        <w:rPr>
          <w:sz w:val="22"/>
          <w:szCs w:val="22"/>
        </w:rPr>
        <w:t xml:space="preserve">. </w:t>
      </w:r>
    </w:p>
    <w:p w:rsidR="00A46BBA" w:rsidRDefault="00A46BBA" w:rsidP="00C501AB">
      <w:pPr>
        <w:jc w:val="both"/>
        <w:rPr>
          <w:sz w:val="22"/>
          <w:szCs w:val="22"/>
        </w:rPr>
      </w:pPr>
    </w:p>
    <w:p w:rsidR="00AD625F" w:rsidRDefault="00380092" w:rsidP="00380092">
      <w:pPr>
        <w:jc w:val="both"/>
        <w:rPr>
          <w:sz w:val="22"/>
          <w:szCs w:val="22"/>
        </w:rPr>
      </w:pPr>
      <w:r w:rsidRPr="00A46BBA">
        <w:rPr>
          <w:sz w:val="22"/>
          <w:szCs w:val="22"/>
        </w:rPr>
        <w:t>The business NPV over 25 years is £-0.04m. The equivalent annual net cost to business (in 2009 prices) is £0.0021m.</w:t>
      </w:r>
    </w:p>
    <w:p w:rsidR="00A46BBA" w:rsidRPr="00965527" w:rsidRDefault="00A46BBA" w:rsidP="00380092">
      <w:pPr>
        <w:jc w:val="both"/>
        <w:rPr>
          <w:sz w:val="22"/>
          <w:szCs w:val="22"/>
        </w:rPr>
      </w:pPr>
    </w:p>
    <w:p w:rsidR="00165F87" w:rsidRDefault="00C501AB" w:rsidP="00331E89">
      <w:pPr>
        <w:jc w:val="both"/>
        <w:rPr>
          <w:sz w:val="22"/>
          <w:szCs w:val="22"/>
          <w:u w:val="single"/>
        </w:rPr>
      </w:pPr>
      <w:r w:rsidRPr="00965527">
        <w:rPr>
          <w:sz w:val="22"/>
          <w:szCs w:val="22"/>
          <w:u w:val="single"/>
        </w:rPr>
        <w:t>IoS Council</w:t>
      </w:r>
      <w:r w:rsidR="0032111A" w:rsidRPr="00965527">
        <w:rPr>
          <w:sz w:val="22"/>
          <w:szCs w:val="22"/>
          <w:u w:val="single"/>
        </w:rPr>
        <w:t xml:space="preserve"> </w:t>
      </w:r>
    </w:p>
    <w:p w:rsidR="00AE262F" w:rsidRPr="00965527" w:rsidRDefault="00AE262F" w:rsidP="00331E89">
      <w:pPr>
        <w:jc w:val="both"/>
        <w:rPr>
          <w:sz w:val="22"/>
          <w:szCs w:val="22"/>
          <w:u w:val="single"/>
        </w:rPr>
      </w:pPr>
    </w:p>
    <w:p w:rsidR="005B7B74" w:rsidRPr="00965527" w:rsidRDefault="005436E9" w:rsidP="00331E89">
      <w:pPr>
        <w:jc w:val="both"/>
        <w:rPr>
          <w:sz w:val="22"/>
          <w:szCs w:val="22"/>
        </w:rPr>
      </w:pPr>
      <w:r w:rsidRPr="00965527">
        <w:rPr>
          <w:sz w:val="22"/>
          <w:szCs w:val="22"/>
        </w:rPr>
        <w:t xml:space="preserve">The largest cost impact </w:t>
      </w:r>
      <w:r w:rsidR="00165F87" w:rsidRPr="00965527">
        <w:rPr>
          <w:sz w:val="22"/>
          <w:szCs w:val="22"/>
        </w:rPr>
        <w:t xml:space="preserve">from </w:t>
      </w:r>
      <w:r w:rsidR="0032111A" w:rsidRPr="00965527">
        <w:rPr>
          <w:sz w:val="22"/>
          <w:szCs w:val="22"/>
        </w:rPr>
        <w:t xml:space="preserve">legislating </w:t>
      </w:r>
      <w:r w:rsidRPr="00965527">
        <w:rPr>
          <w:sz w:val="22"/>
          <w:szCs w:val="22"/>
        </w:rPr>
        <w:t>is the capital expenditure required to improve the drinking water and sewerage infrastructure</w:t>
      </w:r>
      <w:r w:rsidR="00165F87" w:rsidRPr="00965527">
        <w:rPr>
          <w:sz w:val="22"/>
          <w:szCs w:val="22"/>
        </w:rPr>
        <w:t>,</w:t>
      </w:r>
      <w:r w:rsidR="00A4675E" w:rsidRPr="00965527">
        <w:rPr>
          <w:sz w:val="22"/>
          <w:szCs w:val="22"/>
        </w:rPr>
        <w:t xml:space="preserve"> which</w:t>
      </w:r>
      <w:r w:rsidRPr="00965527">
        <w:rPr>
          <w:sz w:val="22"/>
          <w:szCs w:val="22"/>
        </w:rPr>
        <w:t xml:space="preserve"> </w:t>
      </w:r>
      <w:r w:rsidR="00AD625F" w:rsidRPr="00965527">
        <w:rPr>
          <w:sz w:val="22"/>
          <w:szCs w:val="22"/>
        </w:rPr>
        <w:t>falls to</w:t>
      </w:r>
      <w:r w:rsidRPr="00965527">
        <w:rPr>
          <w:sz w:val="22"/>
          <w:szCs w:val="22"/>
        </w:rPr>
        <w:t xml:space="preserve"> the IoS Council as </w:t>
      </w:r>
      <w:r w:rsidR="00AD625F" w:rsidRPr="00965527">
        <w:rPr>
          <w:sz w:val="22"/>
          <w:szCs w:val="22"/>
        </w:rPr>
        <w:t xml:space="preserve">it is the </w:t>
      </w:r>
      <w:r w:rsidRPr="00965527">
        <w:rPr>
          <w:sz w:val="22"/>
          <w:szCs w:val="22"/>
        </w:rPr>
        <w:t xml:space="preserve">public water and sewerage undertaker. </w:t>
      </w:r>
      <w:r w:rsidR="003A544A">
        <w:rPr>
          <w:sz w:val="22"/>
          <w:szCs w:val="22"/>
        </w:rPr>
        <w:t xml:space="preserve">A </w:t>
      </w:r>
      <w:r w:rsidRPr="00965527">
        <w:rPr>
          <w:sz w:val="22"/>
          <w:szCs w:val="22"/>
        </w:rPr>
        <w:t>Defra grant of £1.5 million has already been paid to the IoS Council for drinking water improvements</w:t>
      </w:r>
      <w:r w:rsidR="00792D7A">
        <w:rPr>
          <w:sz w:val="22"/>
          <w:szCs w:val="22"/>
        </w:rPr>
        <w:t xml:space="preserve"> identified by the DWI</w:t>
      </w:r>
      <w:r w:rsidR="00165F87" w:rsidRPr="00965527">
        <w:rPr>
          <w:sz w:val="22"/>
          <w:szCs w:val="22"/>
        </w:rPr>
        <w:t>, so can be considered as a</w:t>
      </w:r>
      <w:r w:rsidRPr="00965527">
        <w:rPr>
          <w:sz w:val="22"/>
          <w:szCs w:val="22"/>
        </w:rPr>
        <w:t xml:space="preserve"> sunk cost. The </w:t>
      </w:r>
      <w:r w:rsidR="003A544A">
        <w:rPr>
          <w:sz w:val="22"/>
          <w:szCs w:val="22"/>
        </w:rPr>
        <w:t xml:space="preserve">latest estimate is that £1m is required from a Defra grant in order to improve the sewerage system, and is being applied for </w:t>
      </w:r>
      <w:r w:rsidR="000102F2" w:rsidRPr="00965527">
        <w:rPr>
          <w:sz w:val="22"/>
          <w:szCs w:val="22"/>
        </w:rPr>
        <w:t>in the final quarter of ‘12/’13.</w:t>
      </w:r>
      <w:r w:rsidR="00D83DF8" w:rsidRPr="00965527">
        <w:rPr>
          <w:sz w:val="22"/>
          <w:szCs w:val="22"/>
        </w:rPr>
        <w:t xml:space="preserve"> </w:t>
      </w:r>
      <w:r w:rsidR="003A544A">
        <w:rPr>
          <w:sz w:val="22"/>
          <w:szCs w:val="22"/>
        </w:rPr>
        <w:t>All the new assets have a life span of at least 25 years, which is considered to be a conservative estimate as many assets could last longer.</w:t>
      </w:r>
    </w:p>
    <w:p w:rsidR="000102F2" w:rsidRPr="00965527" w:rsidRDefault="000102F2" w:rsidP="00331E89">
      <w:pPr>
        <w:jc w:val="both"/>
        <w:rPr>
          <w:sz w:val="22"/>
          <w:szCs w:val="22"/>
        </w:rPr>
      </w:pPr>
    </w:p>
    <w:p w:rsidR="000102F2" w:rsidRPr="00965527" w:rsidRDefault="000102F2" w:rsidP="00331E89">
      <w:pPr>
        <w:jc w:val="both"/>
        <w:rPr>
          <w:sz w:val="22"/>
          <w:szCs w:val="22"/>
        </w:rPr>
      </w:pPr>
      <w:r w:rsidRPr="00965527">
        <w:rPr>
          <w:sz w:val="22"/>
          <w:szCs w:val="22"/>
        </w:rPr>
        <w:t>On the environmental side</w:t>
      </w:r>
      <w:r w:rsidR="004C3400" w:rsidRPr="00965527">
        <w:rPr>
          <w:sz w:val="22"/>
          <w:szCs w:val="22"/>
        </w:rPr>
        <w:t>,</w:t>
      </w:r>
      <w:r w:rsidRPr="00965527">
        <w:rPr>
          <w:sz w:val="22"/>
          <w:szCs w:val="22"/>
        </w:rPr>
        <w:t xml:space="preserve"> the regulatory costs would be for first time permits under the </w:t>
      </w:r>
      <w:r w:rsidR="003814B0" w:rsidRPr="00965527">
        <w:rPr>
          <w:sz w:val="22"/>
          <w:szCs w:val="22"/>
        </w:rPr>
        <w:t>EPR</w:t>
      </w:r>
      <w:r w:rsidR="00487966" w:rsidRPr="00965527">
        <w:rPr>
          <w:sz w:val="22"/>
          <w:szCs w:val="22"/>
        </w:rPr>
        <w:t>,</w:t>
      </w:r>
      <w:r w:rsidRPr="00965527">
        <w:rPr>
          <w:sz w:val="22"/>
          <w:szCs w:val="22"/>
        </w:rPr>
        <w:t xml:space="preserve"> </w:t>
      </w:r>
      <w:r w:rsidR="00487966" w:rsidRPr="00965527">
        <w:rPr>
          <w:sz w:val="22"/>
          <w:szCs w:val="22"/>
        </w:rPr>
        <w:t xml:space="preserve">with an ongoing annual subsistence charge. </w:t>
      </w:r>
      <w:r w:rsidRPr="00965527">
        <w:rPr>
          <w:sz w:val="22"/>
          <w:szCs w:val="22"/>
        </w:rPr>
        <w:t xml:space="preserve"> </w:t>
      </w:r>
      <w:r w:rsidR="0032111A" w:rsidRPr="00965527">
        <w:rPr>
          <w:sz w:val="22"/>
          <w:szCs w:val="22"/>
        </w:rPr>
        <w:t>The IoS Council as the public sewerage undertaker has 2 discharges which would result in an</w:t>
      </w:r>
      <w:r w:rsidR="00745A16" w:rsidRPr="00965527">
        <w:rPr>
          <w:sz w:val="22"/>
          <w:szCs w:val="22"/>
        </w:rPr>
        <w:t xml:space="preserve"> </w:t>
      </w:r>
      <w:r w:rsidR="00440F74" w:rsidRPr="00965527">
        <w:rPr>
          <w:sz w:val="22"/>
          <w:szCs w:val="22"/>
        </w:rPr>
        <w:t xml:space="preserve">initial </w:t>
      </w:r>
      <w:r w:rsidR="00745A16" w:rsidRPr="00965527">
        <w:rPr>
          <w:sz w:val="22"/>
          <w:szCs w:val="22"/>
        </w:rPr>
        <w:t>application fee of £</w:t>
      </w:r>
      <w:r w:rsidR="001964DF">
        <w:rPr>
          <w:sz w:val="22"/>
          <w:szCs w:val="22"/>
        </w:rPr>
        <w:t>8.2</w:t>
      </w:r>
      <w:r w:rsidR="00792D7A">
        <w:rPr>
          <w:sz w:val="22"/>
          <w:szCs w:val="22"/>
        </w:rPr>
        <w:t>k</w:t>
      </w:r>
      <w:r w:rsidR="00745A16" w:rsidRPr="00965527">
        <w:rPr>
          <w:sz w:val="22"/>
          <w:szCs w:val="22"/>
        </w:rPr>
        <w:t xml:space="preserve"> and annual charge of £6.5</w:t>
      </w:r>
      <w:r w:rsidR="00792D7A">
        <w:rPr>
          <w:sz w:val="22"/>
          <w:szCs w:val="22"/>
        </w:rPr>
        <w:t>k</w:t>
      </w:r>
      <w:r w:rsidR="00745A16" w:rsidRPr="00965527">
        <w:rPr>
          <w:sz w:val="22"/>
          <w:szCs w:val="22"/>
        </w:rPr>
        <w:t xml:space="preserve"> </w:t>
      </w:r>
      <w:r w:rsidR="00440F74" w:rsidRPr="00965527">
        <w:rPr>
          <w:sz w:val="22"/>
          <w:szCs w:val="22"/>
        </w:rPr>
        <w:t>(</w:t>
      </w:r>
      <w:r w:rsidR="00745A16" w:rsidRPr="00965527">
        <w:rPr>
          <w:sz w:val="22"/>
          <w:szCs w:val="22"/>
        </w:rPr>
        <w:t>based on volume</w:t>
      </w:r>
      <w:r w:rsidR="00440F74" w:rsidRPr="00965527">
        <w:rPr>
          <w:sz w:val="22"/>
          <w:szCs w:val="22"/>
        </w:rPr>
        <w:t>)</w:t>
      </w:r>
      <w:r w:rsidR="0032111A" w:rsidRPr="00965527">
        <w:rPr>
          <w:sz w:val="22"/>
          <w:szCs w:val="22"/>
        </w:rPr>
        <w:t>.</w:t>
      </w:r>
    </w:p>
    <w:p w:rsidR="00487966" w:rsidRPr="00965527" w:rsidRDefault="00487966" w:rsidP="00331E89">
      <w:pPr>
        <w:jc w:val="both"/>
        <w:rPr>
          <w:sz w:val="22"/>
          <w:szCs w:val="22"/>
        </w:rPr>
      </w:pPr>
    </w:p>
    <w:p w:rsidR="00850CA5" w:rsidRDefault="00CD2D50" w:rsidP="00331E89">
      <w:pPr>
        <w:jc w:val="both"/>
        <w:rPr>
          <w:sz w:val="22"/>
          <w:szCs w:val="22"/>
        </w:rPr>
      </w:pPr>
      <w:r w:rsidRPr="00965527">
        <w:rPr>
          <w:sz w:val="22"/>
          <w:szCs w:val="22"/>
        </w:rPr>
        <w:t xml:space="preserve">Other licensing costs </w:t>
      </w:r>
      <w:r w:rsidR="0032111A" w:rsidRPr="00965527">
        <w:rPr>
          <w:sz w:val="22"/>
          <w:szCs w:val="22"/>
        </w:rPr>
        <w:t>for the IoS Council will be from</w:t>
      </w:r>
      <w:r w:rsidRPr="00965527">
        <w:rPr>
          <w:sz w:val="22"/>
          <w:szCs w:val="22"/>
        </w:rPr>
        <w:t xml:space="preserve"> abstraction charges for the 5 public supply boreholes</w:t>
      </w:r>
      <w:r w:rsidR="00A34DA5">
        <w:rPr>
          <w:sz w:val="22"/>
          <w:szCs w:val="22"/>
        </w:rPr>
        <w:t xml:space="preserve"> that exceed the </w:t>
      </w:r>
      <w:r w:rsidR="00A34DA5" w:rsidRPr="00A34DA5">
        <w:rPr>
          <w:sz w:val="22"/>
          <w:szCs w:val="22"/>
        </w:rPr>
        <w:t>20 cubic metres per day licensing threshold</w:t>
      </w:r>
      <w:r w:rsidRPr="00965527">
        <w:rPr>
          <w:sz w:val="22"/>
          <w:szCs w:val="22"/>
        </w:rPr>
        <w:t xml:space="preserve"> (£10k in the first year). </w:t>
      </w:r>
      <w:r w:rsidR="00A34DA5">
        <w:rPr>
          <w:sz w:val="22"/>
          <w:szCs w:val="22"/>
        </w:rPr>
        <w:t>The licence lasts for 12 years and on renewal will cost an estimated £2500.</w:t>
      </w:r>
    </w:p>
    <w:p w:rsidR="00812187" w:rsidRPr="00965527" w:rsidRDefault="00812187" w:rsidP="00331E89">
      <w:pPr>
        <w:jc w:val="both"/>
        <w:rPr>
          <w:sz w:val="22"/>
          <w:szCs w:val="22"/>
        </w:rPr>
      </w:pPr>
    </w:p>
    <w:p w:rsidR="00AD625F" w:rsidRPr="00965527" w:rsidRDefault="00AD625F" w:rsidP="00AD625F">
      <w:pPr>
        <w:jc w:val="both"/>
        <w:rPr>
          <w:sz w:val="22"/>
          <w:szCs w:val="22"/>
        </w:rPr>
      </w:pPr>
      <w:r w:rsidRPr="00965527">
        <w:rPr>
          <w:sz w:val="22"/>
          <w:szCs w:val="22"/>
        </w:rPr>
        <w:t xml:space="preserve">The NPV </w:t>
      </w:r>
      <w:r w:rsidR="004C3400" w:rsidRPr="00965527">
        <w:rPr>
          <w:sz w:val="22"/>
          <w:szCs w:val="22"/>
        </w:rPr>
        <w:t xml:space="preserve">for the IoS Council </w:t>
      </w:r>
      <w:r w:rsidRPr="00965527">
        <w:rPr>
          <w:sz w:val="22"/>
          <w:szCs w:val="22"/>
        </w:rPr>
        <w:t xml:space="preserve">over 25 years </w:t>
      </w:r>
      <w:r w:rsidRPr="0057388A">
        <w:rPr>
          <w:sz w:val="22"/>
          <w:szCs w:val="22"/>
        </w:rPr>
        <w:t>is -1.</w:t>
      </w:r>
      <w:r w:rsidR="00792D7A">
        <w:rPr>
          <w:sz w:val="22"/>
          <w:szCs w:val="22"/>
        </w:rPr>
        <w:t>1</w:t>
      </w:r>
      <w:r w:rsidR="0045022F">
        <w:rPr>
          <w:sz w:val="22"/>
          <w:szCs w:val="22"/>
        </w:rPr>
        <w:t>2</w:t>
      </w:r>
      <w:r w:rsidR="0045022F" w:rsidRPr="0057388A">
        <w:rPr>
          <w:sz w:val="22"/>
          <w:szCs w:val="22"/>
        </w:rPr>
        <w:t>m</w:t>
      </w:r>
      <w:r w:rsidR="001A384C" w:rsidRPr="0057388A">
        <w:rPr>
          <w:sz w:val="22"/>
          <w:szCs w:val="22"/>
        </w:rPr>
        <w:t>.</w:t>
      </w:r>
    </w:p>
    <w:p w:rsidR="00CD2D50" w:rsidRDefault="00CD2D50" w:rsidP="00331E89">
      <w:pPr>
        <w:jc w:val="both"/>
        <w:rPr>
          <w:sz w:val="22"/>
          <w:szCs w:val="22"/>
        </w:rPr>
      </w:pPr>
    </w:p>
    <w:p w:rsidR="00850CA5" w:rsidRPr="00965527" w:rsidRDefault="00C501AB" w:rsidP="00331E89">
      <w:pPr>
        <w:jc w:val="both"/>
        <w:rPr>
          <w:i/>
          <w:sz w:val="22"/>
          <w:szCs w:val="22"/>
        </w:rPr>
      </w:pPr>
      <w:r w:rsidRPr="00965527">
        <w:rPr>
          <w:i/>
          <w:sz w:val="22"/>
          <w:szCs w:val="22"/>
        </w:rPr>
        <w:t>Non-Monetised Costs</w:t>
      </w:r>
    </w:p>
    <w:p w:rsidR="00745A16" w:rsidRPr="00965527" w:rsidRDefault="00745A16" w:rsidP="00331E89">
      <w:pPr>
        <w:jc w:val="both"/>
        <w:rPr>
          <w:i/>
          <w:sz w:val="22"/>
          <w:szCs w:val="22"/>
        </w:rPr>
      </w:pPr>
    </w:p>
    <w:p w:rsidR="00745A16" w:rsidRDefault="00745A16" w:rsidP="00745A16">
      <w:pPr>
        <w:jc w:val="both"/>
        <w:rPr>
          <w:sz w:val="22"/>
          <w:szCs w:val="22"/>
        </w:rPr>
      </w:pPr>
      <w:r w:rsidRPr="00965527">
        <w:rPr>
          <w:sz w:val="22"/>
          <w:szCs w:val="22"/>
        </w:rPr>
        <w:t>On the drinking water side £1.5 million was needed to bring the IoS public supply into line with the DWD. However, these are now sunk costs as a Defra grant has already been paid. Other costs impacts could be increased monitoring associated with the private and public water supply regulations. The private supply regulations already apply and there will be no increase in monitoring required for the public supply regulations that the DWI already informally enforce there. Apart from a possible £15k per annum charge that the DWI may make for their costs to the IoS Council (in line with similar charges to Water Companies elsewhere), the DWD will be cost neutral to the IoS. We will look to gather more information on this during the consultation period.</w:t>
      </w:r>
    </w:p>
    <w:p w:rsidR="00B553C1" w:rsidRDefault="00B553C1" w:rsidP="00745A16">
      <w:pPr>
        <w:jc w:val="both"/>
        <w:rPr>
          <w:sz w:val="22"/>
          <w:szCs w:val="22"/>
        </w:rPr>
      </w:pPr>
    </w:p>
    <w:p w:rsidR="00B553C1" w:rsidRDefault="00EC1602" w:rsidP="00745A16">
      <w:pPr>
        <w:jc w:val="both"/>
        <w:rPr>
          <w:sz w:val="22"/>
          <w:szCs w:val="22"/>
        </w:rPr>
      </w:pPr>
      <w:r>
        <w:rPr>
          <w:sz w:val="22"/>
          <w:szCs w:val="22"/>
        </w:rPr>
        <w:t>Over the past 50 years or so other capital investments have been put in place by the IoS Council to keep the</w:t>
      </w:r>
      <w:r w:rsidR="00F55944">
        <w:rPr>
          <w:sz w:val="22"/>
          <w:szCs w:val="22"/>
        </w:rPr>
        <w:t>ir</w:t>
      </w:r>
      <w:r>
        <w:rPr>
          <w:sz w:val="22"/>
          <w:szCs w:val="22"/>
        </w:rPr>
        <w:t xml:space="preserve"> </w:t>
      </w:r>
      <w:r w:rsidR="00FA58C3">
        <w:rPr>
          <w:sz w:val="22"/>
          <w:szCs w:val="22"/>
        </w:rPr>
        <w:t xml:space="preserve">water and sewerage </w:t>
      </w:r>
      <w:r>
        <w:rPr>
          <w:sz w:val="22"/>
          <w:szCs w:val="22"/>
        </w:rPr>
        <w:t>asset</w:t>
      </w:r>
      <w:r w:rsidR="00F55944">
        <w:rPr>
          <w:sz w:val="22"/>
          <w:szCs w:val="22"/>
        </w:rPr>
        <w:t>s</w:t>
      </w:r>
      <w:r>
        <w:rPr>
          <w:sz w:val="22"/>
          <w:szCs w:val="22"/>
        </w:rPr>
        <w:t xml:space="preserve"> in good operational order and to make </w:t>
      </w:r>
      <w:r w:rsidR="00F55944">
        <w:rPr>
          <w:sz w:val="22"/>
          <w:szCs w:val="22"/>
        </w:rPr>
        <w:t xml:space="preserve">some </w:t>
      </w:r>
      <w:r>
        <w:rPr>
          <w:sz w:val="22"/>
          <w:szCs w:val="22"/>
        </w:rPr>
        <w:t>significant investment</w:t>
      </w:r>
      <w:r w:rsidR="00FA58C3">
        <w:rPr>
          <w:sz w:val="22"/>
          <w:szCs w:val="22"/>
        </w:rPr>
        <w:t>s</w:t>
      </w:r>
      <w:r>
        <w:rPr>
          <w:sz w:val="22"/>
          <w:szCs w:val="22"/>
        </w:rPr>
        <w:t xml:space="preserve"> (e.g</w:t>
      </w:r>
      <w:r w:rsidR="006F428D">
        <w:rPr>
          <w:sz w:val="22"/>
          <w:szCs w:val="22"/>
        </w:rPr>
        <w:t>.</w:t>
      </w:r>
      <w:r>
        <w:rPr>
          <w:sz w:val="22"/>
          <w:szCs w:val="22"/>
        </w:rPr>
        <w:t xml:space="preserve"> the Old Town, St. Mary’s Sewage Treatment Plant). This amounts to an estimated £1.5 million that when added to the regulatory driven recent £2.5 million (£4 million) would </w:t>
      </w:r>
      <w:r w:rsidR="00F55944">
        <w:rPr>
          <w:sz w:val="22"/>
          <w:szCs w:val="22"/>
        </w:rPr>
        <w:t xml:space="preserve">indicate that a similar investment is needed over </w:t>
      </w:r>
      <w:r>
        <w:rPr>
          <w:sz w:val="22"/>
          <w:szCs w:val="22"/>
        </w:rPr>
        <w:t xml:space="preserve">the next 50 years to be set aside to maintain </w:t>
      </w:r>
      <w:r w:rsidR="00F55944">
        <w:rPr>
          <w:sz w:val="22"/>
          <w:szCs w:val="22"/>
        </w:rPr>
        <w:t xml:space="preserve">the </w:t>
      </w:r>
      <w:r>
        <w:rPr>
          <w:sz w:val="22"/>
          <w:szCs w:val="22"/>
        </w:rPr>
        <w:t xml:space="preserve">assets in good order to protect public health and the environment. </w:t>
      </w:r>
    </w:p>
    <w:p w:rsidR="00812187" w:rsidRDefault="00812187" w:rsidP="00745A16">
      <w:pPr>
        <w:jc w:val="both"/>
        <w:rPr>
          <w:sz w:val="22"/>
          <w:szCs w:val="22"/>
        </w:rPr>
      </w:pPr>
    </w:p>
    <w:p w:rsidR="00812187" w:rsidRPr="00965527" w:rsidRDefault="00812187" w:rsidP="00812187">
      <w:pPr>
        <w:jc w:val="both"/>
        <w:rPr>
          <w:sz w:val="22"/>
          <w:szCs w:val="22"/>
        </w:rPr>
      </w:pPr>
      <w:r w:rsidRPr="00965527">
        <w:rPr>
          <w:sz w:val="22"/>
          <w:szCs w:val="22"/>
        </w:rPr>
        <w:t>Compared to</w:t>
      </w:r>
      <w:r>
        <w:rPr>
          <w:sz w:val="22"/>
          <w:szCs w:val="22"/>
        </w:rPr>
        <w:t xml:space="preserve"> </w:t>
      </w:r>
      <w:r w:rsidRPr="00965527">
        <w:rPr>
          <w:sz w:val="22"/>
          <w:szCs w:val="22"/>
        </w:rPr>
        <w:t xml:space="preserve">water company bill payers on the mainland, the </w:t>
      </w:r>
      <w:r>
        <w:rPr>
          <w:sz w:val="22"/>
          <w:szCs w:val="22"/>
        </w:rPr>
        <w:t xml:space="preserve">knock on </w:t>
      </w:r>
      <w:r w:rsidRPr="00965527">
        <w:rPr>
          <w:sz w:val="22"/>
          <w:szCs w:val="22"/>
        </w:rPr>
        <w:t xml:space="preserve">costs of the </w:t>
      </w:r>
      <w:r w:rsidR="00EC1602">
        <w:rPr>
          <w:sz w:val="22"/>
          <w:szCs w:val="22"/>
        </w:rPr>
        <w:t xml:space="preserve">abstraction </w:t>
      </w:r>
      <w:r w:rsidRPr="00965527">
        <w:rPr>
          <w:sz w:val="22"/>
          <w:szCs w:val="22"/>
        </w:rPr>
        <w:t>licenses may hit the 900 customers in the IoS significantly</w:t>
      </w:r>
      <w:r w:rsidR="00B7788A">
        <w:rPr>
          <w:sz w:val="22"/>
          <w:szCs w:val="22"/>
        </w:rPr>
        <w:t xml:space="preserve"> unless the Council pay for it from their </w:t>
      </w:r>
      <w:r w:rsidR="00EC1602">
        <w:rPr>
          <w:sz w:val="22"/>
          <w:szCs w:val="22"/>
        </w:rPr>
        <w:t xml:space="preserve">water </w:t>
      </w:r>
      <w:r w:rsidR="00B7788A">
        <w:rPr>
          <w:sz w:val="22"/>
          <w:szCs w:val="22"/>
        </w:rPr>
        <w:t>reserves</w:t>
      </w:r>
      <w:r w:rsidRPr="00965527">
        <w:rPr>
          <w:sz w:val="22"/>
          <w:szCs w:val="22"/>
        </w:rPr>
        <w:t xml:space="preserve">. Similarly the sewerage discharge fees </w:t>
      </w:r>
      <w:r w:rsidR="00B7788A">
        <w:rPr>
          <w:sz w:val="22"/>
          <w:szCs w:val="22"/>
        </w:rPr>
        <w:t>could</w:t>
      </w:r>
      <w:r w:rsidRPr="00965527">
        <w:rPr>
          <w:sz w:val="22"/>
          <w:szCs w:val="22"/>
        </w:rPr>
        <w:t xml:space="preserve"> </w:t>
      </w:r>
      <w:r>
        <w:rPr>
          <w:sz w:val="22"/>
          <w:szCs w:val="22"/>
        </w:rPr>
        <w:t>affect</w:t>
      </w:r>
      <w:r w:rsidRPr="00965527">
        <w:rPr>
          <w:sz w:val="22"/>
          <w:szCs w:val="22"/>
        </w:rPr>
        <w:t xml:space="preserve"> the sewerage bill</w:t>
      </w:r>
      <w:r>
        <w:rPr>
          <w:sz w:val="22"/>
          <w:szCs w:val="22"/>
        </w:rPr>
        <w:t>s</w:t>
      </w:r>
      <w:r w:rsidRPr="00965527">
        <w:rPr>
          <w:sz w:val="22"/>
          <w:szCs w:val="22"/>
        </w:rPr>
        <w:t xml:space="preserve"> of </w:t>
      </w:r>
      <w:r>
        <w:rPr>
          <w:sz w:val="22"/>
          <w:szCs w:val="22"/>
        </w:rPr>
        <w:t xml:space="preserve">the </w:t>
      </w:r>
      <w:r w:rsidRPr="00965527">
        <w:rPr>
          <w:sz w:val="22"/>
          <w:szCs w:val="22"/>
        </w:rPr>
        <w:t>600 customers. This will need to be taken into account by the EA when they set their regulatory regime in place</w:t>
      </w:r>
      <w:r w:rsidR="00B7788A">
        <w:rPr>
          <w:sz w:val="22"/>
          <w:szCs w:val="22"/>
        </w:rPr>
        <w:t xml:space="preserve"> as there may be an affordability issue,</w:t>
      </w:r>
      <w:r w:rsidRPr="00965527">
        <w:rPr>
          <w:sz w:val="22"/>
          <w:szCs w:val="22"/>
        </w:rPr>
        <w:t xml:space="preserve"> and we will look to explore </w:t>
      </w:r>
      <w:r>
        <w:rPr>
          <w:sz w:val="22"/>
          <w:szCs w:val="22"/>
        </w:rPr>
        <w:t>this</w:t>
      </w:r>
      <w:r w:rsidRPr="00965527">
        <w:rPr>
          <w:sz w:val="22"/>
          <w:szCs w:val="22"/>
        </w:rPr>
        <w:t xml:space="preserve"> during consultation.</w:t>
      </w:r>
      <w:r>
        <w:rPr>
          <w:sz w:val="22"/>
          <w:szCs w:val="22"/>
        </w:rPr>
        <w:t xml:space="preserve"> </w:t>
      </w:r>
    </w:p>
    <w:p w:rsidR="00812187" w:rsidRPr="00965527" w:rsidRDefault="00812187" w:rsidP="00745A16">
      <w:pPr>
        <w:jc w:val="both"/>
        <w:rPr>
          <w:sz w:val="22"/>
          <w:szCs w:val="22"/>
        </w:rPr>
      </w:pPr>
    </w:p>
    <w:p w:rsidR="004C25E6" w:rsidRPr="00965527" w:rsidRDefault="00C501AB" w:rsidP="00331E89">
      <w:pPr>
        <w:jc w:val="both"/>
        <w:rPr>
          <w:i/>
          <w:sz w:val="22"/>
          <w:szCs w:val="22"/>
        </w:rPr>
      </w:pPr>
      <w:r w:rsidRPr="00965527">
        <w:rPr>
          <w:i/>
          <w:sz w:val="22"/>
          <w:szCs w:val="22"/>
        </w:rPr>
        <w:t>Non-Monetised Benefits</w:t>
      </w:r>
    </w:p>
    <w:p w:rsidR="00AD625F" w:rsidRPr="00965527" w:rsidRDefault="00AD625F" w:rsidP="00FB2A1A">
      <w:pPr>
        <w:rPr>
          <w:sz w:val="22"/>
          <w:szCs w:val="22"/>
        </w:rPr>
      </w:pPr>
    </w:p>
    <w:p w:rsidR="00AD625F" w:rsidRPr="00965527" w:rsidRDefault="00AD625F" w:rsidP="00AD625F">
      <w:pPr>
        <w:jc w:val="both"/>
        <w:rPr>
          <w:rFonts w:cs="Arial"/>
          <w:sz w:val="22"/>
          <w:szCs w:val="22"/>
        </w:rPr>
      </w:pPr>
      <w:r w:rsidRPr="00965527">
        <w:rPr>
          <w:rFonts w:cs="Arial"/>
          <w:sz w:val="22"/>
          <w:szCs w:val="22"/>
        </w:rPr>
        <w:t>The IoS income is dominated by the tourism industry that makes up an estimated 8</w:t>
      </w:r>
      <w:r w:rsidR="00107785" w:rsidRPr="00965527">
        <w:rPr>
          <w:rFonts w:cs="Arial"/>
          <w:sz w:val="22"/>
          <w:szCs w:val="22"/>
        </w:rPr>
        <w:t>5</w:t>
      </w:r>
      <w:r w:rsidRPr="00965527">
        <w:rPr>
          <w:rFonts w:cs="Arial"/>
          <w:sz w:val="22"/>
          <w:szCs w:val="22"/>
        </w:rPr>
        <w:t>% of its economy</w:t>
      </w:r>
      <w:r w:rsidR="0032111A" w:rsidRPr="00965527">
        <w:rPr>
          <w:rFonts w:cs="Arial"/>
          <w:sz w:val="22"/>
          <w:szCs w:val="22"/>
        </w:rPr>
        <w:t>,</w:t>
      </w:r>
      <w:r w:rsidRPr="00965527">
        <w:rPr>
          <w:rFonts w:cs="Arial"/>
          <w:sz w:val="22"/>
          <w:szCs w:val="22"/>
        </w:rPr>
        <w:t xml:space="preserve"> so it is heavily reliant on visitors. The number of visitors over the course of the tourist season is around 120,000 with peak visitors estimated at 5,000 (compared to the baseline population of 2</w:t>
      </w:r>
      <w:r w:rsidR="00796C90">
        <w:rPr>
          <w:rFonts w:cs="Arial"/>
          <w:sz w:val="22"/>
          <w:szCs w:val="22"/>
        </w:rPr>
        <w:t>200</w:t>
      </w:r>
      <w:r w:rsidRPr="00965527">
        <w:rPr>
          <w:rFonts w:cs="Arial"/>
          <w:sz w:val="22"/>
          <w:szCs w:val="22"/>
        </w:rPr>
        <w:t xml:space="preserve">) of which c500 will be day visitors. </w:t>
      </w:r>
      <w:r w:rsidR="0032111A" w:rsidRPr="00965527">
        <w:rPr>
          <w:rFonts w:cs="Arial"/>
          <w:sz w:val="22"/>
          <w:szCs w:val="22"/>
        </w:rPr>
        <w:t>If limits on the number of tourists had to be implemented as a result of the water and sewerage systems not being able to cope, then the</w:t>
      </w:r>
      <w:r w:rsidR="005E2A5D" w:rsidRPr="00965527">
        <w:rPr>
          <w:rFonts w:cs="Arial"/>
          <w:sz w:val="22"/>
          <w:szCs w:val="22"/>
        </w:rPr>
        <w:t xml:space="preserve"> reduction </w:t>
      </w:r>
      <w:r w:rsidR="0032111A" w:rsidRPr="00965527">
        <w:rPr>
          <w:rFonts w:cs="Arial"/>
          <w:sz w:val="22"/>
          <w:szCs w:val="22"/>
        </w:rPr>
        <w:t>in tourists</w:t>
      </w:r>
      <w:r w:rsidR="005E2A5D" w:rsidRPr="00965527">
        <w:rPr>
          <w:rFonts w:cs="Arial"/>
          <w:sz w:val="22"/>
          <w:szCs w:val="22"/>
        </w:rPr>
        <w:t xml:space="preserve"> would have severe consequences on the local economy.</w:t>
      </w:r>
      <w:r w:rsidR="00886C3D">
        <w:rPr>
          <w:rFonts w:cs="Arial"/>
          <w:sz w:val="22"/>
          <w:szCs w:val="22"/>
        </w:rPr>
        <w:t xml:space="preserve"> </w:t>
      </w:r>
    </w:p>
    <w:p w:rsidR="00AD625F" w:rsidRPr="00965527" w:rsidRDefault="00AD625F" w:rsidP="00331E89">
      <w:pPr>
        <w:jc w:val="both"/>
        <w:rPr>
          <w:rFonts w:cs="Arial"/>
          <w:sz w:val="22"/>
          <w:szCs w:val="22"/>
        </w:rPr>
      </w:pPr>
    </w:p>
    <w:p w:rsidR="00AD625F" w:rsidRPr="00965527" w:rsidRDefault="00C501AB" w:rsidP="00A1487C">
      <w:pPr>
        <w:jc w:val="both"/>
        <w:rPr>
          <w:rFonts w:cs="Arial"/>
          <w:sz w:val="22"/>
          <w:szCs w:val="22"/>
        </w:rPr>
      </w:pPr>
      <w:r w:rsidRPr="00965527">
        <w:rPr>
          <w:rFonts w:cs="Arial"/>
          <w:sz w:val="22"/>
          <w:szCs w:val="22"/>
        </w:rPr>
        <w:t>By implementing legislation and providing grants to update the infrastructure it will help ensure</w:t>
      </w:r>
      <w:r w:rsidR="00AD625F" w:rsidRPr="00965527">
        <w:rPr>
          <w:rFonts w:cs="Arial"/>
          <w:sz w:val="22"/>
          <w:szCs w:val="22"/>
        </w:rPr>
        <w:t xml:space="preserve"> a</w:t>
      </w:r>
      <w:r w:rsidRPr="00965527">
        <w:rPr>
          <w:rFonts w:cs="Arial"/>
          <w:sz w:val="22"/>
          <w:szCs w:val="22"/>
        </w:rPr>
        <w:t>ll islands have access to a safe and reliable supply of drinking water in the long term. Failure to address these issues could have serious consequences for the quality of life of local residents</w:t>
      </w:r>
      <w:r w:rsidR="00904F10">
        <w:rPr>
          <w:rFonts w:cs="Arial"/>
          <w:sz w:val="22"/>
          <w:szCs w:val="22"/>
        </w:rPr>
        <w:t>.</w:t>
      </w:r>
      <w:r w:rsidR="00886C3D">
        <w:rPr>
          <w:rFonts w:cs="Arial"/>
          <w:sz w:val="22"/>
          <w:szCs w:val="22"/>
        </w:rPr>
        <w:t xml:space="preserve"> For example, poor drinking water or incorrect disposal of sewerage could lead to </w:t>
      </w:r>
      <w:r w:rsidR="00886C3D">
        <w:rPr>
          <w:sz w:val="22"/>
          <w:szCs w:val="22"/>
        </w:rPr>
        <w:t>g</w:t>
      </w:r>
      <w:r w:rsidR="00886C3D" w:rsidRPr="00886C3D">
        <w:rPr>
          <w:sz w:val="22"/>
          <w:szCs w:val="22"/>
        </w:rPr>
        <w:t>astroenteritis</w:t>
      </w:r>
      <w:r w:rsidR="00886C3D">
        <w:rPr>
          <w:rFonts w:cs="Arial"/>
          <w:sz w:val="22"/>
          <w:szCs w:val="22"/>
        </w:rPr>
        <w:t>, eye/ear infections and other ailments that could result in lost work days.</w:t>
      </w:r>
    </w:p>
    <w:p w:rsidR="00AD625F" w:rsidRPr="00965527" w:rsidRDefault="00AD625F" w:rsidP="00AD625F">
      <w:pPr>
        <w:rPr>
          <w:rFonts w:cs="Arial"/>
          <w:sz w:val="22"/>
          <w:szCs w:val="22"/>
        </w:rPr>
      </w:pPr>
    </w:p>
    <w:p w:rsidR="00DD593B" w:rsidRDefault="00DD593B" w:rsidP="00A1487C">
      <w:pPr>
        <w:jc w:val="both"/>
        <w:rPr>
          <w:rFonts w:cs="Arial"/>
          <w:sz w:val="22"/>
          <w:szCs w:val="22"/>
        </w:rPr>
      </w:pPr>
      <w:r w:rsidRPr="00965527">
        <w:rPr>
          <w:rFonts w:cs="Arial"/>
          <w:sz w:val="22"/>
          <w:szCs w:val="22"/>
        </w:rPr>
        <w:t>The legislation changes and investments in the water infrastructure could result in the desalination plant being used less frequently, which would result in cost savings in terms of the annual operating costs. We will look to estimate a range of potential cost savings during the consultation process.</w:t>
      </w:r>
    </w:p>
    <w:p w:rsidR="00886C3D" w:rsidRDefault="00886C3D" w:rsidP="00A1487C">
      <w:pPr>
        <w:jc w:val="both"/>
        <w:rPr>
          <w:rFonts w:cs="Arial"/>
          <w:sz w:val="22"/>
          <w:szCs w:val="22"/>
        </w:rPr>
      </w:pPr>
    </w:p>
    <w:p w:rsidR="00886C3D" w:rsidRDefault="00886C3D" w:rsidP="00A1487C">
      <w:pPr>
        <w:jc w:val="both"/>
        <w:rPr>
          <w:rFonts w:cs="Arial"/>
          <w:sz w:val="22"/>
          <w:szCs w:val="22"/>
        </w:rPr>
      </w:pPr>
      <w:r w:rsidRPr="00965527">
        <w:rPr>
          <w:rFonts w:cs="Arial"/>
          <w:sz w:val="22"/>
          <w:szCs w:val="22"/>
        </w:rPr>
        <w:t>There will also be environmental benefits from improving the water quality.</w:t>
      </w:r>
      <w:r>
        <w:rPr>
          <w:rFonts w:cs="Arial"/>
          <w:sz w:val="22"/>
          <w:szCs w:val="22"/>
        </w:rPr>
        <w:t xml:space="preserve"> It could help with the functioning of habitats in areas where there are </w:t>
      </w:r>
      <w:r w:rsidR="00993178">
        <w:rPr>
          <w:rFonts w:cs="Arial"/>
          <w:sz w:val="22"/>
          <w:szCs w:val="22"/>
        </w:rPr>
        <w:t xml:space="preserve">improved </w:t>
      </w:r>
      <w:r>
        <w:rPr>
          <w:rFonts w:cs="Arial"/>
          <w:sz w:val="22"/>
          <w:szCs w:val="22"/>
        </w:rPr>
        <w:t xml:space="preserve">sewerage outfalls. By improving the sewerage system the occurrence of sewerage litter may also reduce, which will improve the </w:t>
      </w:r>
      <w:r w:rsidRPr="00886C3D">
        <w:rPr>
          <w:rFonts w:cs="Arial"/>
          <w:sz w:val="22"/>
          <w:szCs w:val="22"/>
        </w:rPr>
        <w:t>aestheti</w:t>
      </w:r>
      <w:r>
        <w:rPr>
          <w:rFonts w:cs="Arial"/>
          <w:sz w:val="22"/>
          <w:szCs w:val="22"/>
        </w:rPr>
        <w:t>cs of the area.</w:t>
      </w:r>
    </w:p>
    <w:p w:rsidR="00904F10" w:rsidRDefault="00904F10" w:rsidP="00A1487C">
      <w:pPr>
        <w:jc w:val="both"/>
        <w:rPr>
          <w:rFonts w:cs="Arial"/>
          <w:sz w:val="22"/>
          <w:szCs w:val="22"/>
        </w:rPr>
      </w:pPr>
    </w:p>
    <w:p w:rsidR="005A2F72" w:rsidRPr="00965527" w:rsidRDefault="00C501AB" w:rsidP="00FB2A1A">
      <w:pPr>
        <w:rPr>
          <w:i/>
          <w:sz w:val="22"/>
          <w:szCs w:val="22"/>
        </w:rPr>
      </w:pPr>
      <w:r w:rsidRPr="00965527">
        <w:rPr>
          <w:i/>
          <w:sz w:val="22"/>
          <w:szCs w:val="22"/>
        </w:rPr>
        <w:t>Summary</w:t>
      </w:r>
    </w:p>
    <w:p w:rsidR="00AD625F" w:rsidRPr="00965527" w:rsidRDefault="00AD625F" w:rsidP="00FB2A1A">
      <w:pPr>
        <w:rPr>
          <w:sz w:val="22"/>
          <w:szCs w:val="22"/>
        </w:rPr>
      </w:pPr>
    </w:p>
    <w:p w:rsidR="00AD625F" w:rsidRPr="00965527" w:rsidRDefault="00AD625F" w:rsidP="00FB2A1A">
      <w:pPr>
        <w:rPr>
          <w:sz w:val="22"/>
          <w:szCs w:val="22"/>
        </w:rPr>
      </w:pPr>
      <w:r w:rsidRPr="00965527">
        <w:rPr>
          <w:sz w:val="22"/>
          <w:szCs w:val="22"/>
        </w:rPr>
        <w:t>The total NPV over 25 years is -1.</w:t>
      </w:r>
      <w:r w:rsidR="00792D7A">
        <w:rPr>
          <w:sz w:val="22"/>
          <w:szCs w:val="22"/>
        </w:rPr>
        <w:t>1</w:t>
      </w:r>
      <w:r w:rsidR="0045022F">
        <w:rPr>
          <w:sz w:val="22"/>
          <w:szCs w:val="22"/>
        </w:rPr>
        <w:t>6</w:t>
      </w:r>
      <w:r w:rsidR="0045022F" w:rsidRPr="00965527">
        <w:rPr>
          <w:sz w:val="22"/>
          <w:szCs w:val="22"/>
        </w:rPr>
        <w:t>m</w:t>
      </w:r>
      <w:r w:rsidRPr="00965527">
        <w:rPr>
          <w:sz w:val="22"/>
          <w:szCs w:val="22"/>
        </w:rPr>
        <w:t>.</w:t>
      </w:r>
      <w:r w:rsidR="00993178">
        <w:rPr>
          <w:sz w:val="22"/>
          <w:szCs w:val="22"/>
        </w:rPr>
        <w:t xml:space="preserve"> </w:t>
      </w:r>
    </w:p>
    <w:p w:rsidR="00647EF3" w:rsidRPr="00965527" w:rsidRDefault="00647EF3" w:rsidP="00647EF3">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6"/>
      </w:tblGrid>
      <w:tr w:rsidR="00647EF3" w:rsidRPr="00965527" w:rsidTr="00571055">
        <w:trPr>
          <w:trHeight w:val="924"/>
        </w:trPr>
        <w:tc>
          <w:tcPr>
            <w:tcW w:w="9606" w:type="dxa"/>
          </w:tcPr>
          <w:p w:rsidR="001F1D85" w:rsidRDefault="001F1D85" w:rsidP="001F1D85">
            <w:pPr>
              <w:rPr>
                <w:rFonts w:ascii="Calibri" w:hAnsi="Calibri"/>
              </w:rPr>
            </w:pPr>
            <w:r>
              <w:rPr>
                <w:b/>
                <w:u w:val="single"/>
              </w:rPr>
              <w:t>One-in, One-out status</w:t>
            </w:r>
          </w:p>
          <w:p w:rsidR="001F1D85" w:rsidRPr="001F1D85" w:rsidRDefault="001F1D85" w:rsidP="001F1D85">
            <w:pPr>
              <w:rPr>
                <w:sz w:val="22"/>
                <w:szCs w:val="22"/>
              </w:rPr>
            </w:pPr>
            <w:r w:rsidRPr="001F1D85">
              <w:rPr>
                <w:sz w:val="22"/>
                <w:szCs w:val="22"/>
              </w:rPr>
              <w:t>This measure consists of several elements so that it meets our minimum EU requirements on a number of European Water related Directives, but it does not go beyond these requirements (i.e it is not gold plated).  Implementing European legislation is out of scope of OIOO.</w:t>
            </w:r>
          </w:p>
          <w:p w:rsidR="00647EF3" w:rsidRPr="00965527" w:rsidRDefault="001F1D85" w:rsidP="001F1D85">
            <w:pPr>
              <w:rPr>
                <w:sz w:val="22"/>
                <w:szCs w:val="22"/>
              </w:rPr>
            </w:pPr>
            <w:r w:rsidRPr="001F1D85">
              <w:rPr>
                <w:sz w:val="22"/>
                <w:szCs w:val="22"/>
              </w:rPr>
              <w:t>Implementing domestic legislation is an ‘IN’ with an equivalent annual net cost to business of £0.0021m.</w:t>
            </w:r>
          </w:p>
        </w:tc>
      </w:tr>
      <w:tr w:rsidR="00647EF3" w:rsidRPr="00965527" w:rsidTr="00FA58C3">
        <w:trPr>
          <w:trHeight w:val="767"/>
        </w:trPr>
        <w:tc>
          <w:tcPr>
            <w:tcW w:w="9606" w:type="dxa"/>
          </w:tcPr>
          <w:p w:rsidR="001F1D85" w:rsidRDefault="001F1D85" w:rsidP="001F1D85">
            <w:pPr>
              <w:rPr>
                <w:b/>
                <w:u w:val="single"/>
              </w:rPr>
            </w:pPr>
            <w:r>
              <w:rPr>
                <w:b/>
                <w:u w:val="single"/>
              </w:rPr>
              <w:t xml:space="preserve">Rationale for Triage rating </w:t>
            </w:r>
          </w:p>
          <w:p w:rsidR="00647EF3" w:rsidRPr="00965527" w:rsidRDefault="001F1D85" w:rsidP="001F1D85">
            <w:pPr>
              <w:rPr>
                <w:b/>
                <w:sz w:val="22"/>
                <w:szCs w:val="22"/>
              </w:rPr>
            </w:pPr>
            <w:r w:rsidRPr="001F1D85">
              <w:rPr>
                <w:sz w:val="22"/>
                <w:szCs w:val="22"/>
              </w:rPr>
              <w:t>The proposals within scope of OIOO are less than £1m.</w:t>
            </w:r>
          </w:p>
        </w:tc>
      </w:tr>
    </w:tbl>
    <w:p w:rsidR="00FA58C3" w:rsidRDefault="00FA58C3" w:rsidP="00792063">
      <w:pPr>
        <w:jc w:val="center"/>
        <w:rPr>
          <w:b/>
          <w:sz w:val="22"/>
          <w:szCs w:val="22"/>
        </w:rPr>
      </w:pPr>
    </w:p>
    <w:p w:rsidR="00792063" w:rsidRDefault="00792063" w:rsidP="00792063">
      <w:pPr>
        <w:jc w:val="center"/>
        <w:rPr>
          <w:b/>
          <w:sz w:val="22"/>
          <w:szCs w:val="22"/>
        </w:rPr>
      </w:pPr>
      <w:r w:rsidRPr="00965527">
        <w:rPr>
          <w:b/>
          <w:sz w:val="22"/>
          <w:szCs w:val="22"/>
        </w:rPr>
        <w:t>Annex 1: Legislative Changes Required in IoS</w:t>
      </w:r>
    </w:p>
    <w:p w:rsidR="00FA58C3" w:rsidRPr="00965527" w:rsidRDefault="00FA58C3" w:rsidP="00792063">
      <w:pPr>
        <w:jc w:val="center"/>
        <w:rPr>
          <w:b/>
          <w:sz w:val="22"/>
          <w:szCs w:val="22"/>
        </w:rPr>
      </w:pPr>
    </w:p>
    <w:p w:rsidR="00792063" w:rsidRPr="00965527" w:rsidRDefault="00792063" w:rsidP="00A1487C">
      <w:pPr>
        <w:rPr>
          <w:b/>
          <w:sz w:val="22"/>
          <w:szCs w:val="22"/>
        </w:rPr>
      </w:pPr>
      <w:r w:rsidRPr="00965527">
        <w:rPr>
          <w:b/>
          <w:sz w:val="22"/>
          <w:szCs w:val="22"/>
        </w:rPr>
        <w:t xml:space="preserve">i) </w:t>
      </w:r>
      <w:r w:rsidR="00E5283D" w:rsidRPr="00965527">
        <w:rPr>
          <w:b/>
          <w:sz w:val="22"/>
          <w:szCs w:val="22"/>
        </w:rPr>
        <w:t xml:space="preserve">Legislation required </w:t>
      </w:r>
      <w:r w:rsidR="00A1487C" w:rsidRPr="00965527">
        <w:rPr>
          <w:b/>
          <w:sz w:val="22"/>
          <w:szCs w:val="22"/>
        </w:rPr>
        <w:t xml:space="preserve">to </w:t>
      </w:r>
      <w:r w:rsidR="00E5283D" w:rsidRPr="00965527">
        <w:rPr>
          <w:b/>
          <w:sz w:val="22"/>
          <w:szCs w:val="22"/>
        </w:rPr>
        <w:t>a</w:t>
      </w:r>
      <w:r w:rsidR="00A1487C" w:rsidRPr="00965527">
        <w:rPr>
          <w:b/>
          <w:sz w:val="22"/>
          <w:szCs w:val="22"/>
        </w:rPr>
        <w:t xml:space="preserve">pply </w:t>
      </w:r>
      <w:r w:rsidR="00E5283D" w:rsidRPr="00965527">
        <w:rPr>
          <w:b/>
          <w:sz w:val="22"/>
          <w:szCs w:val="22"/>
        </w:rPr>
        <w:t>all relevant legislation</w:t>
      </w:r>
      <w:r w:rsidR="00A1487C" w:rsidRPr="00965527">
        <w:rPr>
          <w:b/>
          <w:sz w:val="22"/>
          <w:szCs w:val="22"/>
        </w:rPr>
        <w:t xml:space="preserve"> to the IoS</w:t>
      </w:r>
      <w:r w:rsidR="00E5283D" w:rsidRPr="00965527">
        <w:rPr>
          <w:b/>
          <w:sz w:val="22"/>
          <w:szCs w:val="22"/>
        </w:rPr>
        <w:t xml:space="preserve"> (preferred option)</w:t>
      </w:r>
    </w:p>
    <w:p w:rsidR="00792063" w:rsidRPr="00965527" w:rsidRDefault="00792063" w:rsidP="00792063">
      <w:pPr>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1748"/>
        <w:gridCol w:w="4972"/>
      </w:tblGrid>
      <w:tr w:rsidR="00D003C7" w:rsidRPr="00965527" w:rsidTr="00CB5E33">
        <w:tc>
          <w:tcPr>
            <w:tcW w:w="0" w:type="auto"/>
          </w:tcPr>
          <w:p w:rsidR="00A1487C" w:rsidRPr="00965527" w:rsidRDefault="00A1487C" w:rsidP="00A1487C">
            <w:pPr>
              <w:rPr>
                <w:b/>
                <w:sz w:val="22"/>
                <w:szCs w:val="22"/>
              </w:rPr>
            </w:pPr>
            <w:r w:rsidRPr="00965527">
              <w:rPr>
                <w:b/>
                <w:sz w:val="22"/>
                <w:szCs w:val="22"/>
              </w:rPr>
              <w:t>Legislation</w:t>
            </w:r>
          </w:p>
        </w:tc>
        <w:tc>
          <w:tcPr>
            <w:tcW w:w="0" w:type="auto"/>
          </w:tcPr>
          <w:p w:rsidR="00A1487C" w:rsidRPr="00965527" w:rsidRDefault="00A1487C" w:rsidP="00A1487C">
            <w:pPr>
              <w:rPr>
                <w:b/>
                <w:sz w:val="22"/>
                <w:szCs w:val="22"/>
              </w:rPr>
            </w:pPr>
            <w:r w:rsidRPr="00965527">
              <w:rPr>
                <w:b/>
                <w:sz w:val="22"/>
                <w:szCs w:val="22"/>
              </w:rPr>
              <w:t>Primary (1</w:t>
            </w:r>
            <w:r w:rsidRPr="00965527">
              <w:rPr>
                <w:b/>
                <w:sz w:val="22"/>
                <w:szCs w:val="22"/>
                <w:vertAlign w:val="superscript"/>
              </w:rPr>
              <w:t>o</w:t>
            </w:r>
            <w:r w:rsidRPr="00965527">
              <w:rPr>
                <w:b/>
                <w:sz w:val="22"/>
                <w:szCs w:val="22"/>
              </w:rPr>
              <w:t>), European (E) Secondary (2</w:t>
            </w:r>
            <w:r w:rsidRPr="00965527">
              <w:rPr>
                <w:b/>
                <w:sz w:val="22"/>
                <w:szCs w:val="22"/>
                <w:vertAlign w:val="superscript"/>
              </w:rPr>
              <w:t>o</w:t>
            </w:r>
            <w:r w:rsidRPr="00965527">
              <w:rPr>
                <w:b/>
                <w:sz w:val="22"/>
                <w:szCs w:val="22"/>
              </w:rPr>
              <w:t>)</w:t>
            </w:r>
          </w:p>
        </w:tc>
        <w:tc>
          <w:tcPr>
            <w:tcW w:w="0" w:type="auto"/>
          </w:tcPr>
          <w:p w:rsidR="00A1487C" w:rsidRPr="00965527" w:rsidRDefault="00A1487C" w:rsidP="00A1487C">
            <w:pPr>
              <w:rPr>
                <w:b/>
                <w:sz w:val="22"/>
                <w:szCs w:val="22"/>
              </w:rPr>
            </w:pPr>
            <w:r w:rsidRPr="00965527">
              <w:rPr>
                <w:b/>
                <w:sz w:val="22"/>
                <w:szCs w:val="22"/>
              </w:rPr>
              <w:t>How to Apply in IoS</w:t>
            </w:r>
          </w:p>
        </w:tc>
      </w:tr>
      <w:tr w:rsidR="00D003C7" w:rsidRPr="00965527" w:rsidTr="00CB5E33">
        <w:tc>
          <w:tcPr>
            <w:tcW w:w="0" w:type="auto"/>
          </w:tcPr>
          <w:p w:rsidR="00A1487C" w:rsidRPr="00965527" w:rsidRDefault="00A1487C" w:rsidP="00A1487C">
            <w:pPr>
              <w:rPr>
                <w:sz w:val="22"/>
                <w:szCs w:val="22"/>
              </w:rPr>
            </w:pPr>
            <w:r w:rsidRPr="00965527">
              <w:rPr>
                <w:sz w:val="22"/>
                <w:szCs w:val="22"/>
              </w:rPr>
              <w:t xml:space="preserve">Drinking Water Directive (98/83/EC);  </w:t>
            </w:r>
          </w:p>
          <w:p w:rsidR="00A1487C" w:rsidRPr="00965527" w:rsidRDefault="00A1487C" w:rsidP="00A1487C">
            <w:pPr>
              <w:rPr>
                <w:sz w:val="22"/>
                <w:szCs w:val="22"/>
              </w:rPr>
            </w:pPr>
            <w:r w:rsidRPr="00965527">
              <w:rPr>
                <w:sz w:val="22"/>
                <w:szCs w:val="22"/>
              </w:rPr>
              <w:t>Water Supply (Water Quality) Regulations 2000 (as amended in 2007 and 2010)</w:t>
            </w:r>
          </w:p>
        </w:tc>
        <w:tc>
          <w:tcPr>
            <w:tcW w:w="0" w:type="auto"/>
          </w:tcPr>
          <w:p w:rsidR="00A1487C" w:rsidRPr="00965527" w:rsidRDefault="00A1487C" w:rsidP="00A1487C">
            <w:pPr>
              <w:rPr>
                <w:sz w:val="22"/>
                <w:szCs w:val="22"/>
              </w:rPr>
            </w:pPr>
            <w:r w:rsidRPr="00965527">
              <w:rPr>
                <w:sz w:val="22"/>
                <w:szCs w:val="22"/>
              </w:rPr>
              <w:t>E</w:t>
            </w:r>
          </w:p>
          <w:p w:rsidR="00B7489C" w:rsidRPr="00965527" w:rsidRDefault="00B7489C" w:rsidP="00A1487C">
            <w:pPr>
              <w:rPr>
                <w:sz w:val="22"/>
                <w:szCs w:val="22"/>
              </w:rPr>
            </w:pPr>
          </w:p>
          <w:p w:rsidR="00A1487C" w:rsidRPr="00965527" w:rsidRDefault="00A1487C" w:rsidP="00A1487C">
            <w:pPr>
              <w:rPr>
                <w:sz w:val="22"/>
                <w:szCs w:val="22"/>
              </w:rPr>
            </w:pPr>
            <w:r w:rsidRPr="00965527">
              <w:rPr>
                <w:sz w:val="22"/>
                <w:szCs w:val="22"/>
              </w:rPr>
              <w:t>E 2</w:t>
            </w:r>
            <w:r w:rsidRPr="00965527">
              <w:rPr>
                <w:sz w:val="22"/>
                <w:szCs w:val="22"/>
                <w:vertAlign w:val="superscript"/>
              </w:rPr>
              <w:t>o</w:t>
            </w:r>
          </w:p>
        </w:tc>
        <w:tc>
          <w:tcPr>
            <w:tcW w:w="0" w:type="auto"/>
          </w:tcPr>
          <w:p w:rsidR="00A1487C" w:rsidRPr="00965527" w:rsidRDefault="00A1487C" w:rsidP="00A1487C">
            <w:pPr>
              <w:rPr>
                <w:sz w:val="22"/>
                <w:szCs w:val="22"/>
              </w:rPr>
            </w:pPr>
            <w:r w:rsidRPr="00965527">
              <w:rPr>
                <w:sz w:val="22"/>
                <w:szCs w:val="22"/>
              </w:rPr>
              <w:t>Public Water supplies (IoS Council St. Mary’s and Bryher).</w:t>
            </w:r>
          </w:p>
        </w:tc>
      </w:tr>
      <w:tr w:rsidR="001F1D85" w:rsidRPr="00965527" w:rsidTr="00CB5E33">
        <w:tc>
          <w:tcPr>
            <w:tcW w:w="0" w:type="auto"/>
          </w:tcPr>
          <w:p w:rsidR="001F1D85" w:rsidRPr="009B6E2C" w:rsidRDefault="001F1D85" w:rsidP="00380092">
            <w:pPr>
              <w:rPr>
                <w:sz w:val="20"/>
                <w:szCs w:val="20"/>
              </w:rPr>
            </w:pPr>
            <w:r w:rsidRPr="001F1D85">
              <w:rPr>
                <w:sz w:val="22"/>
                <w:szCs w:val="22"/>
              </w:rPr>
              <w:t>Drinking Water Directive (98/83/EC); Private Water Supplies Regulations 2009</w:t>
            </w:r>
          </w:p>
        </w:tc>
        <w:tc>
          <w:tcPr>
            <w:tcW w:w="0" w:type="auto"/>
          </w:tcPr>
          <w:p w:rsidR="001F1D85" w:rsidRPr="001F1D85" w:rsidRDefault="001F1D85" w:rsidP="00380092">
            <w:pPr>
              <w:rPr>
                <w:sz w:val="22"/>
                <w:szCs w:val="22"/>
              </w:rPr>
            </w:pPr>
            <w:r w:rsidRPr="001F1D85">
              <w:rPr>
                <w:sz w:val="22"/>
                <w:szCs w:val="22"/>
              </w:rPr>
              <w:t>E</w:t>
            </w:r>
          </w:p>
          <w:p w:rsidR="001F1D85" w:rsidRPr="009B6E2C" w:rsidRDefault="001F1D85" w:rsidP="00380092">
            <w:pPr>
              <w:rPr>
                <w:sz w:val="20"/>
                <w:szCs w:val="20"/>
              </w:rPr>
            </w:pPr>
          </w:p>
          <w:p w:rsidR="001F1D85" w:rsidRPr="009B6E2C" w:rsidRDefault="001F1D85" w:rsidP="00380092">
            <w:pPr>
              <w:rPr>
                <w:sz w:val="20"/>
                <w:szCs w:val="20"/>
              </w:rPr>
            </w:pPr>
          </w:p>
          <w:p w:rsidR="001F1D85" w:rsidRPr="009B6E2C" w:rsidRDefault="001F1D85" w:rsidP="00380092">
            <w:pPr>
              <w:rPr>
                <w:sz w:val="20"/>
                <w:szCs w:val="20"/>
              </w:rPr>
            </w:pPr>
            <w:r w:rsidRPr="001F1D85">
              <w:rPr>
                <w:sz w:val="22"/>
                <w:szCs w:val="22"/>
              </w:rPr>
              <w:t>E 2</w:t>
            </w:r>
            <w:r w:rsidRPr="001F1D85">
              <w:rPr>
                <w:sz w:val="22"/>
                <w:szCs w:val="22"/>
                <w:vertAlign w:val="superscript"/>
              </w:rPr>
              <w:t>o</w:t>
            </w:r>
          </w:p>
        </w:tc>
        <w:tc>
          <w:tcPr>
            <w:tcW w:w="0" w:type="auto"/>
          </w:tcPr>
          <w:p w:rsidR="001F1D85" w:rsidRPr="00965527" w:rsidRDefault="001F1D85" w:rsidP="00123B48">
            <w:pPr>
              <w:rPr>
                <w:sz w:val="22"/>
                <w:szCs w:val="22"/>
              </w:rPr>
            </w:pPr>
            <w:r w:rsidRPr="001F1D85">
              <w:rPr>
                <w:sz w:val="22"/>
                <w:szCs w:val="22"/>
              </w:rPr>
              <w:t>Private Water supplies (Duchy of Cornwall and tenants, Tresco Estates – overseen by IoS Council).</w:t>
            </w:r>
          </w:p>
        </w:tc>
      </w:tr>
      <w:tr w:rsidR="001F1D85" w:rsidRPr="00965527" w:rsidTr="00CB5E33">
        <w:tc>
          <w:tcPr>
            <w:tcW w:w="0" w:type="auto"/>
          </w:tcPr>
          <w:p w:rsidR="001F1D85" w:rsidRPr="00965527" w:rsidRDefault="001F1D85" w:rsidP="00A1487C">
            <w:pPr>
              <w:rPr>
                <w:sz w:val="22"/>
                <w:szCs w:val="22"/>
              </w:rPr>
            </w:pPr>
            <w:r w:rsidRPr="00965527">
              <w:rPr>
                <w:sz w:val="22"/>
                <w:szCs w:val="22"/>
              </w:rPr>
              <w:t>Water Industry Act (WIA) 1991</w:t>
            </w:r>
          </w:p>
        </w:tc>
        <w:tc>
          <w:tcPr>
            <w:tcW w:w="0" w:type="auto"/>
          </w:tcPr>
          <w:p w:rsidR="001F1D85" w:rsidRPr="00965527" w:rsidRDefault="001F1D85" w:rsidP="00A1487C">
            <w:pPr>
              <w:rPr>
                <w:sz w:val="22"/>
                <w:szCs w:val="22"/>
              </w:rPr>
            </w:pPr>
            <w:r w:rsidRPr="00965527">
              <w:rPr>
                <w:sz w:val="22"/>
                <w:szCs w:val="22"/>
              </w:rPr>
              <w:t>1</w:t>
            </w:r>
            <w:r w:rsidRPr="00965527">
              <w:rPr>
                <w:sz w:val="22"/>
                <w:szCs w:val="22"/>
                <w:vertAlign w:val="superscript"/>
              </w:rPr>
              <w:t>o</w:t>
            </w:r>
          </w:p>
        </w:tc>
        <w:tc>
          <w:tcPr>
            <w:tcW w:w="0" w:type="auto"/>
          </w:tcPr>
          <w:p w:rsidR="001F1D85" w:rsidRPr="00965527" w:rsidRDefault="001F1D85" w:rsidP="00123B48">
            <w:pPr>
              <w:rPr>
                <w:sz w:val="22"/>
                <w:szCs w:val="22"/>
              </w:rPr>
            </w:pPr>
            <w:r w:rsidRPr="00965527">
              <w:rPr>
                <w:sz w:val="22"/>
                <w:szCs w:val="22"/>
              </w:rPr>
              <w:t>Drinking Water Inspectorate (DWI) powers to request information, incident investigations, risk assessments, Water Safety Plans etc. from IoS Council as Water Undertaker. Has been applied informally since 2006.</w:t>
            </w:r>
          </w:p>
        </w:tc>
      </w:tr>
      <w:tr w:rsidR="001F1D85" w:rsidRPr="00965527" w:rsidTr="00CB5E33">
        <w:tc>
          <w:tcPr>
            <w:tcW w:w="0" w:type="auto"/>
          </w:tcPr>
          <w:p w:rsidR="001F1D85" w:rsidRPr="00965527" w:rsidRDefault="001F1D85" w:rsidP="003B2D48">
            <w:pPr>
              <w:rPr>
                <w:sz w:val="22"/>
                <w:szCs w:val="22"/>
              </w:rPr>
            </w:pPr>
            <w:r w:rsidRPr="00965527">
              <w:rPr>
                <w:sz w:val="22"/>
                <w:szCs w:val="22"/>
              </w:rPr>
              <w:t>The Water Supply (Water Fittings) Regulations 1999 – made under section 74 of WIA ‘91</w:t>
            </w:r>
          </w:p>
        </w:tc>
        <w:tc>
          <w:tcPr>
            <w:tcW w:w="0" w:type="auto"/>
          </w:tcPr>
          <w:p w:rsidR="001F1D85" w:rsidRPr="00965527" w:rsidRDefault="001F1D85" w:rsidP="003B2D48">
            <w:pPr>
              <w:rPr>
                <w:sz w:val="22"/>
                <w:szCs w:val="22"/>
              </w:rPr>
            </w:pPr>
            <w:r w:rsidRPr="00965527">
              <w:rPr>
                <w:sz w:val="22"/>
                <w:szCs w:val="22"/>
              </w:rPr>
              <w:t>Domestic  2</w:t>
            </w:r>
            <w:r w:rsidRPr="00965527">
              <w:rPr>
                <w:sz w:val="22"/>
                <w:szCs w:val="22"/>
                <w:vertAlign w:val="superscript"/>
              </w:rPr>
              <w:t>o</w:t>
            </w:r>
          </w:p>
        </w:tc>
        <w:tc>
          <w:tcPr>
            <w:tcW w:w="0" w:type="auto"/>
          </w:tcPr>
          <w:p w:rsidR="001F1D85" w:rsidRPr="00965527" w:rsidRDefault="001F1D85" w:rsidP="003B2D48">
            <w:pPr>
              <w:rPr>
                <w:sz w:val="22"/>
                <w:szCs w:val="22"/>
              </w:rPr>
            </w:pPr>
            <w:r w:rsidRPr="00965527">
              <w:rPr>
                <w:sz w:val="22"/>
                <w:szCs w:val="22"/>
              </w:rPr>
              <w:t>IoS Council already applying.</w:t>
            </w:r>
          </w:p>
        </w:tc>
      </w:tr>
      <w:tr w:rsidR="001F1D85" w:rsidRPr="00965527" w:rsidTr="00CB5E33">
        <w:tc>
          <w:tcPr>
            <w:tcW w:w="0" w:type="auto"/>
          </w:tcPr>
          <w:p w:rsidR="001F1D85" w:rsidRPr="00965527" w:rsidRDefault="001F1D85" w:rsidP="003B2D48">
            <w:pPr>
              <w:rPr>
                <w:sz w:val="22"/>
                <w:szCs w:val="22"/>
              </w:rPr>
            </w:pPr>
            <w:r w:rsidRPr="00965527">
              <w:rPr>
                <w:sz w:val="22"/>
                <w:szCs w:val="22"/>
              </w:rPr>
              <w:t xml:space="preserve">Urban Waste Water Treatment Directive  </w:t>
            </w:r>
          </w:p>
          <w:p w:rsidR="001F1D85" w:rsidRPr="00965527" w:rsidRDefault="001F1D85" w:rsidP="003B2D48">
            <w:pPr>
              <w:rPr>
                <w:sz w:val="22"/>
                <w:szCs w:val="22"/>
              </w:rPr>
            </w:pPr>
            <w:r w:rsidRPr="00965527">
              <w:rPr>
                <w:sz w:val="22"/>
                <w:szCs w:val="22"/>
              </w:rPr>
              <w:t>91/271/EEC</w:t>
            </w:r>
          </w:p>
        </w:tc>
        <w:tc>
          <w:tcPr>
            <w:tcW w:w="0" w:type="auto"/>
          </w:tcPr>
          <w:p w:rsidR="001F1D85" w:rsidRPr="00965527" w:rsidRDefault="001F1D85" w:rsidP="003B2D48">
            <w:pPr>
              <w:rPr>
                <w:sz w:val="22"/>
                <w:szCs w:val="22"/>
              </w:rPr>
            </w:pPr>
            <w:r w:rsidRPr="00965527">
              <w:rPr>
                <w:sz w:val="22"/>
                <w:szCs w:val="22"/>
              </w:rPr>
              <w:t>E</w:t>
            </w:r>
          </w:p>
        </w:tc>
        <w:tc>
          <w:tcPr>
            <w:tcW w:w="0" w:type="auto"/>
          </w:tcPr>
          <w:p w:rsidR="001F1D85" w:rsidRPr="00965527" w:rsidRDefault="001F1D85" w:rsidP="00123B48">
            <w:pPr>
              <w:rPr>
                <w:sz w:val="22"/>
                <w:szCs w:val="22"/>
              </w:rPr>
            </w:pPr>
            <w:r w:rsidRPr="00965527">
              <w:rPr>
                <w:sz w:val="22"/>
                <w:szCs w:val="22"/>
              </w:rPr>
              <w:t xml:space="preserve">Needs to apply in Hugh Town, St Mary’s as the Population Equivalent is &gt;2000 in the Tourist Season. </w:t>
            </w:r>
          </w:p>
        </w:tc>
      </w:tr>
      <w:tr w:rsidR="001F1D85" w:rsidRPr="00965527" w:rsidTr="00CB5E33">
        <w:tc>
          <w:tcPr>
            <w:tcW w:w="0" w:type="auto"/>
          </w:tcPr>
          <w:p w:rsidR="001F1D85" w:rsidRPr="00965527" w:rsidRDefault="001F1D85" w:rsidP="003B2D48">
            <w:pPr>
              <w:rPr>
                <w:sz w:val="22"/>
                <w:szCs w:val="22"/>
              </w:rPr>
            </w:pPr>
            <w:r w:rsidRPr="00965527">
              <w:rPr>
                <w:sz w:val="22"/>
                <w:szCs w:val="22"/>
              </w:rPr>
              <w:t xml:space="preserve">Environmental Permitting (England and Wales) Regulations 2010 </w:t>
            </w:r>
          </w:p>
        </w:tc>
        <w:tc>
          <w:tcPr>
            <w:tcW w:w="0" w:type="auto"/>
          </w:tcPr>
          <w:p w:rsidR="001F1D85" w:rsidRPr="00965527" w:rsidRDefault="001F1D85" w:rsidP="003B2D48">
            <w:pPr>
              <w:rPr>
                <w:sz w:val="22"/>
                <w:szCs w:val="22"/>
              </w:rPr>
            </w:pPr>
            <w:r w:rsidRPr="00965527">
              <w:rPr>
                <w:sz w:val="22"/>
                <w:szCs w:val="22"/>
              </w:rPr>
              <w:t>E 2</w:t>
            </w:r>
            <w:r w:rsidRPr="00965527">
              <w:rPr>
                <w:sz w:val="22"/>
                <w:szCs w:val="22"/>
                <w:vertAlign w:val="superscript"/>
              </w:rPr>
              <w:t>o</w:t>
            </w:r>
          </w:p>
        </w:tc>
        <w:tc>
          <w:tcPr>
            <w:tcW w:w="0" w:type="auto"/>
          </w:tcPr>
          <w:p w:rsidR="001F1D85" w:rsidRPr="00965527" w:rsidRDefault="001F1D85" w:rsidP="00D003C7">
            <w:pPr>
              <w:rPr>
                <w:sz w:val="22"/>
                <w:szCs w:val="22"/>
              </w:rPr>
            </w:pPr>
            <w:r w:rsidRPr="00965527">
              <w:rPr>
                <w:sz w:val="22"/>
                <w:szCs w:val="22"/>
              </w:rPr>
              <w:t xml:space="preserve">Environment Agency (EA) to issue first time Water Discharge Activity (WDA) permits for discharge into controlled waters (freshwater, coastal and groundwater). Small household septic tanks and small package sewage treatment plants to soakaway and coastal waters may be excluded. </w:t>
            </w:r>
          </w:p>
        </w:tc>
      </w:tr>
      <w:tr w:rsidR="001F1D85" w:rsidRPr="00965527" w:rsidTr="00CB5E33">
        <w:tc>
          <w:tcPr>
            <w:tcW w:w="0" w:type="auto"/>
          </w:tcPr>
          <w:p w:rsidR="001F1D85" w:rsidRPr="00965527" w:rsidRDefault="001F1D85" w:rsidP="003B2D48">
            <w:pPr>
              <w:rPr>
                <w:sz w:val="22"/>
                <w:szCs w:val="22"/>
              </w:rPr>
            </w:pPr>
            <w:r w:rsidRPr="00965527">
              <w:rPr>
                <w:sz w:val="22"/>
                <w:szCs w:val="22"/>
              </w:rPr>
              <w:t>Water Framework Directive - 2000/60/EC</w:t>
            </w:r>
          </w:p>
        </w:tc>
        <w:tc>
          <w:tcPr>
            <w:tcW w:w="0" w:type="auto"/>
          </w:tcPr>
          <w:p w:rsidR="001F1D85" w:rsidRPr="00965527" w:rsidRDefault="001F1D85" w:rsidP="003B2D48">
            <w:pPr>
              <w:rPr>
                <w:sz w:val="22"/>
                <w:szCs w:val="22"/>
              </w:rPr>
            </w:pPr>
            <w:r w:rsidRPr="00965527">
              <w:rPr>
                <w:sz w:val="22"/>
                <w:szCs w:val="22"/>
              </w:rPr>
              <w:t>E</w:t>
            </w:r>
          </w:p>
        </w:tc>
        <w:tc>
          <w:tcPr>
            <w:tcW w:w="0" w:type="auto"/>
          </w:tcPr>
          <w:p w:rsidR="001F1D85" w:rsidRPr="00965527" w:rsidRDefault="001F1D85" w:rsidP="00D003C7">
            <w:pPr>
              <w:rPr>
                <w:sz w:val="22"/>
                <w:szCs w:val="22"/>
              </w:rPr>
            </w:pPr>
            <w:r w:rsidRPr="00965527">
              <w:rPr>
                <w:sz w:val="22"/>
                <w:szCs w:val="22"/>
              </w:rPr>
              <w:t xml:space="preserve">Already applies, but EA don’t have powers to enforce through the Environmental Permitting Regulations 2010. </w:t>
            </w:r>
          </w:p>
        </w:tc>
      </w:tr>
      <w:tr w:rsidR="001F1D85" w:rsidRPr="00965527" w:rsidTr="00CB5E33">
        <w:tc>
          <w:tcPr>
            <w:tcW w:w="0" w:type="auto"/>
          </w:tcPr>
          <w:p w:rsidR="001F1D85" w:rsidRPr="00965527" w:rsidRDefault="001F1D85" w:rsidP="0078420A">
            <w:pPr>
              <w:rPr>
                <w:sz w:val="22"/>
                <w:szCs w:val="22"/>
              </w:rPr>
            </w:pPr>
            <w:r w:rsidRPr="00965527">
              <w:rPr>
                <w:sz w:val="22"/>
                <w:szCs w:val="22"/>
              </w:rPr>
              <w:t>Groundwater Directive -2006/118/EC</w:t>
            </w:r>
          </w:p>
        </w:tc>
        <w:tc>
          <w:tcPr>
            <w:tcW w:w="0" w:type="auto"/>
          </w:tcPr>
          <w:p w:rsidR="001F1D85" w:rsidRPr="00965527" w:rsidRDefault="001F1D85" w:rsidP="0078420A">
            <w:pPr>
              <w:rPr>
                <w:sz w:val="22"/>
                <w:szCs w:val="22"/>
              </w:rPr>
            </w:pPr>
            <w:r w:rsidRPr="00965527">
              <w:rPr>
                <w:sz w:val="22"/>
                <w:szCs w:val="22"/>
              </w:rPr>
              <w:t>E</w:t>
            </w:r>
          </w:p>
        </w:tc>
        <w:tc>
          <w:tcPr>
            <w:tcW w:w="0" w:type="auto"/>
          </w:tcPr>
          <w:p w:rsidR="001F1D85" w:rsidRPr="00965527" w:rsidRDefault="001F1D85" w:rsidP="0078420A">
            <w:pPr>
              <w:rPr>
                <w:sz w:val="22"/>
                <w:szCs w:val="22"/>
              </w:rPr>
            </w:pPr>
            <w:r w:rsidRPr="00965527">
              <w:rPr>
                <w:sz w:val="22"/>
                <w:szCs w:val="22"/>
              </w:rPr>
              <w:t>Needs to be a regular groundwater monitoring and permitting regime carried out by EA in a similar but proportionate way compared to the mainland.</w:t>
            </w:r>
          </w:p>
        </w:tc>
      </w:tr>
      <w:tr w:rsidR="001F1D85" w:rsidRPr="00965527" w:rsidTr="00CB5E33">
        <w:tc>
          <w:tcPr>
            <w:tcW w:w="0" w:type="auto"/>
          </w:tcPr>
          <w:p w:rsidR="001F1D85" w:rsidRPr="00965527" w:rsidRDefault="001F1D85" w:rsidP="0078420A">
            <w:pPr>
              <w:rPr>
                <w:sz w:val="22"/>
                <w:szCs w:val="22"/>
              </w:rPr>
            </w:pPr>
            <w:r w:rsidRPr="00965527">
              <w:rPr>
                <w:sz w:val="22"/>
                <w:szCs w:val="22"/>
              </w:rPr>
              <w:t>The Nitrates Directive - 91/676/EEC</w:t>
            </w:r>
          </w:p>
        </w:tc>
        <w:tc>
          <w:tcPr>
            <w:tcW w:w="0" w:type="auto"/>
          </w:tcPr>
          <w:p w:rsidR="001F1D85" w:rsidRPr="00965527" w:rsidRDefault="001F1D85" w:rsidP="0078420A">
            <w:pPr>
              <w:rPr>
                <w:sz w:val="22"/>
                <w:szCs w:val="22"/>
              </w:rPr>
            </w:pPr>
            <w:r w:rsidRPr="00965527">
              <w:rPr>
                <w:sz w:val="22"/>
                <w:szCs w:val="22"/>
              </w:rPr>
              <w:t>E</w:t>
            </w:r>
          </w:p>
        </w:tc>
        <w:tc>
          <w:tcPr>
            <w:tcW w:w="0" w:type="auto"/>
          </w:tcPr>
          <w:p w:rsidR="001F1D85" w:rsidRPr="00965527" w:rsidRDefault="001F1D85" w:rsidP="00D003C7">
            <w:pPr>
              <w:rPr>
                <w:sz w:val="22"/>
                <w:szCs w:val="22"/>
              </w:rPr>
            </w:pPr>
            <w:r w:rsidRPr="00965527">
              <w:rPr>
                <w:sz w:val="22"/>
                <w:szCs w:val="22"/>
              </w:rPr>
              <w:t>May need Nitrate Vulnerable Zones for drinking water protection.</w:t>
            </w:r>
          </w:p>
        </w:tc>
      </w:tr>
      <w:tr w:rsidR="001F1D85" w:rsidRPr="00965527" w:rsidTr="00CB5E33">
        <w:tc>
          <w:tcPr>
            <w:tcW w:w="0" w:type="auto"/>
          </w:tcPr>
          <w:p w:rsidR="001F1D85" w:rsidRPr="00965527" w:rsidRDefault="001F1D85" w:rsidP="00123B48">
            <w:pPr>
              <w:rPr>
                <w:sz w:val="22"/>
                <w:szCs w:val="22"/>
              </w:rPr>
            </w:pPr>
            <w:r w:rsidRPr="00965527">
              <w:rPr>
                <w:sz w:val="22"/>
                <w:szCs w:val="22"/>
              </w:rPr>
              <w:t xml:space="preserve">Water Resources Act 1991 </w:t>
            </w:r>
          </w:p>
        </w:tc>
        <w:tc>
          <w:tcPr>
            <w:tcW w:w="0" w:type="auto"/>
          </w:tcPr>
          <w:p w:rsidR="001F1D85" w:rsidRPr="00965527" w:rsidRDefault="001F1D85" w:rsidP="00123B48">
            <w:pPr>
              <w:rPr>
                <w:sz w:val="22"/>
                <w:szCs w:val="22"/>
              </w:rPr>
            </w:pPr>
            <w:r w:rsidRPr="00965527">
              <w:rPr>
                <w:sz w:val="22"/>
                <w:szCs w:val="22"/>
              </w:rPr>
              <w:t>1</w:t>
            </w:r>
            <w:r w:rsidRPr="00965527">
              <w:rPr>
                <w:sz w:val="22"/>
                <w:szCs w:val="22"/>
                <w:vertAlign w:val="superscript"/>
              </w:rPr>
              <w:t>o</w:t>
            </w:r>
          </w:p>
        </w:tc>
        <w:tc>
          <w:tcPr>
            <w:tcW w:w="0" w:type="auto"/>
          </w:tcPr>
          <w:p w:rsidR="001F1D85" w:rsidRPr="00965527" w:rsidRDefault="001F1D85" w:rsidP="00D003C7">
            <w:pPr>
              <w:rPr>
                <w:sz w:val="22"/>
                <w:szCs w:val="22"/>
              </w:rPr>
            </w:pPr>
            <w:r w:rsidRPr="00965527">
              <w:rPr>
                <w:sz w:val="22"/>
                <w:szCs w:val="22"/>
              </w:rPr>
              <w:t xml:space="preserve">Main requirement will be Abstraction Licensing of the largest public supply boreholes. </w:t>
            </w:r>
          </w:p>
        </w:tc>
      </w:tr>
      <w:tr w:rsidR="001F1D85" w:rsidRPr="00965527" w:rsidTr="00FA58C3">
        <w:trPr>
          <w:trHeight w:val="353"/>
        </w:trPr>
        <w:tc>
          <w:tcPr>
            <w:tcW w:w="0" w:type="auto"/>
          </w:tcPr>
          <w:p w:rsidR="001F1D85" w:rsidRPr="00965527" w:rsidRDefault="001F1D85" w:rsidP="00792063">
            <w:pPr>
              <w:rPr>
                <w:b/>
                <w:sz w:val="22"/>
                <w:szCs w:val="22"/>
              </w:rPr>
            </w:pPr>
            <w:r w:rsidRPr="00965527">
              <w:rPr>
                <w:sz w:val="22"/>
                <w:szCs w:val="22"/>
              </w:rPr>
              <w:t>Water Industry Act 1991</w:t>
            </w:r>
          </w:p>
        </w:tc>
        <w:tc>
          <w:tcPr>
            <w:tcW w:w="0" w:type="auto"/>
          </w:tcPr>
          <w:p w:rsidR="001F1D85" w:rsidRPr="00965527" w:rsidRDefault="001F1D85" w:rsidP="00792063">
            <w:pPr>
              <w:rPr>
                <w:b/>
                <w:sz w:val="22"/>
                <w:szCs w:val="22"/>
              </w:rPr>
            </w:pPr>
            <w:r w:rsidRPr="00965527">
              <w:rPr>
                <w:sz w:val="22"/>
                <w:szCs w:val="22"/>
              </w:rPr>
              <w:t>1</w:t>
            </w:r>
            <w:r w:rsidRPr="00965527">
              <w:rPr>
                <w:sz w:val="22"/>
                <w:szCs w:val="22"/>
                <w:vertAlign w:val="superscript"/>
              </w:rPr>
              <w:t>o</w:t>
            </w:r>
          </w:p>
        </w:tc>
        <w:tc>
          <w:tcPr>
            <w:tcW w:w="0" w:type="auto"/>
          </w:tcPr>
          <w:p w:rsidR="001F1D85" w:rsidRPr="00965527" w:rsidRDefault="001F1D85" w:rsidP="00123B48">
            <w:pPr>
              <w:rPr>
                <w:b/>
                <w:sz w:val="22"/>
                <w:szCs w:val="22"/>
              </w:rPr>
            </w:pPr>
            <w:r w:rsidRPr="00965527">
              <w:rPr>
                <w:sz w:val="22"/>
                <w:szCs w:val="22"/>
              </w:rPr>
              <w:t>Water Resource Management Plans, drought and sewerage provisions.</w:t>
            </w:r>
          </w:p>
        </w:tc>
      </w:tr>
    </w:tbl>
    <w:p w:rsidR="00792063" w:rsidRPr="00965527" w:rsidRDefault="00792063" w:rsidP="00FA58C3">
      <w:pPr>
        <w:rPr>
          <w:b/>
          <w:sz w:val="22"/>
          <w:szCs w:val="22"/>
        </w:rPr>
      </w:pPr>
    </w:p>
    <w:sectPr w:rsidR="00792063" w:rsidRPr="00965527" w:rsidSect="00773649">
      <w:footerReference w:type="default" r:id="rId17"/>
      <w:pgSz w:w="11906" w:h="16838"/>
      <w:pgMar w:top="1135" w:right="1416"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542" w:rsidRDefault="00666542" w:rsidP="006C0F50">
      <w:r>
        <w:separator/>
      </w:r>
    </w:p>
  </w:endnote>
  <w:endnote w:type="continuationSeparator" w:id="0">
    <w:p w:rsidR="00666542" w:rsidRDefault="00666542" w:rsidP="006C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92" w:rsidRDefault="00666542">
    <w:pPr>
      <w:pStyle w:val="Footer"/>
      <w:jc w:val="center"/>
    </w:pPr>
    <w:r>
      <w:fldChar w:fldCharType="begin"/>
    </w:r>
    <w:r>
      <w:instrText xml:space="preserve"> PAGE   \* MERGEFORMAT </w:instrText>
    </w:r>
    <w:r>
      <w:fldChar w:fldCharType="separate"/>
    </w:r>
    <w:r w:rsidR="00AA237B">
      <w:rPr>
        <w:noProof/>
      </w:rPr>
      <w:t>1</w:t>
    </w:r>
    <w:r>
      <w:rPr>
        <w:noProof/>
      </w:rPr>
      <w:fldChar w:fldCharType="end"/>
    </w:r>
  </w:p>
  <w:p w:rsidR="00380092" w:rsidRDefault="00380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542" w:rsidRDefault="00666542" w:rsidP="006C0F50">
      <w:r>
        <w:separator/>
      </w:r>
    </w:p>
  </w:footnote>
  <w:footnote w:type="continuationSeparator" w:id="0">
    <w:p w:rsidR="00666542" w:rsidRDefault="00666542" w:rsidP="006C0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72BB"/>
    <w:multiLevelType w:val="hybridMultilevel"/>
    <w:tmpl w:val="A52AA926"/>
    <w:lvl w:ilvl="0" w:tplc="9E7692C0">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3E356E"/>
    <w:multiLevelType w:val="hybridMultilevel"/>
    <w:tmpl w:val="80E4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82225F"/>
    <w:multiLevelType w:val="hybridMultilevel"/>
    <w:tmpl w:val="96BC4180"/>
    <w:lvl w:ilvl="0" w:tplc="154455D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1F930ABE"/>
    <w:multiLevelType w:val="hybridMultilevel"/>
    <w:tmpl w:val="07C6B564"/>
    <w:lvl w:ilvl="0" w:tplc="812843A8">
      <w:start w:val="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nsid w:val="240927C7"/>
    <w:multiLevelType w:val="hybridMultilevel"/>
    <w:tmpl w:val="55F05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AE6EB7"/>
    <w:multiLevelType w:val="hybridMultilevel"/>
    <w:tmpl w:val="3C249A1A"/>
    <w:lvl w:ilvl="0" w:tplc="C6BA82C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4F84DAB"/>
    <w:multiLevelType w:val="hybridMultilevel"/>
    <w:tmpl w:val="3F842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41213A"/>
    <w:multiLevelType w:val="hybridMultilevel"/>
    <w:tmpl w:val="14BCAEA8"/>
    <w:lvl w:ilvl="0" w:tplc="F5788B94">
      <w:start w:val="1"/>
      <w:numFmt w:val="lowerLetter"/>
      <w:lvlText w:val="%1)"/>
      <w:lvlJc w:val="left"/>
      <w:pPr>
        <w:ind w:left="1080" w:hanging="720"/>
      </w:pPr>
      <w:rPr>
        <w:rFonts w:ascii="Arial" w:eastAsia="SimSun" w:hAnsi="Arial"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EF2052"/>
    <w:multiLevelType w:val="hybridMultilevel"/>
    <w:tmpl w:val="2918E4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427768"/>
    <w:multiLevelType w:val="hybridMultilevel"/>
    <w:tmpl w:val="9202FB5A"/>
    <w:lvl w:ilvl="0" w:tplc="FCE0A7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0DF2F39"/>
    <w:multiLevelType w:val="hybridMultilevel"/>
    <w:tmpl w:val="9484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7A1F76"/>
    <w:multiLevelType w:val="hybridMultilevel"/>
    <w:tmpl w:val="6FC2E114"/>
    <w:lvl w:ilvl="0" w:tplc="B46C2958">
      <w:start w:val="1"/>
      <w:numFmt w:val="upperRoman"/>
      <w:lvlText w:val="%1)"/>
      <w:lvlJc w:val="left"/>
      <w:pPr>
        <w:ind w:left="833" w:hanging="720"/>
      </w:pPr>
      <w:rPr>
        <w:rFonts w:hint="default"/>
        <w:u w:val="single"/>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2">
    <w:nsid w:val="61D85EE2"/>
    <w:multiLevelType w:val="hybridMultilevel"/>
    <w:tmpl w:val="67B27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751809"/>
    <w:multiLevelType w:val="hybridMultilevel"/>
    <w:tmpl w:val="39FA8F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973216E"/>
    <w:multiLevelType w:val="hybridMultilevel"/>
    <w:tmpl w:val="B25C271A"/>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731547D4"/>
    <w:multiLevelType w:val="hybridMultilevel"/>
    <w:tmpl w:val="FFCCF4B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A31797A"/>
    <w:multiLevelType w:val="hybridMultilevel"/>
    <w:tmpl w:val="F9C8FD90"/>
    <w:lvl w:ilvl="0" w:tplc="3C7A7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3"/>
  </w:num>
  <w:num w:numId="5">
    <w:abstractNumId w:val="15"/>
  </w:num>
  <w:num w:numId="6">
    <w:abstractNumId w:val="11"/>
  </w:num>
  <w:num w:numId="7">
    <w:abstractNumId w:val="7"/>
  </w:num>
  <w:num w:numId="8">
    <w:abstractNumId w:val="0"/>
  </w:num>
  <w:num w:numId="9">
    <w:abstractNumId w:val="16"/>
  </w:num>
  <w:num w:numId="10">
    <w:abstractNumId w:val="6"/>
  </w:num>
  <w:num w:numId="11">
    <w:abstractNumId w:val="8"/>
  </w:num>
  <w:num w:numId="12">
    <w:abstractNumId w:val="2"/>
  </w:num>
  <w:num w:numId="13">
    <w:abstractNumId w:val="3"/>
  </w:num>
  <w:num w:numId="14">
    <w:abstractNumId w:val="9"/>
  </w:num>
  <w:num w:numId="15">
    <w:abstractNumId w:val="14"/>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13"/>
    <w:rsid w:val="0000274F"/>
    <w:rsid w:val="00003839"/>
    <w:rsid w:val="000064C2"/>
    <w:rsid w:val="000102F2"/>
    <w:rsid w:val="00045460"/>
    <w:rsid w:val="00046524"/>
    <w:rsid w:val="000619B0"/>
    <w:rsid w:val="000632B6"/>
    <w:rsid w:val="00067BB9"/>
    <w:rsid w:val="00073F8E"/>
    <w:rsid w:val="0007627D"/>
    <w:rsid w:val="000803F5"/>
    <w:rsid w:val="00082EB6"/>
    <w:rsid w:val="000948A0"/>
    <w:rsid w:val="00097DC5"/>
    <w:rsid w:val="000A4F3E"/>
    <w:rsid w:val="000B208E"/>
    <w:rsid w:val="000B20E4"/>
    <w:rsid w:val="000B259A"/>
    <w:rsid w:val="000C7A99"/>
    <w:rsid w:val="000D5152"/>
    <w:rsid w:val="000D7F43"/>
    <w:rsid w:val="000D7F6A"/>
    <w:rsid w:val="0010262E"/>
    <w:rsid w:val="00107785"/>
    <w:rsid w:val="00112FF6"/>
    <w:rsid w:val="00123B48"/>
    <w:rsid w:val="00157D3A"/>
    <w:rsid w:val="001638B9"/>
    <w:rsid w:val="00165F87"/>
    <w:rsid w:val="00174579"/>
    <w:rsid w:val="00192384"/>
    <w:rsid w:val="001964DF"/>
    <w:rsid w:val="001A384C"/>
    <w:rsid w:val="001A6EE6"/>
    <w:rsid w:val="001B0E0C"/>
    <w:rsid w:val="001B7477"/>
    <w:rsid w:val="001C015A"/>
    <w:rsid w:val="001C4BED"/>
    <w:rsid w:val="001C741E"/>
    <w:rsid w:val="001E0174"/>
    <w:rsid w:val="001F1D85"/>
    <w:rsid w:val="00210F6F"/>
    <w:rsid w:val="00220EF8"/>
    <w:rsid w:val="00236B80"/>
    <w:rsid w:val="00267FC6"/>
    <w:rsid w:val="00272F84"/>
    <w:rsid w:val="002944F6"/>
    <w:rsid w:val="002B0FEB"/>
    <w:rsid w:val="002C63E7"/>
    <w:rsid w:val="002E4407"/>
    <w:rsid w:val="002E5295"/>
    <w:rsid w:val="002E6DAE"/>
    <w:rsid w:val="002E79C5"/>
    <w:rsid w:val="002F5088"/>
    <w:rsid w:val="002F7826"/>
    <w:rsid w:val="003041F7"/>
    <w:rsid w:val="00307CD5"/>
    <w:rsid w:val="00314531"/>
    <w:rsid w:val="00315195"/>
    <w:rsid w:val="0032111A"/>
    <w:rsid w:val="003216D2"/>
    <w:rsid w:val="003260D5"/>
    <w:rsid w:val="00330F59"/>
    <w:rsid w:val="00331E89"/>
    <w:rsid w:val="00333E11"/>
    <w:rsid w:val="00337B1F"/>
    <w:rsid w:val="0034321C"/>
    <w:rsid w:val="00347C56"/>
    <w:rsid w:val="003762F5"/>
    <w:rsid w:val="00380092"/>
    <w:rsid w:val="003814B0"/>
    <w:rsid w:val="003A544A"/>
    <w:rsid w:val="003B2D48"/>
    <w:rsid w:val="003B40D7"/>
    <w:rsid w:val="003D6626"/>
    <w:rsid w:val="003D6B3E"/>
    <w:rsid w:val="003E06F7"/>
    <w:rsid w:val="003E6176"/>
    <w:rsid w:val="00402AD1"/>
    <w:rsid w:val="004079F7"/>
    <w:rsid w:val="00412E26"/>
    <w:rsid w:val="004161FF"/>
    <w:rsid w:val="0042383B"/>
    <w:rsid w:val="004302B9"/>
    <w:rsid w:val="00432C00"/>
    <w:rsid w:val="0043342B"/>
    <w:rsid w:val="00436837"/>
    <w:rsid w:val="00440F74"/>
    <w:rsid w:val="0045022F"/>
    <w:rsid w:val="00450B41"/>
    <w:rsid w:val="00464CCA"/>
    <w:rsid w:val="00474C8E"/>
    <w:rsid w:val="00487966"/>
    <w:rsid w:val="004A6EF0"/>
    <w:rsid w:val="004A7183"/>
    <w:rsid w:val="004B3EE1"/>
    <w:rsid w:val="004C25E6"/>
    <w:rsid w:val="004C3400"/>
    <w:rsid w:val="004C45E2"/>
    <w:rsid w:val="004C65CE"/>
    <w:rsid w:val="004F5327"/>
    <w:rsid w:val="004F5A46"/>
    <w:rsid w:val="00510AE9"/>
    <w:rsid w:val="00510DF0"/>
    <w:rsid w:val="005218F9"/>
    <w:rsid w:val="00521925"/>
    <w:rsid w:val="00533690"/>
    <w:rsid w:val="00535673"/>
    <w:rsid w:val="00541A1C"/>
    <w:rsid w:val="005436E9"/>
    <w:rsid w:val="005441FD"/>
    <w:rsid w:val="0055462D"/>
    <w:rsid w:val="005552C3"/>
    <w:rsid w:val="00571055"/>
    <w:rsid w:val="0057388A"/>
    <w:rsid w:val="00593C69"/>
    <w:rsid w:val="005968F1"/>
    <w:rsid w:val="005A0EB5"/>
    <w:rsid w:val="005A15CB"/>
    <w:rsid w:val="005A2F72"/>
    <w:rsid w:val="005B7B74"/>
    <w:rsid w:val="005C0178"/>
    <w:rsid w:val="005E2A5D"/>
    <w:rsid w:val="005F7B45"/>
    <w:rsid w:val="00634363"/>
    <w:rsid w:val="00635756"/>
    <w:rsid w:val="00647A87"/>
    <w:rsid w:val="00647EF3"/>
    <w:rsid w:val="00664C84"/>
    <w:rsid w:val="00666542"/>
    <w:rsid w:val="00681E1B"/>
    <w:rsid w:val="0068546F"/>
    <w:rsid w:val="00691A6F"/>
    <w:rsid w:val="00695231"/>
    <w:rsid w:val="006B24CF"/>
    <w:rsid w:val="006B2D27"/>
    <w:rsid w:val="006B4662"/>
    <w:rsid w:val="006B6E4E"/>
    <w:rsid w:val="006C0F50"/>
    <w:rsid w:val="006D5503"/>
    <w:rsid w:val="006E0B0C"/>
    <w:rsid w:val="006F428D"/>
    <w:rsid w:val="00701260"/>
    <w:rsid w:val="007318A6"/>
    <w:rsid w:val="0073572F"/>
    <w:rsid w:val="00735D89"/>
    <w:rsid w:val="007413A7"/>
    <w:rsid w:val="007422CC"/>
    <w:rsid w:val="0074354A"/>
    <w:rsid w:val="007444FF"/>
    <w:rsid w:val="00745125"/>
    <w:rsid w:val="00745A16"/>
    <w:rsid w:val="00753945"/>
    <w:rsid w:val="007635A8"/>
    <w:rsid w:val="007718AD"/>
    <w:rsid w:val="00773642"/>
    <w:rsid w:val="00773649"/>
    <w:rsid w:val="007774B7"/>
    <w:rsid w:val="0078420A"/>
    <w:rsid w:val="00786AF9"/>
    <w:rsid w:val="00790A15"/>
    <w:rsid w:val="00792063"/>
    <w:rsid w:val="00792D7A"/>
    <w:rsid w:val="00796C90"/>
    <w:rsid w:val="007C1A3B"/>
    <w:rsid w:val="007E4528"/>
    <w:rsid w:val="00801AEF"/>
    <w:rsid w:val="00812187"/>
    <w:rsid w:val="0082488C"/>
    <w:rsid w:val="00825599"/>
    <w:rsid w:val="00827E0F"/>
    <w:rsid w:val="008309C1"/>
    <w:rsid w:val="00840823"/>
    <w:rsid w:val="00850CA5"/>
    <w:rsid w:val="00880969"/>
    <w:rsid w:val="00884A18"/>
    <w:rsid w:val="0088666A"/>
    <w:rsid w:val="00886C3D"/>
    <w:rsid w:val="0089461D"/>
    <w:rsid w:val="0089472C"/>
    <w:rsid w:val="00896A16"/>
    <w:rsid w:val="00897E1E"/>
    <w:rsid w:val="008A79F8"/>
    <w:rsid w:val="008B0196"/>
    <w:rsid w:val="008D1A77"/>
    <w:rsid w:val="008D3039"/>
    <w:rsid w:val="008D4179"/>
    <w:rsid w:val="008E3683"/>
    <w:rsid w:val="008E5E6D"/>
    <w:rsid w:val="008F0E1D"/>
    <w:rsid w:val="008F34A2"/>
    <w:rsid w:val="00903AD9"/>
    <w:rsid w:val="00904F10"/>
    <w:rsid w:val="00916E6C"/>
    <w:rsid w:val="0092120C"/>
    <w:rsid w:val="00934FB7"/>
    <w:rsid w:val="00947439"/>
    <w:rsid w:val="00947DE0"/>
    <w:rsid w:val="00965527"/>
    <w:rsid w:val="00967CE0"/>
    <w:rsid w:val="00971D3A"/>
    <w:rsid w:val="00991633"/>
    <w:rsid w:val="00993178"/>
    <w:rsid w:val="00993BE9"/>
    <w:rsid w:val="009B4E28"/>
    <w:rsid w:val="009C0859"/>
    <w:rsid w:val="009D32BB"/>
    <w:rsid w:val="009E15FF"/>
    <w:rsid w:val="009F0A8E"/>
    <w:rsid w:val="009F1058"/>
    <w:rsid w:val="009F65F8"/>
    <w:rsid w:val="00A068B4"/>
    <w:rsid w:val="00A1487C"/>
    <w:rsid w:val="00A161D4"/>
    <w:rsid w:val="00A24DB1"/>
    <w:rsid w:val="00A34DA5"/>
    <w:rsid w:val="00A40CE9"/>
    <w:rsid w:val="00A42C50"/>
    <w:rsid w:val="00A43756"/>
    <w:rsid w:val="00A4675E"/>
    <w:rsid w:val="00A46BBA"/>
    <w:rsid w:val="00A72A55"/>
    <w:rsid w:val="00A76B28"/>
    <w:rsid w:val="00A9766E"/>
    <w:rsid w:val="00AA0CFD"/>
    <w:rsid w:val="00AA237B"/>
    <w:rsid w:val="00AA5DA1"/>
    <w:rsid w:val="00AB1118"/>
    <w:rsid w:val="00AB5171"/>
    <w:rsid w:val="00AB5304"/>
    <w:rsid w:val="00AD625F"/>
    <w:rsid w:val="00AD6663"/>
    <w:rsid w:val="00AE262F"/>
    <w:rsid w:val="00AE4849"/>
    <w:rsid w:val="00B13485"/>
    <w:rsid w:val="00B175F8"/>
    <w:rsid w:val="00B22E61"/>
    <w:rsid w:val="00B24D63"/>
    <w:rsid w:val="00B27D38"/>
    <w:rsid w:val="00B42302"/>
    <w:rsid w:val="00B553C1"/>
    <w:rsid w:val="00B573D3"/>
    <w:rsid w:val="00B63AC9"/>
    <w:rsid w:val="00B7489C"/>
    <w:rsid w:val="00B752A0"/>
    <w:rsid w:val="00B7788A"/>
    <w:rsid w:val="00B808BC"/>
    <w:rsid w:val="00B877B1"/>
    <w:rsid w:val="00B919E3"/>
    <w:rsid w:val="00B92BCE"/>
    <w:rsid w:val="00B92E7A"/>
    <w:rsid w:val="00BA7CD9"/>
    <w:rsid w:val="00BD3571"/>
    <w:rsid w:val="00BE5091"/>
    <w:rsid w:val="00C02E64"/>
    <w:rsid w:val="00C03D9A"/>
    <w:rsid w:val="00C0443C"/>
    <w:rsid w:val="00C0641A"/>
    <w:rsid w:val="00C222A8"/>
    <w:rsid w:val="00C25A09"/>
    <w:rsid w:val="00C27BF5"/>
    <w:rsid w:val="00C36A37"/>
    <w:rsid w:val="00C42E47"/>
    <w:rsid w:val="00C501AB"/>
    <w:rsid w:val="00C624A9"/>
    <w:rsid w:val="00C6746E"/>
    <w:rsid w:val="00C841C1"/>
    <w:rsid w:val="00CA24E8"/>
    <w:rsid w:val="00CA7BE8"/>
    <w:rsid w:val="00CB0AE0"/>
    <w:rsid w:val="00CB22C3"/>
    <w:rsid w:val="00CB3E4A"/>
    <w:rsid w:val="00CB5E33"/>
    <w:rsid w:val="00CB7D7B"/>
    <w:rsid w:val="00CC5C7F"/>
    <w:rsid w:val="00CC60C0"/>
    <w:rsid w:val="00CD2D50"/>
    <w:rsid w:val="00CF107B"/>
    <w:rsid w:val="00CF5223"/>
    <w:rsid w:val="00D003C7"/>
    <w:rsid w:val="00D03164"/>
    <w:rsid w:val="00D134DB"/>
    <w:rsid w:val="00D148D1"/>
    <w:rsid w:val="00D14FAB"/>
    <w:rsid w:val="00D325B6"/>
    <w:rsid w:val="00D32B9C"/>
    <w:rsid w:val="00D337B6"/>
    <w:rsid w:val="00D5673C"/>
    <w:rsid w:val="00D63374"/>
    <w:rsid w:val="00D65F5F"/>
    <w:rsid w:val="00D66CCE"/>
    <w:rsid w:val="00D67CD0"/>
    <w:rsid w:val="00D70D68"/>
    <w:rsid w:val="00D72C47"/>
    <w:rsid w:val="00D74865"/>
    <w:rsid w:val="00D77984"/>
    <w:rsid w:val="00D83DF8"/>
    <w:rsid w:val="00D9041D"/>
    <w:rsid w:val="00DA3664"/>
    <w:rsid w:val="00DA6612"/>
    <w:rsid w:val="00DA6E2D"/>
    <w:rsid w:val="00DB04FB"/>
    <w:rsid w:val="00DB7DD1"/>
    <w:rsid w:val="00DD026D"/>
    <w:rsid w:val="00DD593B"/>
    <w:rsid w:val="00DF1135"/>
    <w:rsid w:val="00DF79C4"/>
    <w:rsid w:val="00E03136"/>
    <w:rsid w:val="00E5283D"/>
    <w:rsid w:val="00E625B8"/>
    <w:rsid w:val="00E8534B"/>
    <w:rsid w:val="00EA0245"/>
    <w:rsid w:val="00EB0B96"/>
    <w:rsid w:val="00EB327D"/>
    <w:rsid w:val="00EC1602"/>
    <w:rsid w:val="00EC63DF"/>
    <w:rsid w:val="00EE23A8"/>
    <w:rsid w:val="00EE4E77"/>
    <w:rsid w:val="00EF1B0B"/>
    <w:rsid w:val="00EF5ACE"/>
    <w:rsid w:val="00F066C8"/>
    <w:rsid w:val="00F07101"/>
    <w:rsid w:val="00F12713"/>
    <w:rsid w:val="00F25BFF"/>
    <w:rsid w:val="00F37D99"/>
    <w:rsid w:val="00F411AF"/>
    <w:rsid w:val="00F55944"/>
    <w:rsid w:val="00F5668C"/>
    <w:rsid w:val="00F60A8E"/>
    <w:rsid w:val="00F8473E"/>
    <w:rsid w:val="00F866A2"/>
    <w:rsid w:val="00F9051F"/>
    <w:rsid w:val="00FA1002"/>
    <w:rsid w:val="00FA5720"/>
    <w:rsid w:val="00FA58C3"/>
    <w:rsid w:val="00FB2244"/>
    <w:rsid w:val="00FB2A1A"/>
    <w:rsid w:val="00FF6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13"/>
    <w:rPr>
      <w:rFonts w:ascii="Arial" w:eastAsia="Times New Roman" w:hAnsi="Arial"/>
      <w:sz w:val="24"/>
      <w:szCs w:val="24"/>
      <w:lang w:eastAsia="en-US"/>
    </w:rPr>
  </w:style>
  <w:style w:type="paragraph" w:styleId="Heading1">
    <w:name w:val="heading 1"/>
    <w:basedOn w:val="Normal"/>
    <w:next w:val="Normal"/>
    <w:link w:val="Heading1Char"/>
    <w:qFormat/>
    <w:rsid w:val="00F12713"/>
    <w:pPr>
      <w:keepNext/>
      <w:tabs>
        <w:tab w:val="right" w:pos="10206"/>
      </w:tabs>
      <w:spacing w:before="240" w:after="60"/>
      <w:outlineLvl w:val="0"/>
    </w:pPr>
    <w:rPr>
      <w:rFonts w:ascii="Arial Bold" w:hAnsi="Arial Bold" w:cs="Arial"/>
      <w:b/>
      <w:bCs/>
      <w:spacing w:val="-4"/>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713"/>
    <w:rPr>
      <w:rFonts w:ascii="Arial Bold" w:eastAsia="Times New Roman" w:hAnsi="Arial Bold" w:cs="Arial"/>
      <w:b/>
      <w:bCs/>
      <w:spacing w:val="-4"/>
      <w:kern w:val="32"/>
      <w:sz w:val="32"/>
      <w:szCs w:val="32"/>
    </w:rPr>
  </w:style>
  <w:style w:type="paragraph" w:customStyle="1" w:styleId="IATableLabel">
    <w:name w:val="IATableLabel"/>
    <w:basedOn w:val="Normal"/>
    <w:link w:val="IATableLabelCharChar"/>
    <w:rsid w:val="00F12713"/>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basedOn w:val="DefaultParagraphFont"/>
    <w:link w:val="IATableLabel"/>
    <w:rsid w:val="00F12713"/>
    <w:rPr>
      <w:rFonts w:ascii="Arial" w:eastAsia="SimSun" w:hAnsi="Arial" w:cs="Times New Roman"/>
      <w:b/>
      <w:color w:val="000000"/>
      <w:spacing w:val="-5"/>
      <w:sz w:val="20"/>
      <w:szCs w:val="20"/>
      <w:lang w:eastAsia="zh-CN"/>
    </w:rPr>
  </w:style>
  <w:style w:type="paragraph" w:customStyle="1" w:styleId="IASpacer">
    <w:name w:val="IASpacer"/>
    <w:basedOn w:val="Normal"/>
    <w:rsid w:val="00F12713"/>
    <w:pPr>
      <w:spacing w:line="80" w:lineRule="exact"/>
    </w:pPr>
    <w:rPr>
      <w:rFonts w:eastAsia="SimSun"/>
      <w:sz w:val="22"/>
      <w:lang w:eastAsia="zh-CN"/>
    </w:rPr>
  </w:style>
  <w:style w:type="paragraph" w:styleId="Title">
    <w:name w:val="Title"/>
    <w:basedOn w:val="Normal"/>
    <w:link w:val="TitleChar"/>
    <w:qFormat/>
    <w:rsid w:val="00F12713"/>
    <w:pPr>
      <w:ind w:left="113"/>
      <w:outlineLvl w:val="0"/>
    </w:pPr>
    <w:rPr>
      <w:rFonts w:cs="Arial"/>
      <w:bCs/>
      <w:color w:val="FFFFFF"/>
      <w:kern w:val="28"/>
      <w:sz w:val="32"/>
      <w:szCs w:val="32"/>
    </w:rPr>
  </w:style>
  <w:style w:type="character" w:customStyle="1" w:styleId="TitleChar">
    <w:name w:val="Title Char"/>
    <w:basedOn w:val="DefaultParagraphFont"/>
    <w:link w:val="Title"/>
    <w:rsid w:val="00F12713"/>
    <w:rPr>
      <w:rFonts w:ascii="Arial" w:eastAsia="Times New Roman" w:hAnsi="Arial" w:cs="Arial"/>
      <w:bCs/>
      <w:color w:val="FFFFFF"/>
      <w:kern w:val="28"/>
      <w:sz w:val="32"/>
      <w:szCs w:val="32"/>
    </w:rPr>
  </w:style>
  <w:style w:type="paragraph" w:customStyle="1" w:styleId="IAHeadLabel">
    <w:name w:val="IAHeadLabel"/>
    <w:basedOn w:val="IATableLabel"/>
    <w:link w:val="IAHeadLabelChar"/>
    <w:rsid w:val="00F12713"/>
    <w:pPr>
      <w:spacing w:before="110"/>
      <w:ind w:left="0" w:right="0"/>
    </w:pPr>
  </w:style>
  <w:style w:type="character" w:customStyle="1" w:styleId="IAHeadLabelChar">
    <w:name w:val="IAHeadLabel Char"/>
    <w:basedOn w:val="IATableLabelCharChar"/>
    <w:link w:val="IAHeadLabel"/>
    <w:rsid w:val="00F12713"/>
    <w:rPr>
      <w:rFonts w:ascii="Arial" w:eastAsia="SimSun" w:hAnsi="Arial" w:cs="Times New Roman"/>
      <w:b/>
      <w:color w:val="000000"/>
      <w:spacing w:val="-5"/>
      <w:sz w:val="20"/>
      <w:szCs w:val="20"/>
      <w:lang w:eastAsia="zh-CN"/>
    </w:rPr>
  </w:style>
  <w:style w:type="paragraph" w:customStyle="1" w:styleId="IAHeadTitle">
    <w:name w:val="IAHeadTitle"/>
    <w:basedOn w:val="Normal"/>
    <w:link w:val="IAHeadTitleChar"/>
    <w:rsid w:val="00F12713"/>
    <w:pPr>
      <w:ind w:right="57"/>
    </w:pPr>
    <w:rPr>
      <w:rFonts w:eastAsia="SimSun"/>
      <w:b/>
      <w:spacing w:val="-6"/>
      <w:sz w:val="28"/>
      <w:szCs w:val="28"/>
      <w:lang w:eastAsia="zh-CN"/>
    </w:rPr>
  </w:style>
  <w:style w:type="paragraph" w:customStyle="1" w:styleId="IAHeadLabel0">
    <w:name w:val="IAHeadLabel0"/>
    <w:basedOn w:val="IAHeadLabel"/>
    <w:next w:val="IAHeadTitle"/>
    <w:rsid w:val="00F12713"/>
    <w:pPr>
      <w:spacing w:before="0"/>
    </w:pPr>
  </w:style>
  <w:style w:type="paragraph" w:customStyle="1" w:styleId="IATableLines">
    <w:name w:val="IATableLines"/>
    <w:basedOn w:val="Normal"/>
    <w:link w:val="IATableLinesChar"/>
    <w:rsid w:val="00F12713"/>
    <w:pPr>
      <w:ind w:left="113" w:right="113"/>
    </w:pPr>
    <w:rPr>
      <w:rFonts w:eastAsia="SimSun"/>
      <w:spacing w:val="-5"/>
      <w:sz w:val="22"/>
      <w:szCs w:val="20"/>
      <w:lang w:eastAsia="zh-CN"/>
    </w:rPr>
  </w:style>
  <w:style w:type="paragraph" w:customStyle="1" w:styleId="IASpacer2">
    <w:name w:val="IASpacer2"/>
    <w:basedOn w:val="IASpacer"/>
    <w:rsid w:val="00F12713"/>
    <w:pPr>
      <w:spacing w:line="40" w:lineRule="exact"/>
    </w:pPr>
  </w:style>
  <w:style w:type="paragraph" w:customStyle="1" w:styleId="IATitle">
    <w:name w:val="IATitle"/>
    <w:basedOn w:val="Normal"/>
    <w:rsid w:val="00F12713"/>
    <w:pPr>
      <w:ind w:left="113"/>
    </w:pPr>
    <w:rPr>
      <w:rFonts w:eastAsia="SimSun" w:cs="Arial"/>
      <w:sz w:val="20"/>
    </w:rPr>
  </w:style>
  <w:style w:type="paragraph" w:customStyle="1" w:styleId="IANo">
    <w:name w:val="IANo"/>
    <w:basedOn w:val="Normal"/>
    <w:link w:val="IANoChar"/>
    <w:rsid w:val="00F12713"/>
    <w:pPr>
      <w:ind w:left="113"/>
    </w:pPr>
    <w:rPr>
      <w:sz w:val="20"/>
      <w:szCs w:val="22"/>
    </w:rPr>
  </w:style>
  <w:style w:type="character" w:customStyle="1" w:styleId="IAHeadTitleChar">
    <w:name w:val="IAHeadTitle Char"/>
    <w:basedOn w:val="DefaultParagraphFont"/>
    <w:link w:val="IAHeadTitle"/>
    <w:rsid w:val="00F12713"/>
    <w:rPr>
      <w:rFonts w:ascii="Arial" w:eastAsia="SimSun" w:hAnsi="Arial" w:cs="Times New Roman"/>
      <w:b/>
      <w:spacing w:val="-6"/>
      <w:sz w:val="28"/>
      <w:szCs w:val="28"/>
      <w:lang w:eastAsia="zh-CN"/>
    </w:rPr>
  </w:style>
  <w:style w:type="character" w:customStyle="1" w:styleId="IANoChar">
    <w:name w:val="IANo Char"/>
    <w:basedOn w:val="IAHeadTitleChar"/>
    <w:link w:val="IANo"/>
    <w:rsid w:val="00F12713"/>
    <w:rPr>
      <w:rFonts w:ascii="Arial" w:eastAsia="Times New Roman" w:hAnsi="Arial" w:cs="Times New Roman"/>
      <w:b/>
      <w:spacing w:val="-6"/>
      <w:sz w:val="20"/>
      <w:szCs w:val="28"/>
      <w:lang w:eastAsia="zh-CN"/>
    </w:rPr>
  </w:style>
  <w:style w:type="paragraph" w:customStyle="1" w:styleId="IALeadDept">
    <w:name w:val="IALeadDept"/>
    <w:basedOn w:val="Normal"/>
    <w:rsid w:val="00F12713"/>
    <w:pPr>
      <w:ind w:left="113"/>
    </w:pPr>
    <w:rPr>
      <w:rFonts w:eastAsia="Arial Unicode MS" w:cs="Arial"/>
      <w:noProof/>
      <w:sz w:val="20"/>
    </w:rPr>
  </w:style>
  <w:style w:type="paragraph" w:customStyle="1" w:styleId="IAOtherDepts">
    <w:name w:val="IAOtherDepts"/>
    <w:basedOn w:val="IATableLabel"/>
    <w:rsid w:val="00F12713"/>
    <w:pPr>
      <w:spacing w:after="0"/>
    </w:pPr>
    <w:rPr>
      <w:b w:val="0"/>
    </w:rPr>
  </w:style>
  <w:style w:type="paragraph" w:customStyle="1" w:styleId="IAIOQ1">
    <w:name w:val="IAIOQ1"/>
    <w:basedOn w:val="IATableLabel"/>
    <w:rsid w:val="00F12713"/>
  </w:style>
  <w:style w:type="paragraph" w:customStyle="1" w:styleId="IAIOQ2">
    <w:name w:val="IAIOQ2"/>
    <w:basedOn w:val="IATableLabel"/>
    <w:rsid w:val="00F12713"/>
  </w:style>
  <w:style w:type="paragraph" w:customStyle="1" w:styleId="IAIOQ3">
    <w:name w:val="IAIOQ3"/>
    <w:basedOn w:val="IATableLabel"/>
    <w:rsid w:val="00F12713"/>
  </w:style>
  <w:style w:type="character" w:customStyle="1" w:styleId="IATableLinesChar">
    <w:name w:val="IATableLines Char"/>
    <w:basedOn w:val="DefaultParagraphFont"/>
    <w:link w:val="IATableLines"/>
    <w:rsid w:val="00F12713"/>
    <w:rPr>
      <w:rFonts w:ascii="Arial" w:eastAsia="SimSun" w:hAnsi="Arial" w:cs="Times New Roman"/>
      <w:spacing w:val="-5"/>
      <w:szCs w:val="20"/>
      <w:lang w:eastAsia="zh-CN"/>
    </w:rPr>
  </w:style>
  <w:style w:type="character" w:styleId="Hyperlink">
    <w:name w:val="Hyperlink"/>
    <w:basedOn w:val="DefaultParagraphFont"/>
    <w:rsid w:val="00F12713"/>
    <w:rPr>
      <w:color w:val="0000FF"/>
      <w:u w:val="single"/>
    </w:rPr>
  </w:style>
  <w:style w:type="paragraph" w:styleId="Header">
    <w:name w:val="header"/>
    <w:basedOn w:val="Normal"/>
    <w:link w:val="HeaderChar"/>
    <w:uiPriority w:val="99"/>
    <w:rsid w:val="00F12713"/>
    <w:pPr>
      <w:tabs>
        <w:tab w:val="center" w:pos="4513"/>
        <w:tab w:val="right" w:pos="9026"/>
      </w:tabs>
    </w:pPr>
  </w:style>
  <w:style w:type="character" w:customStyle="1" w:styleId="HeaderChar">
    <w:name w:val="Header Char"/>
    <w:basedOn w:val="DefaultParagraphFont"/>
    <w:link w:val="Header"/>
    <w:uiPriority w:val="99"/>
    <w:rsid w:val="00F12713"/>
    <w:rPr>
      <w:rFonts w:ascii="Arial" w:eastAsia="Times New Roman" w:hAnsi="Arial" w:cs="Times New Roman"/>
      <w:sz w:val="24"/>
      <w:szCs w:val="24"/>
    </w:rPr>
  </w:style>
  <w:style w:type="table" w:styleId="TableGrid">
    <w:name w:val="Table Grid"/>
    <w:basedOn w:val="TableNormal"/>
    <w:uiPriority w:val="59"/>
    <w:rsid w:val="00F127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C0F50"/>
    <w:pPr>
      <w:tabs>
        <w:tab w:val="center" w:pos="4513"/>
        <w:tab w:val="right" w:pos="9026"/>
      </w:tabs>
    </w:pPr>
  </w:style>
  <w:style w:type="character" w:customStyle="1" w:styleId="FooterChar">
    <w:name w:val="Footer Char"/>
    <w:basedOn w:val="DefaultParagraphFont"/>
    <w:link w:val="Footer"/>
    <w:uiPriority w:val="99"/>
    <w:rsid w:val="006C0F50"/>
    <w:rPr>
      <w:rFonts w:ascii="Arial" w:eastAsia="Times New Roman" w:hAnsi="Arial"/>
      <w:sz w:val="24"/>
      <w:szCs w:val="24"/>
      <w:lang w:eastAsia="en-US"/>
    </w:rPr>
  </w:style>
  <w:style w:type="paragraph" w:styleId="FootnoteText">
    <w:name w:val="footnote text"/>
    <w:basedOn w:val="Normal"/>
    <w:link w:val="FootnoteTextChar"/>
    <w:uiPriority w:val="99"/>
    <w:semiHidden/>
    <w:unhideWhenUsed/>
    <w:rsid w:val="00647EF3"/>
    <w:rPr>
      <w:sz w:val="20"/>
      <w:szCs w:val="20"/>
    </w:rPr>
  </w:style>
  <w:style w:type="character" w:customStyle="1" w:styleId="FootnoteTextChar">
    <w:name w:val="Footnote Text Char"/>
    <w:basedOn w:val="DefaultParagraphFont"/>
    <w:link w:val="FootnoteText"/>
    <w:uiPriority w:val="99"/>
    <w:semiHidden/>
    <w:rsid w:val="00647EF3"/>
    <w:rPr>
      <w:rFonts w:ascii="Arial" w:eastAsia="Times New Roman" w:hAnsi="Arial"/>
      <w:lang w:eastAsia="en-US"/>
    </w:rPr>
  </w:style>
  <w:style w:type="character" w:styleId="FootnoteReference">
    <w:name w:val="footnote reference"/>
    <w:basedOn w:val="DefaultParagraphFont"/>
    <w:uiPriority w:val="99"/>
    <w:rsid w:val="00647EF3"/>
    <w:rPr>
      <w:sz w:val="22"/>
      <w:vertAlign w:val="superscript"/>
    </w:rPr>
  </w:style>
  <w:style w:type="character" w:styleId="FollowedHyperlink">
    <w:name w:val="FollowedHyperlink"/>
    <w:basedOn w:val="DefaultParagraphFont"/>
    <w:uiPriority w:val="99"/>
    <w:semiHidden/>
    <w:unhideWhenUsed/>
    <w:rsid w:val="008309C1"/>
    <w:rPr>
      <w:color w:val="800080"/>
      <w:u w:val="single"/>
    </w:rPr>
  </w:style>
  <w:style w:type="character" w:styleId="CommentReference">
    <w:name w:val="annotation reference"/>
    <w:basedOn w:val="DefaultParagraphFont"/>
    <w:uiPriority w:val="99"/>
    <w:semiHidden/>
    <w:unhideWhenUsed/>
    <w:rsid w:val="00B92E7A"/>
    <w:rPr>
      <w:sz w:val="16"/>
      <w:szCs w:val="16"/>
    </w:rPr>
  </w:style>
  <w:style w:type="paragraph" w:styleId="CommentText">
    <w:name w:val="annotation text"/>
    <w:basedOn w:val="Normal"/>
    <w:link w:val="CommentTextChar"/>
    <w:uiPriority w:val="99"/>
    <w:semiHidden/>
    <w:unhideWhenUsed/>
    <w:rsid w:val="00B92E7A"/>
    <w:rPr>
      <w:sz w:val="20"/>
      <w:szCs w:val="20"/>
    </w:rPr>
  </w:style>
  <w:style w:type="character" w:customStyle="1" w:styleId="CommentTextChar">
    <w:name w:val="Comment Text Char"/>
    <w:basedOn w:val="DefaultParagraphFont"/>
    <w:link w:val="CommentText"/>
    <w:uiPriority w:val="99"/>
    <w:semiHidden/>
    <w:rsid w:val="00B92E7A"/>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B92E7A"/>
    <w:rPr>
      <w:b/>
      <w:bCs/>
    </w:rPr>
  </w:style>
  <w:style w:type="character" w:customStyle="1" w:styleId="CommentSubjectChar">
    <w:name w:val="Comment Subject Char"/>
    <w:basedOn w:val="CommentTextChar"/>
    <w:link w:val="CommentSubject"/>
    <w:uiPriority w:val="99"/>
    <w:semiHidden/>
    <w:rsid w:val="00B92E7A"/>
    <w:rPr>
      <w:rFonts w:ascii="Arial" w:eastAsia="Times New Roman" w:hAnsi="Arial"/>
      <w:b/>
      <w:bCs/>
      <w:lang w:eastAsia="en-US"/>
    </w:rPr>
  </w:style>
  <w:style w:type="paragraph" w:styleId="BalloonText">
    <w:name w:val="Balloon Text"/>
    <w:basedOn w:val="Normal"/>
    <w:link w:val="BalloonTextChar"/>
    <w:uiPriority w:val="99"/>
    <w:semiHidden/>
    <w:unhideWhenUsed/>
    <w:rsid w:val="00B92E7A"/>
    <w:rPr>
      <w:rFonts w:ascii="Tahoma" w:hAnsi="Tahoma" w:cs="Tahoma"/>
      <w:sz w:val="16"/>
      <w:szCs w:val="16"/>
    </w:rPr>
  </w:style>
  <w:style w:type="character" w:customStyle="1" w:styleId="BalloonTextChar">
    <w:name w:val="Balloon Text Char"/>
    <w:basedOn w:val="DefaultParagraphFont"/>
    <w:link w:val="BalloonText"/>
    <w:uiPriority w:val="99"/>
    <w:semiHidden/>
    <w:rsid w:val="00B92E7A"/>
    <w:rPr>
      <w:rFonts w:ascii="Tahoma" w:eastAsia="Times New Roman" w:hAnsi="Tahoma" w:cs="Tahoma"/>
      <w:sz w:val="16"/>
      <w:szCs w:val="16"/>
      <w:lang w:eastAsia="en-US"/>
    </w:rPr>
  </w:style>
  <w:style w:type="paragraph" w:styleId="EndnoteText">
    <w:name w:val="endnote text"/>
    <w:basedOn w:val="Normal"/>
    <w:link w:val="EndnoteTextChar"/>
    <w:uiPriority w:val="99"/>
    <w:semiHidden/>
    <w:unhideWhenUsed/>
    <w:rsid w:val="00AD625F"/>
    <w:rPr>
      <w:sz w:val="20"/>
      <w:szCs w:val="20"/>
    </w:rPr>
  </w:style>
  <w:style w:type="character" w:customStyle="1" w:styleId="EndnoteTextChar">
    <w:name w:val="Endnote Text Char"/>
    <w:basedOn w:val="DefaultParagraphFont"/>
    <w:link w:val="EndnoteText"/>
    <w:uiPriority w:val="99"/>
    <w:semiHidden/>
    <w:rsid w:val="00AD625F"/>
    <w:rPr>
      <w:rFonts w:ascii="Arial" w:eastAsia="Times New Roman" w:hAnsi="Arial"/>
      <w:lang w:eastAsia="en-US"/>
    </w:rPr>
  </w:style>
  <w:style w:type="character" w:styleId="EndnoteReference">
    <w:name w:val="endnote reference"/>
    <w:basedOn w:val="DefaultParagraphFont"/>
    <w:uiPriority w:val="99"/>
    <w:semiHidden/>
    <w:unhideWhenUsed/>
    <w:rsid w:val="00AD625F"/>
    <w:rPr>
      <w:vertAlign w:val="superscript"/>
    </w:rPr>
  </w:style>
  <w:style w:type="character" w:customStyle="1" w:styleId="st1">
    <w:name w:val="st1"/>
    <w:basedOn w:val="DefaultParagraphFont"/>
    <w:rsid w:val="00886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13"/>
    <w:rPr>
      <w:rFonts w:ascii="Arial" w:eastAsia="Times New Roman" w:hAnsi="Arial"/>
      <w:sz w:val="24"/>
      <w:szCs w:val="24"/>
      <w:lang w:eastAsia="en-US"/>
    </w:rPr>
  </w:style>
  <w:style w:type="paragraph" w:styleId="Heading1">
    <w:name w:val="heading 1"/>
    <w:basedOn w:val="Normal"/>
    <w:next w:val="Normal"/>
    <w:link w:val="Heading1Char"/>
    <w:qFormat/>
    <w:rsid w:val="00F12713"/>
    <w:pPr>
      <w:keepNext/>
      <w:tabs>
        <w:tab w:val="right" w:pos="10206"/>
      </w:tabs>
      <w:spacing w:before="240" w:after="60"/>
      <w:outlineLvl w:val="0"/>
    </w:pPr>
    <w:rPr>
      <w:rFonts w:ascii="Arial Bold" w:hAnsi="Arial Bold" w:cs="Arial"/>
      <w:b/>
      <w:bCs/>
      <w:spacing w:val="-4"/>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713"/>
    <w:rPr>
      <w:rFonts w:ascii="Arial Bold" w:eastAsia="Times New Roman" w:hAnsi="Arial Bold" w:cs="Arial"/>
      <w:b/>
      <w:bCs/>
      <w:spacing w:val="-4"/>
      <w:kern w:val="32"/>
      <w:sz w:val="32"/>
      <w:szCs w:val="32"/>
    </w:rPr>
  </w:style>
  <w:style w:type="paragraph" w:customStyle="1" w:styleId="IATableLabel">
    <w:name w:val="IATableLabel"/>
    <w:basedOn w:val="Normal"/>
    <w:link w:val="IATableLabelCharChar"/>
    <w:rsid w:val="00F12713"/>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basedOn w:val="DefaultParagraphFont"/>
    <w:link w:val="IATableLabel"/>
    <w:rsid w:val="00F12713"/>
    <w:rPr>
      <w:rFonts w:ascii="Arial" w:eastAsia="SimSun" w:hAnsi="Arial" w:cs="Times New Roman"/>
      <w:b/>
      <w:color w:val="000000"/>
      <w:spacing w:val="-5"/>
      <w:sz w:val="20"/>
      <w:szCs w:val="20"/>
      <w:lang w:eastAsia="zh-CN"/>
    </w:rPr>
  </w:style>
  <w:style w:type="paragraph" w:customStyle="1" w:styleId="IASpacer">
    <w:name w:val="IASpacer"/>
    <w:basedOn w:val="Normal"/>
    <w:rsid w:val="00F12713"/>
    <w:pPr>
      <w:spacing w:line="80" w:lineRule="exact"/>
    </w:pPr>
    <w:rPr>
      <w:rFonts w:eastAsia="SimSun"/>
      <w:sz w:val="22"/>
      <w:lang w:eastAsia="zh-CN"/>
    </w:rPr>
  </w:style>
  <w:style w:type="paragraph" w:styleId="Title">
    <w:name w:val="Title"/>
    <w:basedOn w:val="Normal"/>
    <w:link w:val="TitleChar"/>
    <w:qFormat/>
    <w:rsid w:val="00F12713"/>
    <w:pPr>
      <w:ind w:left="113"/>
      <w:outlineLvl w:val="0"/>
    </w:pPr>
    <w:rPr>
      <w:rFonts w:cs="Arial"/>
      <w:bCs/>
      <w:color w:val="FFFFFF"/>
      <w:kern w:val="28"/>
      <w:sz w:val="32"/>
      <w:szCs w:val="32"/>
    </w:rPr>
  </w:style>
  <w:style w:type="character" w:customStyle="1" w:styleId="TitleChar">
    <w:name w:val="Title Char"/>
    <w:basedOn w:val="DefaultParagraphFont"/>
    <w:link w:val="Title"/>
    <w:rsid w:val="00F12713"/>
    <w:rPr>
      <w:rFonts w:ascii="Arial" w:eastAsia="Times New Roman" w:hAnsi="Arial" w:cs="Arial"/>
      <w:bCs/>
      <w:color w:val="FFFFFF"/>
      <w:kern w:val="28"/>
      <w:sz w:val="32"/>
      <w:szCs w:val="32"/>
    </w:rPr>
  </w:style>
  <w:style w:type="paragraph" w:customStyle="1" w:styleId="IAHeadLabel">
    <w:name w:val="IAHeadLabel"/>
    <w:basedOn w:val="IATableLabel"/>
    <w:link w:val="IAHeadLabelChar"/>
    <w:rsid w:val="00F12713"/>
    <w:pPr>
      <w:spacing w:before="110"/>
      <w:ind w:left="0" w:right="0"/>
    </w:pPr>
  </w:style>
  <w:style w:type="character" w:customStyle="1" w:styleId="IAHeadLabelChar">
    <w:name w:val="IAHeadLabel Char"/>
    <w:basedOn w:val="IATableLabelCharChar"/>
    <w:link w:val="IAHeadLabel"/>
    <w:rsid w:val="00F12713"/>
    <w:rPr>
      <w:rFonts w:ascii="Arial" w:eastAsia="SimSun" w:hAnsi="Arial" w:cs="Times New Roman"/>
      <w:b/>
      <w:color w:val="000000"/>
      <w:spacing w:val="-5"/>
      <w:sz w:val="20"/>
      <w:szCs w:val="20"/>
      <w:lang w:eastAsia="zh-CN"/>
    </w:rPr>
  </w:style>
  <w:style w:type="paragraph" w:customStyle="1" w:styleId="IAHeadTitle">
    <w:name w:val="IAHeadTitle"/>
    <w:basedOn w:val="Normal"/>
    <w:link w:val="IAHeadTitleChar"/>
    <w:rsid w:val="00F12713"/>
    <w:pPr>
      <w:ind w:right="57"/>
    </w:pPr>
    <w:rPr>
      <w:rFonts w:eastAsia="SimSun"/>
      <w:b/>
      <w:spacing w:val="-6"/>
      <w:sz w:val="28"/>
      <w:szCs w:val="28"/>
      <w:lang w:eastAsia="zh-CN"/>
    </w:rPr>
  </w:style>
  <w:style w:type="paragraph" w:customStyle="1" w:styleId="IAHeadLabel0">
    <w:name w:val="IAHeadLabel0"/>
    <w:basedOn w:val="IAHeadLabel"/>
    <w:next w:val="IAHeadTitle"/>
    <w:rsid w:val="00F12713"/>
    <w:pPr>
      <w:spacing w:before="0"/>
    </w:pPr>
  </w:style>
  <w:style w:type="paragraph" w:customStyle="1" w:styleId="IATableLines">
    <w:name w:val="IATableLines"/>
    <w:basedOn w:val="Normal"/>
    <w:link w:val="IATableLinesChar"/>
    <w:rsid w:val="00F12713"/>
    <w:pPr>
      <w:ind w:left="113" w:right="113"/>
    </w:pPr>
    <w:rPr>
      <w:rFonts w:eastAsia="SimSun"/>
      <w:spacing w:val="-5"/>
      <w:sz w:val="22"/>
      <w:szCs w:val="20"/>
      <w:lang w:eastAsia="zh-CN"/>
    </w:rPr>
  </w:style>
  <w:style w:type="paragraph" w:customStyle="1" w:styleId="IASpacer2">
    <w:name w:val="IASpacer2"/>
    <w:basedOn w:val="IASpacer"/>
    <w:rsid w:val="00F12713"/>
    <w:pPr>
      <w:spacing w:line="40" w:lineRule="exact"/>
    </w:pPr>
  </w:style>
  <w:style w:type="paragraph" w:customStyle="1" w:styleId="IATitle">
    <w:name w:val="IATitle"/>
    <w:basedOn w:val="Normal"/>
    <w:rsid w:val="00F12713"/>
    <w:pPr>
      <w:ind w:left="113"/>
    </w:pPr>
    <w:rPr>
      <w:rFonts w:eastAsia="SimSun" w:cs="Arial"/>
      <w:sz w:val="20"/>
    </w:rPr>
  </w:style>
  <w:style w:type="paragraph" w:customStyle="1" w:styleId="IANo">
    <w:name w:val="IANo"/>
    <w:basedOn w:val="Normal"/>
    <w:link w:val="IANoChar"/>
    <w:rsid w:val="00F12713"/>
    <w:pPr>
      <w:ind w:left="113"/>
    </w:pPr>
    <w:rPr>
      <w:sz w:val="20"/>
      <w:szCs w:val="22"/>
    </w:rPr>
  </w:style>
  <w:style w:type="character" w:customStyle="1" w:styleId="IAHeadTitleChar">
    <w:name w:val="IAHeadTitle Char"/>
    <w:basedOn w:val="DefaultParagraphFont"/>
    <w:link w:val="IAHeadTitle"/>
    <w:rsid w:val="00F12713"/>
    <w:rPr>
      <w:rFonts w:ascii="Arial" w:eastAsia="SimSun" w:hAnsi="Arial" w:cs="Times New Roman"/>
      <w:b/>
      <w:spacing w:val="-6"/>
      <w:sz w:val="28"/>
      <w:szCs w:val="28"/>
      <w:lang w:eastAsia="zh-CN"/>
    </w:rPr>
  </w:style>
  <w:style w:type="character" w:customStyle="1" w:styleId="IANoChar">
    <w:name w:val="IANo Char"/>
    <w:basedOn w:val="IAHeadTitleChar"/>
    <w:link w:val="IANo"/>
    <w:rsid w:val="00F12713"/>
    <w:rPr>
      <w:rFonts w:ascii="Arial" w:eastAsia="Times New Roman" w:hAnsi="Arial" w:cs="Times New Roman"/>
      <w:b/>
      <w:spacing w:val="-6"/>
      <w:sz w:val="20"/>
      <w:szCs w:val="28"/>
      <w:lang w:eastAsia="zh-CN"/>
    </w:rPr>
  </w:style>
  <w:style w:type="paragraph" w:customStyle="1" w:styleId="IALeadDept">
    <w:name w:val="IALeadDept"/>
    <w:basedOn w:val="Normal"/>
    <w:rsid w:val="00F12713"/>
    <w:pPr>
      <w:ind w:left="113"/>
    </w:pPr>
    <w:rPr>
      <w:rFonts w:eastAsia="Arial Unicode MS" w:cs="Arial"/>
      <w:noProof/>
      <w:sz w:val="20"/>
    </w:rPr>
  </w:style>
  <w:style w:type="paragraph" w:customStyle="1" w:styleId="IAOtherDepts">
    <w:name w:val="IAOtherDepts"/>
    <w:basedOn w:val="IATableLabel"/>
    <w:rsid w:val="00F12713"/>
    <w:pPr>
      <w:spacing w:after="0"/>
    </w:pPr>
    <w:rPr>
      <w:b w:val="0"/>
    </w:rPr>
  </w:style>
  <w:style w:type="paragraph" w:customStyle="1" w:styleId="IAIOQ1">
    <w:name w:val="IAIOQ1"/>
    <w:basedOn w:val="IATableLabel"/>
    <w:rsid w:val="00F12713"/>
  </w:style>
  <w:style w:type="paragraph" w:customStyle="1" w:styleId="IAIOQ2">
    <w:name w:val="IAIOQ2"/>
    <w:basedOn w:val="IATableLabel"/>
    <w:rsid w:val="00F12713"/>
  </w:style>
  <w:style w:type="paragraph" w:customStyle="1" w:styleId="IAIOQ3">
    <w:name w:val="IAIOQ3"/>
    <w:basedOn w:val="IATableLabel"/>
    <w:rsid w:val="00F12713"/>
  </w:style>
  <w:style w:type="character" w:customStyle="1" w:styleId="IATableLinesChar">
    <w:name w:val="IATableLines Char"/>
    <w:basedOn w:val="DefaultParagraphFont"/>
    <w:link w:val="IATableLines"/>
    <w:rsid w:val="00F12713"/>
    <w:rPr>
      <w:rFonts w:ascii="Arial" w:eastAsia="SimSun" w:hAnsi="Arial" w:cs="Times New Roman"/>
      <w:spacing w:val="-5"/>
      <w:szCs w:val="20"/>
      <w:lang w:eastAsia="zh-CN"/>
    </w:rPr>
  </w:style>
  <w:style w:type="character" w:styleId="Hyperlink">
    <w:name w:val="Hyperlink"/>
    <w:basedOn w:val="DefaultParagraphFont"/>
    <w:rsid w:val="00F12713"/>
    <w:rPr>
      <w:color w:val="0000FF"/>
      <w:u w:val="single"/>
    </w:rPr>
  </w:style>
  <w:style w:type="paragraph" w:styleId="Header">
    <w:name w:val="header"/>
    <w:basedOn w:val="Normal"/>
    <w:link w:val="HeaderChar"/>
    <w:uiPriority w:val="99"/>
    <w:rsid w:val="00F12713"/>
    <w:pPr>
      <w:tabs>
        <w:tab w:val="center" w:pos="4513"/>
        <w:tab w:val="right" w:pos="9026"/>
      </w:tabs>
    </w:pPr>
  </w:style>
  <w:style w:type="character" w:customStyle="1" w:styleId="HeaderChar">
    <w:name w:val="Header Char"/>
    <w:basedOn w:val="DefaultParagraphFont"/>
    <w:link w:val="Header"/>
    <w:uiPriority w:val="99"/>
    <w:rsid w:val="00F12713"/>
    <w:rPr>
      <w:rFonts w:ascii="Arial" w:eastAsia="Times New Roman" w:hAnsi="Arial" w:cs="Times New Roman"/>
      <w:sz w:val="24"/>
      <w:szCs w:val="24"/>
    </w:rPr>
  </w:style>
  <w:style w:type="table" w:styleId="TableGrid">
    <w:name w:val="Table Grid"/>
    <w:basedOn w:val="TableNormal"/>
    <w:uiPriority w:val="59"/>
    <w:rsid w:val="00F127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C0F50"/>
    <w:pPr>
      <w:tabs>
        <w:tab w:val="center" w:pos="4513"/>
        <w:tab w:val="right" w:pos="9026"/>
      </w:tabs>
    </w:pPr>
  </w:style>
  <w:style w:type="character" w:customStyle="1" w:styleId="FooterChar">
    <w:name w:val="Footer Char"/>
    <w:basedOn w:val="DefaultParagraphFont"/>
    <w:link w:val="Footer"/>
    <w:uiPriority w:val="99"/>
    <w:rsid w:val="006C0F50"/>
    <w:rPr>
      <w:rFonts w:ascii="Arial" w:eastAsia="Times New Roman" w:hAnsi="Arial"/>
      <w:sz w:val="24"/>
      <w:szCs w:val="24"/>
      <w:lang w:eastAsia="en-US"/>
    </w:rPr>
  </w:style>
  <w:style w:type="paragraph" w:styleId="FootnoteText">
    <w:name w:val="footnote text"/>
    <w:basedOn w:val="Normal"/>
    <w:link w:val="FootnoteTextChar"/>
    <w:uiPriority w:val="99"/>
    <w:semiHidden/>
    <w:unhideWhenUsed/>
    <w:rsid w:val="00647EF3"/>
    <w:rPr>
      <w:sz w:val="20"/>
      <w:szCs w:val="20"/>
    </w:rPr>
  </w:style>
  <w:style w:type="character" w:customStyle="1" w:styleId="FootnoteTextChar">
    <w:name w:val="Footnote Text Char"/>
    <w:basedOn w:val="DefaultParagraphFont"/>
    <w:link w:val="FootnoteText"/>
    <w:uiPriority w:val="99"/>
    <w:semiHidden/>
    <w:rsid w:val="00647EF3"/>
    <w:rPr>
      <w:rFonts w:ascii="Arial" w:eastAsia="Times New Roman" w:hAnsi="Arial"/>
      <w:lang w:eastAsia="en-US"/>
    </w:rPr>
  </w:style>
  <w:style w:type="character" w:styleId="FootnoteReference">
    <w:name w:val="footnote reference"/>
    <w:basedOn w:val="DefaultParagraphFont"/>
    <w:uiPriority w:val="99"/>
    <w:rsid w:val="00647EF3"/>
    <w:rPr>
      <w:sz w:val="22"/>
      <w:vertAlign w:val="superscript"/>
    </w:rPr>
  </w:style>
  <w:style w:type="character" w:styleId="FollowedHyperlink">
    <w:name w:val="FollowedHyperlink"/>
    <w:basedOn w:val="DefaultParagraphFont"/>
    <w:uiPriority w:val="99"/>
    <w:semiHidden/>
    <w:unhideWhenUsed/>
    <w:rsid w:val="008309C1"/>
    <w:rPr>
      <w:color w:val="800080"/>
      <w:u w:val="single"/>
    </w:rPr>
  </w:style>
  <w:style w:type="character" w:styleId="CommentReference">
    <w:name w:val="annotation reference"/>
    <w:basedOn w:val="DefaultParagraphFont"/>
    <w:uiPriority w:val="99"/>
    <w:semiHidden/>
    <w:unhideWhenUsed/>
    <w:rsid w:val="00B92E7A"/>
    <w:rPr>
      <w:sz w:val="16"/>
      <w:szCs w:val="16"/>
    </w:rPr>
  </w:style>
  <w:style w:type="paragraph" w:styleId="CommentText">
    <w:name w:val="annotation text"/>
    <w:basedOn w:val="Normal"/>
    <w:link w:val="CommentTextChar"/>
    <w:uiPriority w:val="99"/>
    <w:semiHidden/>
    <w:unhideWhenUsed/>
    <w:rsid w:val="00B92E7A"/>
    <w:rPr>
      <w:sz w:val="20"/>
      <w:szCs w:val="20"/>
    </w:rPr>
  </w:style>
  <w:style w:type="character" w:customStyle="1" w:styleId="CommentTextChar">
    <w:name w:val="Comment Text Char"/>
    <w:basedOn w:val="DefaultParagraphFont"/>
    <w:link w:val="CommentText"/>
    <w:uiPriority w:val="99"/>
    <w:semiHidden/>
    <w:rsid w:val="00B92E7A"/>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B92E7A"/>
    <w:rPr>
      <w:b/>
      <w:bCs/>
    </w:rPr>
  </w:style>
  <w:style w:type="character" w:customStyle="1" w:styleId="CommentSubjectChar">
    <w:name w:val="Comment Subject Char"/>
    <w:basedOn w:val="CommentTextChar"/>
    <w:link w:val="CommentSubject"/>
    <w:uiPriority w:val="99"/>
    <w:semiHidden/>
    <w:rsid w:val="00B92E7A"/>
    <w:rPr>
      <w:rFonts w:ascii="Arial" w:eastAsia="Times New Roman" w:hAnsi="Arial"/>
      <w:b/>
      <w:bCs/>
      <w:lang w:eastAsia="en-US"/>
    </w:rPr>
  </w:style>
  <w:style w:type="paragraph" w:styleId="BalloonText">
    <w:name w:val="Balloon Text"/>
    <w:basedOn w:val="Normal"/>
    <w:link w:val="BalloonTextChar"/>
    <w:uiPriority w:val="99"/>
    <w:semiHidden/>
    <w:unhideWhenUsed/>
    <w:rsid w:val="00B92E7A"/>
    <w:rPr>
      <w:rFonts w:ascii="Tahoma" w:hAnsi="Tahoma" w:cs="Tahoma"/>
      <w:sz w:val="16"/>
      <w:szCs w:val="16"/>
    </w:rPr>
  </w:style>
  <w:style w:type="character" w:customStyle="1" w:styleId="BalloonTextChar">
    <w:name w:val="Balloon Text Char"/>
    <w:basedOn w:val="DefaultParagraphFont"/>
    <w:link w:val="BalloonText"/>
    <w:uiPriority w:val="99"/>
    <w:semiHidden/>
    <w:rsid w:val="00B92E7A"/>
    <w:rPr>
      <w:rFonts w:ascii="Tahoma" w:eastAsia="Times New Roman" w:hAnsi="Tahoma" w:cs="Tahoma"/>
      <w:sz w:val="16"/>
      <w:szCs w:val="16"/>
      <w:lang w:eastAsia="en-US"/>
    </w:rPr>
  </w:style>
  <w:style w:type="paragraph" w:styleId="EndnoteText">
    <w:name w:val="endnote text"/>
    <w:basedOn w:val="Normal"/>
    <w:link w:val="EndnoteTextChar"/>
    <w:uiPriority w:val="99"/>
    <w:semiHidden/>
    <w:unhideWhenUsed/>
    <w:rsid w:val="00AD625F"/>
    <w:rPr>
      <w:sz w:val="20"/>
      <w:szCs w:val="20"/>
    </w:rPr>
  </w:style>
  <w:style w:type="character" w:customStyle="1" w:styleId="EndnoteTextChar">
    <w:name w:val="Endnote Text Char"/>
    <w:basedOn w:val="DefaultParagraphFont"/>
    <w:link w:val="EndnoteText"/>
    <w:uiPriority w:val="99"/>
    <w:semiHidden/>
    <w:rsid w:val="00AD625F"/>
    <w:rPr>
      <w:rFonts w:ascii="Arial" w:eastAsia="Times New Roman" w:hAnsi="Arial"/>
      <w:lang w:eastAsia="en-US"/>
    </w:rPr>
  </w:style>
  <w:style w:type="character" w:styleId="EndnoteReference">
    <w:name w:val="endnote reference"/>
    <w:basedOn w:val="DefaultParagraphFont"/>
    <w:uiPriority w:val="99"/>
    <w:semiHidden/>
    <w:unhideWhenUsed/>
    <w:rsid w:val="00AD625F"/>
    <w:rPr>
      <w:vertAlign w:val="superscript"/>
    </w:rPr>
  </w:style>
  <w:style w:type="character" w:customStyle="1" w:styleId="st1">
    <w:name w:val="st1"/>
    <w:basedOn w:val="DefaultParagraphFont"/>
    <w:rsid w:val="0088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77544">
      <w:bodyDiv w:val="1"/>
      <w:marLeft w:val="0"/>
      <w:marRight w:val="0"/>
      <w:marTop w:val="0"/>
      <w:marBottom w:val="0"/>
      <w:divBdr>
        <w:top w:val="none" w:sz="0" w:space="0" w:color="auto"/>
        <w:left w:val="none" w:sz="0" w:space="0" w:color="auto"/>
        <w:bottom w:val="none" w:sz="0" w:space="0" w:color="auto"/>
        <w:right w:val="none" w:sz="0" w:space="0" w:color="auto"/>
      </w:divBdr>
    </w:div>
    <w:div w:id="465437701">
      <w:bodyDiv w:val="1"/>
      <w:marLeft w:val="0"/>
      <w:marRight w:val="0"/>
      <w:marTop w:val="0"/>
      <w:marBottom w:val="0"/>
      <w:divBdr>
        <w:top w:val="none" w:sz="0" w:space="0" w:color="auto"/>
        <w:left w:val="none" w:sz="0" w:space="0" w:color="auto"/>
        <w:bottom w:val="none" w:sz="0" w:space="0" w:color="auto"/>
        <w:right w:val="none" w:sz="0" w:space="0" w:color="auto"/>
      </w:divBdr>
    </w:div>
    <w:div w:id="501167911">
      <w:bodyDiv w:val="1"/>
      <w:marLeft w:val="0"/>
      <w:marRight w:val="0"/>
      <w:marTop w:val="0"/>
      <w:marBottom w:val="0"/>
      <w:divBdr>
        <w:top w:val="none" w:sz="0" w:space="0" w:color="auto"/>
        <w:left w:val="none" w:sz="0" w:space="0" w:color="auto"/>
        <w:bottom w:val="none" w:sz="0" w:space="0" w:color="auto"/>
        <w:right w:val="none" w:sz="0" w:space="0" w:color="auto"/>
      </w:divBdr>
    </w:div>
    <w:div w:id="1204094492">
      <w:bodyDiv w:val="1"/>
      <w:marLeft w:val="0"/>
      <w:marRight w:val="0"/>
      <w:marTop w:val="0"/>
      <w:marBottom w:val="0"/>
      <w:divBdr>
        <w:top w:val="none" w:sz="0" w:space="0" w:color="auto"/>
        <w:left w:val="none" w:sz="0" w:space="0" w:color="auto"/>
        <w:bottom w:val="none" w:sz="0" w:space="0" w:color="auto"/>
        <w:right w:val="none" w:sz="0" w:space="0" w:color="auto"/>
      </w:divBdr>
    </w:div>
    <w:div w:id="17408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x933229\AppData\Local\Microsoft\Windows\Temporary%20Internet%20Files\Lists\RMT\AllItem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ill.davies@defra.gsi.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ort" ma:contentTypeID="0x0101003E29A6DDF0996A4096339A2D84BE0F470100CF0959652FC48F43B20707182E97E1B9" ma:contentTypeVersion="0" ma:contentTypeDescription="This item is routine/low value and will have a short fixed life-span" ma:contentTypeScope="" ma:versionID="5081b16e43f7abc2cca6bb477fb6c04c">
  <xsd:schema xmlns:xsd="http://www.w3.org/2001/XMLSchema" xmlns:p="http://schemas.microsoft.com/office/2006/metadata/properties" xmlns:ns3="6a76965f-01bc-4a02-9687-b600f327c1dd" targetNamespace="http://schemas.microsoft.com/office/2006/metadata/properties" ma:root="true" ma:fieldsID="356ed2f2e9c6d847b7373277f8e07ea8" ns3:_="">
    <xsd:import namespace="6a76965f-01bc-4a02-9687-b600f327c1dd"/>
    <xsd:element name="properties">
      <xsd:complexType>
        <xsd:sequence>
          <xsd:element name="documentManagement">
            <xsd:complexType>
              <xsd:all>
                <xsd:element ref="ns3:Owners_x0020_directorate" minOccurs="0"/>
                <xsd:element ref="ns3:Owners_x0020_grade" minOccurs="0"/>
                <xsd:element ref="ns3:Owners_x0020_group" minOccurs="0"/>
                <xsd:element ref="ns3:Owners_x0020_organisation" minOccurs="0"/>
                <xsd:element ref="ns3:Owners_x0020_unit" minOccurs="0"/>
                <xsd:element ref="ns3:Programme_x0020_code" minOccurs="0"/>
                <xsd:element ref="ns3:Programme_x0020_manager" minOccurs="0"/>
                <xsd:element ref="ns3:Project_x0020_code" minOccurs="0"/>
                <xsd:element ref="ns3:Project_x0020_manager" minOccurs="0"/>
                <xsd:element ref="ns3:Owners_x0020_manager" minOccurs="0"/>
              </xsd:all>
            </xsd:complexType>
          </xsd:element>
        </xsd:sequence>
      </xsd:complexType>
    </xsd:element>
  </xsd:schema>
  <xsd:schema xmlns:xsd="http://www.w3.org/2001/XMLSchema" xmlns:dms="http://schemas.microsoft.com/office/2006/documentManagement/types" targetNamespace="6a76965f-01bc-4a02-9687-b600f327c1dd" elementFormDefault="qualified">
    <xsd:import namespace="http://schemas.microsoft.com/office/2006/documentManagement/types"/>
    <xsd:element name="Owners_x0020_directorate" ma:index="9" nillable="true" ma:displayName="Owners directorate" ma:hidden="true" ma:internalName="Owners_x0020_directorate" ma:readOnly="false">
      <xsd:simpleType>
        <xsd:restriction base="dms:Text">
          <xsd:maxLength value="255"/>
        </xsd:restriction>
      </xsd:simpleType>
    </xsd:element>
    <xsd:element name="Owners_x0020_grade" ma:index="10" nillable="true" ma:displayName="Owners grade" ma:hidden="true" ma:internalName="Owners_x0020_grade" ma:readOnly="false">
      <xsd:simpleType>
        <xsd:restriction base="dms:Text">
          <xsd:maxLength value="255"/>
        </xsd:restriction>
      </xsd:simpleType>
    </xsd:element>
    <xsd:element name="Owners_x0020_group" ma:index="11" nillable="true" ma:displayName="Owners group" ma:default="" ma:hidden="true" ma:internalName="Owners_x0020_group" ma:readOnly="false">
      <xsd:simpleType>
        <xsd:restriction base="dms:Text">
          <xsd:maxLength value="255"/>
        </xsd:restriction>
      </xsd:simpleType>
    </xsd:element>
    <xsd:element name="Owners_x0020_organisation" ma:index="12" nillable="true" ma:displayName="Owners organisation" ma:hidden="true" ma:internalName="Owners_x0020_organisation" ma:readOnly="false">
      <xsd:simpleType>
        <xsd:restriction base="dms:Text">
          <xsd:maxLength value="255"/>
        </xsd:restriction>
      </xsd:simpleType>
    </xsd:element>
    <xsd:element name="Owners_x0020_unit" ma:index="13" nillable="true" ma:displayName="Owners unit" ma:hidden="true" ma:internalName="Owners_x0020_unit" ma:readOnly="false">
      <xsd:simpleType>
        <xsd:restriction base="dms:Text">
          <xsd:maxLength value="255"/>
        </xsd:restriction>
      </xsd:simpleType>
    </xsd:element>
    <xsd:element name="Programme_x0020_code" ma:index="14" nillable="true" ma:displayName="Programme code" ma:hidden="true" ma:internalName="Programme_x0020_code" ma:readOnly="false">
      <xsd:simpleType>
        <xsd:restriction base="dms:Text">
          <xsd:maxLength value="255"/>
        </xsd:restriction>
      </xsd:simpleType>
    </xsd:element>
    <xsd:element name="Programme_x0020_manager" ma:index="15" nillable="true" ma:displayName="Programme manager" ma:hidden="true" ma:list="UserInfo" ma:internalName="Programme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code" ma:index="16" nillable="true" ma:displayName="Project code" ma:hidden="true" ma:internalName="Project_x0020_code" ma:readOnly="false">
      <xsd:simpleType>
        <xsd:restriction base="dms:Text">
          <xsd:maxLength value="255"/>
        </xsd:restriction>
      </xsd:simpleType>
    </xsd:element>
    <xsd:element name="Project_x0020_manager" ma:index="17" nillable="true" ma:displayName="Project manager" ma:hidden="true" ma:list="UserInfo"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s_x0020_manager" ma:index="18" nillable="true" ma:displayName="Owners manager" ma:hidden="true" ma:list="UserInfo" ma:internalName="Owners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Owners_x0020_manager xmlns="6a76965f-01bc-4a02-9687-b600f327c1dd">
      <UserInfo xmlns="6a76965f-01bc-4a02-9687-b600f327c1dd">
        <DisplayName xmlns="6a76965f-01bc-4a02-9687-b600f327c1dd"/>
        <AccountId xmlns="6a76965f-01bc-4a02-9687-b600f327c1dd" xsi:nil="true"/>
        <AccountType xmlns="6a76965f-01bc-4a02-9687-b600f327c1dd"/>
      </UserInfo>
    </Owners_x0020_manager>
    <Owners_x0020_group xmlns="6a76965f-01bc-4a02-9687-b600f327c1dd" xsi:nil="true"/>
    <Owners_x0020_unit xmlns="6a76965f-01bc-4a02-9687-b600f327c1dd" xsi:nil="true"/>
    <Project_x0020_code xmlns="6a76965f-01bc-4a02-9687-b600f327c1dd" xsi:nil="true"/>
    <Owners_x0020_grade xmlns="6a76965f-01bc-4a02-9687-b600f327c1dd" xsi:nil="true"/>
    <Project_x0020_manager xmlns="6a76965f-01bc-4a02-9687-b600f327c1dd">
      <UserInfo xmlns="6a76965f-01bc-4a02-9687-b600f327c1dd">
        <DisplayName xmlns="6a76965f-01bc-4a02-9687-b600f327c1dd"/>
        <AccountId xmlns="6a76965f-01bc-4a02-9687-b600f327c1dd" xsi:nil="true"/>
        <AccountType xmlns="6a76965f-01bc-4a02-9687-b600f327c1dd"/>
      </UserInfo>
    </Project_x0020_manager>
    <Owners_x0020_organisation xmlns="6a76965f-01bc-4a02-9687-b600f327c1dd" xsi:nil="true"/>
    <Programme_x0020_code xmlns="6a76965f-01bc-4a02-9687-b600f327c1dd" xsi:nil="true"/>
    <Owners_x0020_directorate xmlns="6a76965f-01bc-4a02-9687-b600f327c1dd" xsi:nil="true"/>
    <Programme_x0020_manager xmlns="6a76965f-01bc-4a02-9687-b600f327c1dd">
      <UserInfo xmlns="6a76965f-01bc-4a02-9687-b600f327c1dd">
        <DisplayName xmlns="6a76965f-01bc-4a02-9687-b600f327c1dd"/>
        <AccountId xmlns="6a76965f-01bc-4a02-9687-b600f327c1dd" xsi:nil="true"/>
        <AccountType xmlns="6a76965f-01bc-4a02-9687-b600f327c1dd"/>
      </UserInfo>
    </Programme_x0020_manag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8E1C-FC36-43D5-A793-FDB4CF907192}">
  <ds:schemaRefs>
    <ds:schemaRef ds:uri="http://schemas.microsoft.com/sharepoint/v3/contenttype/forms"/>
  </ds:schemaRefs>
</ds:datastoreItem>
</file>

<file path=customXml/itemProps2.xml><?xml version="1.0" encoding="utf-8"?>
<ds:datastoreItem xmlns:ds="http://schemas.openxmlformats.org/officeDocument/2006/customXml" ds:itemID="{069B3E8B-78A1-4CDD-9CE4-F7D447C71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965f-01bc-4a02-9687-b600f327c1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80FC9C-83C4-4B54-936A-05ADC6A8E5DF}">
  <ds:schemaRefs>
    <ds:schemaRef ds:uri="http://schemas.microsoft.com/office/2006/metadata/longProperties"/>
  </ds:schemaRefs>
</ds:datastoreItem>
</file>

<file path=customXml/itemProps4.xml><?xml version="1.0" encoding="utf-8"?>
<ds:datastoreItem xmlns:ds="http://schemas.openxmlformats.org/officeDocument/2006/customXml" ds:itemID="{592C9C42-FC0A-440A-86FE-904A537EDA8C}">
  <ds:schemaRefs>
    <ds:schemaRef ds:uri="http://schemas.microsoft.com/office/2006/metadata/properties"/>
    <ds:schemaRef ds:uri="6a76965f-01bc-4a02-9687-b600f327c1dd"/>
  </ds:schemaRefs>
</ds:datastoreItem>
</file>

<file path=customXml/itemProps5.xml><?xml version="1.0" encoding="utf-8"?>
<ds:datastoreItem xmlns:ds="http://schemas.openxmlformats.org/officeDocument/2006/customXml" ds:itemID="{5ACD421B-10B4-49C8-929E-821C17A3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68BD631D</Template>
  <TotalTime>0</TotalTime>
  <Pages>3</Pages>
  <Words>4307</Words>
  <Characters>24553</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28803</CharactersWithSpaces>
  <SharedDoc>false</SharedDoc>
  <HLinks>
    <vt:vector size="24" baseType="variant">
      <vt:variant>
        <vt:i4>2031641</vt:i4>
      </vt:variant>
      <vt:variant>
        <vt:i4>9</vt:i4>
      </vt:variant>
      <vt:variant>
        <vt:i4>0</vt:i4>
      </vt:variant>
      <vt:variant>
        <vt:i4>5</vt:i4>
      </vt:variant>
      <vt:variant>
        <vt:lpwstr>../../PIMMS/Home.aspx</vt:lpwstr>
      </vt:variant>
      <vt:variant>
        <vt:lpwstr/>
      </vt:variant>
      <vt:variant>
        <vt:i4>6094860</vt:i4>
      </vt:variant>
      <vt:variant>
        <vt:i4>6</vt:i4>
      </vt:variant>
      <vt:variant>
        <vt:i4>0</vt:i4>
      </vt:variant>
      <vt:variant>
        <vt:i4>5</vt:i4>
      </vt:variant>
      <vt:variant>
        <vt:lpwstr>../../Lists/RMT/AllItems.aspx</vt:lpwstr>
      </vt:variant>
      <vt:variant>
        <vt:lpwstr/>
      </vt:variant>
      <vt:variant>
        <vt:i4>4915221</vt:i4>
      </vt:variant>
      <vt:variant>
        <vt:i4>3</vt:i4>
      </vt:variant>
      <vt:variant>
        <vt:i4>0</vt:i4>
      </vt:variant>
      <vt:variant>
        <vt:i4>5</vt:i4>
      </vt:variant>
      <vt:variant>
        <vt:lpwstr>http://www.hm-treasury.gov.uk/data_magentabook_index.htm</vt:lpwstr>
      </vt:variant>
      <vt:variant>
        <vt:lpwstr/>
      </vt:variant>
      <vt:variant>
        <vt:i4>3473501</vt:i4>
      </vt:variant>
      <vt:variant>
        <vt:i4>0</vt:i4>
      </vt:variant>
      <vt:variant>
        <vt:i4>0</vt:i4>
      </vt:variant>
      <vt:variant>
        <vt:i4>5</vt:i4>
      </vt:variant>
      <vt:variant>
        <vt:lpwstr>mailto:gill.davies@defra.gsi.gov.uk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m115751</dc:creator>
  <cp:lastModifiedBy>m188070</cp:lastModifiedBy>
  <cp:revision>2</cp:revision>
  <cp:lastPrinted>2012-11-09T14:12:00Z</cp:lastPrinted>
  <dcterms:created xsi:type="dcterms:W3CDTF">2014-11-19T17:34:00Z</dcterms:created>
  <dcterms:modified xsi:type="dcterms:W3CDTF">2014-11-19T17:34:00Z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0x0101003E29A6DDF0996A4096339A2D84BE0F470100CF0959652FC48F43B20707182E97E1B9</vt:lpwstr>
  </property>
  <property fmtid="{D5CDD505-2E9C-101B-9397-08002B2CF9AE}" pid="3" name="ContentType">
    <vt:lpwstr>Short</vt:lpwstr>
  </property>
</Properties>
</file>