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730FF" w14:textId="77777777" w:rsidR="008A1EA3" w:rsidRDefault="00706BBA" w:rsidP="006D7832">
      <w:pPr>
        <w:rPr>
          <w:noProof/>
          <w:lang w:eastAsia="en-GB"/>
        </w:rPr>
      </w:pPr>
      <w:r>
        <w:rPr>
          <w:noProof/>
          <w:sz w:val="32"/>
          <w:szCs w:val="32"/>
          <w:lang w:eastAsia="en-GB"/>
        </w:rPr>
        <w:drawing>
          <wp:inline distT="0" distB="0" distL="0" distR="0" wp14:anchorId="44C3D69F" wp14:editId="280D5B0B">
            <wp:extent cx="2181225" cy="1114425"/>
            <wp:effectExtent l="0" t="0" r="9525" b="9525"/>
            <wp:docPr id="1" name="Picture 1" descr="Defra_582_SML_AW-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ra_582_SML_AW-cr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225" cy="1114425"/>
                    </a:xfrm>
                    <a:prstGeom prst="rect">
                      <a:avLst/>
                    </a:prstGeom>
                    <a:noFill/>
                    <a:ln>
                      <a:noFill/>
                    </a:ln>
                  </pic:spPr>
                </pic:pic>
              </a:graphicData>
            </a:graphic>
          </wp:inline>
        </w:drawing>
      </w:r>
    </w:p>
    <w:p w14:paraId="5A2F7E4D" w14:textId="77777777" w:rsidR="00706BBA" w:rsidRDefault="00706BBA" w:rsidP="006D7832"/>
    <w:p w14:paraId="6B0D3DBE" w14:textId="77777777" w:rsidR="00706BBA" w:rsidRDefault="00706BBA" w:rsidP="006D7832"/>
    <w:p w14:paraId="76067FD5" w14:textId="77777777" w:rsidR="00706BBA" w:rsidRDefault="00706BBA" w:rsidP="006D7832"/>
    <w:p w14:paraId="7262F81A" w14:textId="77777777" w:rsidR="00706BBA" w:rsidRDefault="00706BBA" w:rsidP="006D7832"/>
    <w:p w14:paraId="59D4E2AC" w14:textId="39BBDEC8" w:rsidR="008E53C7" w:rsidRDefault="007E42CC" w:rsidP="00B042F6">
      <w:pPr>
        <w:pStyle w:val="Reporttitledarkgreen"/>
      </w:pPr>
      <w:r>
        <w:t>Consultation on</w:t>
      </w:r>
      <w:r w:rsidR="004B3A87">
        <w:t xml:space="preserve"> </w:t>
      </w:r>
      <w:r w:rsidR="0096116E">
        <w:t>a</w:t>
      </w:r>
      <w:r w:rsidR="004B3A87">
        <w:t>mendments to</w:t>
      </w:r>
      <w:r>
        <w:t xml:space="preserve"> </w:t>
      </w:r>
      <w:r w:rsidR="0096116E">
        <w:t>t</w:t>
      </w:r>
      <w:r w:rsidR="005864F6">
        <w:t xml:space="preserve">he Restriction of the Use of Certain Hazardous Substances in Electrical and Electronic Equipment </w:t>
      </w:r>
      <w:r w:rsidR="004B3A87">
        <w:t>Regulations</w:t>
      </w:r>
    </w:p>
    <w:p w14:paraId="5708C99C" w14:textId="3865A4C3" w:rsidR="00EE32ED" w:rsidRPr="00C55A2A" w:rsidRDefault="005864F6" w:rsidP="00EE32ED">
      <w:pPr>
        <w:pStyle w:val="Reportsubtitle"/>
      </w:pPr>
      <w:r>
        <w:t xml:space="preserve">The inclusion of </w:t>
      </w:r>
      <w:r w:rsidR="00AD27E5">
        <w:t xml:space="preserve">restrictions on </w:t>
      </w:r>
      <w:r>
        <w:t xml:space="preserve">phthalates in medical devices and monitoring and control instruments </w:t>
      </w:r>
    </w:p>
    <w:p w14:paraId="072B3972" w14:textId="2E5868E5" w:rsidR="00261CCA" w:rsidRDefault="00444785" w:rsidP="00646B20">
      <w:pPr>
        <w:pStyle w:val="Dateandversion"/>
      </w:pPr>
      <w:proofErr w:type="gramStart"/>
      <w:r>
        <w:t xml:space="preserve">September </w:t>
      </w:r>
      <w:r w:rsidR="00261CCA">
        <w:t xml:space="preserve"> 202</w:t>
      </w:r>
      <w:r w:rsidR="00001BE5">
        <w:t>1</w:t>
      </w:r>
      <w:proofErr w:type="gramEnd"/>
    </w:p>
    <w:p w14:paraId="7222A095" w14:textId="77777777" w:rsidR="00845AB8" w:rsidRPr="00F6274F" w:rsidRDefault="00845AB8" w:rsidP="00D121EF">
      <w:pPr>
        <w:pStyle w:val="Reportsubtitle"/>
      </w:pPr>
      <w:r>
        <w:br w:type="page"/>
      </w:r>
    </w:p>
    <w:p w14:paraId="76B42D61" w14:textId="77777777" w:rsidR="00CA7374" w:rsidRDefault="00CA7374" w:rsidP="00CA7374">
      <w:pPr>
        <w:rPr>
          <w:sz w:val="22"/>
        </w:rPr>
      </w:pPr>
      <w:bookmarkStart w:id="0" w:name="_Toc473641177"/>
      <w:r>
        <w:lastRenderedPageBreak/>
        <w:t xml:space="preserve">We are the Department for Environment, Food and Rural Affairs. We’re responsible for improving and protecting the environment, growing the green economy, sustaining thriving rural </w:t>
      </w:r>
      <w:proofErr w:type="gramStart"/>
      <w:r>
        <w:t>communities</w:t>
      </w:r>
      <w:proofErr w:type="gramEnd"/>
      <w:r>
        <w:t xml:space="preserve"> and supporting our world-class food, farming and fishing industries. </w:t>
      </w:r>
    </w:p>
    <w:p w14:paraId="5217298F" w14:textId="77777777" w:rsidR="00CA7374" w:rsidRDefault="00CA7374" w:rsidP="00CA7374">
      <w:r>
        <w:t>We work closely with our 33 agencies and arm’s length bodies on our ambition to make our air purer, our water cleaner, our land greener and our food more sustainable. Our mission is to restore and enhance the environment for the next generation, and to leave the environment in a better state than we found it.</w:t>
      </w:r>
    </w:p>
    <w:p w14:paraId="48BBA9BB" w14:textId="77777777" w:rsidR="006E4FDF" w:rsidRDefault="006E4FDF" w:rsidP="00706BBA">
      <w:pPr>
        <w:spacing w:after="0"/>
      </w:pPr>
    </w:p>
    <w:p w14:paraId="626B496B" w14:textId="77777777" w:rsidR="00706BBA" w:rsidRPr="001276F9" w:rsidRDefault="00706BBA" w:rsidP="00706BBA">
      <w:pPr>
        <w:spacing w:after="0"/>
      </w:pPr>
      <w:r w:rsidRPr="001276F9">
        <w:rPr>
          <w:noProof/>
          <w:lang w:eastAsia="en-GB"/>
        </w:rPr>
        <w:drawing>
          <wp:inline distT="0" distB="0" distL="0" distR="0" wp14:anchorId="236A8133" wp14:editId="47EB50F4">
            <wp:extent cx="762000" cy="314325"/>
            <wp:effectExtent l="0" t="0" r="0" b="9525"/>
            <wp:docPr id="2" name="Picture 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Government Licenc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p>
    <w:p w14:paraId="48EC6995" w14:textId="18E4027F" w:rsidR="00706BBA" w:rsidRPr="00927D4B" w:rsidRDefault="00706BBA" w:rsidP="00706BBA">
      <w:r w:rsidRPr="001276F9">
        <w:t xml:space="preserve">© Crown copyright </w:t>
      </w:r>
      <w:r>
        <w:t>202</w:t>
      </w:r>
      <w:r w:rsidR="00001BE5">
        <w:t>1</w:t>
      </w:r>
    </w:p>
    <w:p w14:paraId="309B5F8F" w14:textId="792C38CF" w:rsidR="00706BBA" w:rsidRDefault="00706BBA" w:rsidP="00706BBA">
      <w:pPr>
        <w:pStyle w:val="NormalWeb"/>
        <w:rPr>
          <w:rFonts w:ascii="Arial" w:hAnsi="Arial" w:cs="Arial"/>
          <w:color w:val="333333"/>
        </w:rPr>
      </w:pPr>
      <w:r>
        <w:rPr>
          <w:rFonts w:ascii="Arial" w:hAnsi="Arial" w:cs="Arial"/>
          <w:color w:val="333333"/>
        </w:rPr>
        <w:t>This information is licensed under the Open Government Licence v3.0. To view this licence, visit </w:t>
      </w:r>
      <w:hyperlink r:id="rId14" w:history="1">
        <w:r w:rsidR="00001BE5" w:rsidRPr="00756418">
          <w:rPr>
            <w:rStyle w:val="Hyperlink"/>
            <w:rFonts w:ascii="Arial" w:hAnsi="Arial" w:cs="Arial"/>
          </w:rPr>
          <w:t>www.nationalarchives.gov.uk/doc/open-government-licence/</w:t>
        </w:r>
      </w:hyperlink>
      <w:r w:rsidR="00001BE5">
        <w:rPr>
          <w:rFonts w:ascii="Arial" w:hAnsi="Arial" w:cs="Arial"/>
          <w:color w:val="333333"/>
        </w:rPr>
        <w:t xml:space="preserve"> </w:t>
      </w:r>
    </w:p>
    <w:p w14:paraId="53ADB00A" w14:textId="77777777" w:rsidR="00706BBA" w:rsidRPr="001276F9" w:rsidRDefault="00706BBA" w:rsidP="00706BBA">
      <w:r w:rsidRPr="001276F9">
        <w:t xml:space="preserve">This publication is available at </w:t>
      </w:r>
      <w:hyperlink r:id="rId15" w:history="1">
        <w:r w:rsidRPr="001276F9">
          <w:rPr>
            <w:rStyle w:val="Hyperlink"/>
          </w:rPr>
          <w:t>www.gov.uk/government/publications</w:t>
        </w:r>
      </w:hyperlink>
      <w:r w:rsidRPr="001276F9">
        <w:t xml:space="preserve">  </w:t>
      </w:r>
    </w:p>
    <w:p w14:paraId="49474739" w14:textId="77777777" w:rsidR="00706BBA" w:rsidRPr="001276F9" w:rsidRDefault="00706BBA" w:rsidP="00706BBA">
      <w:r w:rsidRPr="001276F9">
        <w:t>Any enquiries regarding this publ</w:t>
      </w:r>
      <w:r>
        <w:t>ication should be sent to us at</w:t>
      </w:r>
    </w:p>
    <w:p w14:paraId="608897E9" w14:textId="77777777" w:rsidR="00B003E8" w:rsidRDefault="006240DF" w:rsidP="00706BBA">
      <w:hyperlink r:id="rId16" w:history="1">
        <w:r w:rsidR="00B003E8" w:rsidRPr="005C7F3C">
          <w:rPr>
            <w:rStyle w:val="Hyperlink"/>
          </w:rPr>
          <w:t>rohs@defra.gov.uk</w:t>
        </w:r>
      </w:hyperlink>
      <w:r w:rsidR="00B003E8">
        <w:t xml:space="preserve"> </w:t>
      </w:r>
    </w:p>
    <w:p w14:paraId="4DC1CCE1" w14:textId="08C3F487" w:rsidR="00706BBA" w:rsidRDefault="006240DF" w:rsidP="00706BBA">
      <w:hyperlink r:id="rId17" w:history="1">
        <w:r w:rsidR="00706BBA" w:rsidRPr="00846DDA">
          <w:rPr>
            <w:rStyle w:val="Hyperlink"/>
          </w:rPr>
          <w:t>www.gov.uk/defra</w:t>
        </w:r>
      </w:hyperlink>
      <w:r w:rsidR="00706BBA">
        <w:t xml:space="preserve"> </w:t>
      </w:r>
    </w:p>
    <w:p w14:paraId="1EDDBC6A" w14:textId="77777777" w:rsidR="00A52EAA" w:rsidRDefault="00A52EAA" w:rsidP="00706BBA">
      <w:pPr>
        <w:rPr>
          <w:color w:val="008631"/>
          <w:sz w:val="48"/>
        </w:rPr>
      </w:pPr>
      <w:r>
        <w:br w:type="page"/>
      </w:r>
    </w:p>
    <w:bookmarkEnd w:id="0" w:displacedByCustomXml="next"/>
    <w:bookmarkStart w:id="1" w:name="_Toc473641179" w:displacedByCustomXml="next"/>
    <w:sdt>
      <w:sdtPr>
        <w:rPr>
          <w:rFonts w:ascii="Arial" w:eastAsia="Arial" w:hAnsi="Arial" w:cs="Times New Roman"/>
          <w:color w:val="auto"/>
          <w:sz w:val="24"/>
          <w:szCs w:val="22"/>
          <w:lang w:val="en-GB"/>
        </w:rPr>
        <w:id w:val="-1027012362"/>
        <w:docPartObj>
          <w:docPartGallery w:val="Table of Contents"/>
          <w:docPartUnique/>
        </w:docPartObj>
      </w:sdtPr>
      <w:sdtEndPr>
        <w:rPr>
          <w:b/>
          <w:bCs/>
          <w:noProof/>
        </w:rPr>
      </w:sdtEndPr>
      <w:sdtContent>
        <w:p w14:paraId="13439EF5" w14:textId="21D7730B" w:rsidR="004D517E" w:rsidRDefault="004D517E">
          <w:pPr>
            <w:pStyle w:val="TOCHeading"/>
          </w:pPr>
          <w:r>
            <w:t>Contents</w:t>
          </w:r>
        </w:p>
        <w:p w14:paraId="2E7A8337" w14:textId="30A108B7" w:rsidR="004D517E" w:rsidRDefault="004D517E">
          <w:pPr>
            <w:pStyle w:val="TOC1"/>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81386052" w:history="1">
            <w:r w:rsidRPr="00014897">
              <w:rPr>
                <w:rStyle w:val="Hyperlink"/>
                <w:noProof/>
              </w:rPr>
              <w:t>Introduction</w:t>
            </w:r>
            <w:r>
              <w:rPr>
                <w:noProof/>
                <w:webHidden/>
              </w:rPr>
              <w:tab/>
            </w:r>
            <w:r>
              <w:rPr>
                <w:noProof/>
                <w:webHidden/>
              </w:rPr>
              <w:fldChar w:fldCharType="begin"/>
            </w:r>
            <w:r>
              <w:rPr>
                <w:noProof/>
                <w:webHidden/>
              </w:rPr>
              <w:instrText xml:space="preserve"> PAGEREF _Toc81386052 \h </w:instrText>
            </w:r>
            <w:r>
              <w:rPr>
                <w:noProof/>
                <w:webHidden/>
              </w:rPr>
            </w:r>
            <w:r>
              <w:rPr>
                <w:noProof/>
                <w:webHidden/>
              </w:rPr>
              <w:fldChar w:fldCharType="separate"/>
            </w:r>
            <w:r w:rsidR="001D5C9D">
              <w:rPr>
                <w:noProof/>
                <w:webHidden/>
              </w:rPr>
              <w:t>4</w:t>
            </w:r>
            <w:r>
              <w:rPr>
                <w:noProof/>
                <w:webHidden/>
              </w:rPr>
              <w:fldChar w:fldCharType="end"/>
            </w:r>
          </w:hyperlink>
        </w:p>
        <w:p w14:paraId="2D08B291" w14:textId="00ADC6C8" w:rsidR="004D517E" w:rsidRDefault="006240DF">
          <w:pPr>
            <w:pStyle w:val="TOC1"/>
            <w:rPr>
              <w:rFonts w:asciiTheme="minorHAnsi" w:eastAsiaTheme="minorEastAsia" w:hAnsiTheme="minorHAnsi" w:cstheme="minorBidi"/>
              <w:noProof/>
              <w:sz w:val="22"/>
              <w:lang w:eastAsia="en-GB"/>
            </w:rPr>
          </w:pPr>
          <w:hyperlink w:anchor="_Toc81386053" w:history="1">
            <w:r w:rsidR="004D517E" w:rsidRPr="00014897">
              <w:rPr>
                <w:rStyle w:val="Hyperlink"/>
                <w:noProof/>
              </w:rPr>
              <w:t>Purpose of this consultation</w:t>
            </w:r>
            <w:r w:rsidR="004D517E">
              <w:rPr>
                <w:noProof/>
                <w:webHidden/>
              </w:rPr>
              <w:tab/>
            </w:r>
            <w:r w:rsidR="004D517E">
              <w:rPr>
                <w:noProof/>
                <w:webHidden/>
              </w:rPr>
              <w:fldChar w:fldCharType="begin"/>
            </w:r>
            <w:r w:rsidR="004D517E">
              <w:rPr>
                <w:noProof/>
                <w:webHidden/>
              </w:rPr>
              <w:instrText xml:space="preserve"> PAGEREF _Toc81386053 \h </w:instrText>
            </w:r>
            <w:r w:rsidR="004D517E">
              <w:rPr>
                <w:noProof/>
                <w:webHidden/>
              </w:rPr>
            </w:r>
            <w:r w:rsidR="004D517E">
              <w:rPr>
                <w:noProof/>
                <w:webHidden/>
              </w:rPr>
              <w:fldChar w:fldCharType="separate"/>
            </w:r>
            <w:r w:rsidR="001D5C9D">
              <w:rPr>
                <w:noProof/>
                <w:webHidden/>
              </w:rPr>
              <w:t>4</w:t>
            </w:r>
            <w:r w:rsidR="004D517E">
              <w:rPr>
                <w:noProof/>
                <w:webHidden/>
              </w:rPr>
              <w:fldChar w:fldCharType="end"/>
            </w:r>
          </w:hyperlink>
        </w:p>
        <w:p w14:paraId="41B7397F" w14:textId="19257AD9" w:rsidR="004D517E" w:rsidRDefault="006240DF">
          <w:pPr>
            <w:pStyle w:val="TOC1"/>
            <w:rPr>
              <w:rFonts w:asciiTheme="minorHAnsi" w:eastAsiaTheme="minorEastAsia" w:hAnsiTheme="minorHAnsi" w:cstheme="minorBidi"/>
              <w:noProof/>
              <w:sz w:val="22"/>
              <w:lang w:eastAsia="en-GB"/>
            </w:rPr>
          </w:pPr>
          <w:hyperlink w:anchor="_Toc81386054" w:history="1">
            <w:r w:rsidR="004D517E" w:rsidRPr="00014897">
              <w:rPr>
                <w:rStyle w:val="Hyperlink"/>
                <w:noProof/>
              </w:rPr>
              <w:t>Geographical extent</w:t>
            </w:r>
            <w:r w:rsidR="004D517E">
              <w:rPr>
                <w:noProof/>
                <w:webHidden/>
              </w:rPr>
              <w:tab/>
            </w:r>
            <w:r w:rsidR="004D517E">
              <w:rPr>
                <w:noProof/>
                <w:webHidden/>
              </w:rPr>
              <w:fldChar w:fldCharType="begin"/>
            </w:r>
            <w:r w:rsidR="004D517E">
              <w:rPr>
                <w:noProof/>
                <w:webHidden/>
              </w:rPr>
              <w:instrText xml:space="preserve"> PAGEREF _Toc81386054 \h </w:instrText>
            </w:r>
            <w:r w:rsidR="004D517E">
              <w:rPr>
                <w:noProof/>
                <w:webHidden/>
              </w:rPr>
            </w:r>
            <w:r w:rsidR="004D517E">
              <w:rPr>
                <w:noProof/>
                <w:webHidden/>
              </w:rPr>
              <w:fldChar w:fldCharType="separate"/>
            </w:r>
            <w:r w:rsidR="001D5C9D">
              <w:rPr>
                <w:noProof/>
                <w:webHidden/>
              </w:rPr>
              <w:t>5</w:t>
            </w:r>
            <w:r w:rsidR="004D517E">
              <w:rPr>
                <w:noProof/>
                <w:webHidden/>
              </w:rPr>
              <w:fldChar w:fldCharType="end"/>
            </w:r>
          </w:hyperlink>
        </w:p>
        <w:p w14:paraId="2D25884B" w14:textId="0449AC6B" w:rsidR="004D517E" w:rsidRDefault="006240DF">
          <w:pPr>
            <w:pStyle w:val="TOC1"/>
            <w:rPr>
              <w:rFonts w:asciiTheme="minorHAnsi" w:eastAsiaTheme="minorEastAsia" w:hAnsiTheme="minorHAnsi" w:cstheme="minorBidi"/>
              <w:noProof/>
              <w:sz w:val="22"/>
              <w:lang w:eastAsia="en-GB"/>
            </w:rPr>
          </w:pPr>
          <w:hyperlink w:anchor="_Toc81386055" w:history="1">
            <w:r w:rsidR="004D517E" w:rsidRPr="00014897">
              <w:rPr>
                <w:rStyle w:val="Hyperlink"/>
                <w:noProof/>
              </w:rPr>
              <w:t>Audience</w:t>
            </w:r>
            <w:r w:rsidR="004D517E">
              <w:rPr>
                <w:noProof/>
                <w:webHidden/>
              </w:rPr>
              <w:tab/>
            </w:r>
            <w:r w:rsidR="004D517E">
              <w:rPr>
                <w:noProof/>
                <w:webHidden/>
              </w:rPr>
              <w:fldChar w:fldCharType="begin"/>
            </w:r>
            <w:r w:rsidR="004D517E">
              <w:rPr>
                <w:noProof/>
                <w:webHidden/>
              </w:rPr>
              <w:instrText xml:space="preserve"> PAGEREF _Toc81386055 \h </w:instrText>
            </w:r>
            <w:r w:rsidR="004D517E">
              <w:rPr>
                <w:noProof/>
                <w:webHidden/>
              </w:rPr>
            </w:r>
            <w:r w:rsidR="004D517E">
              <w:rPr>
                <w:noProof/>
                <w:webHidden/>
              </w:rPr>
              <w:fldChar w:fldCharType="separate"/>
            </w:r>
            <w:r w:rsidR="001D5C9D">
              <w:rPr>
                <w:noProof/>
                <w:webHidden/>
              </w:rPr>
              <w:t>5</w:t>
            </w:r>
            <w:r w:rsidR="004D517E">
              <w:rPr>
                <w:noProof/>
                <w:webHidden/>
              </w:rPr>
              <w:fldChar w:fldCharType="end"/>
            </w:r>
          </w:hyperlink>
        </w:p>
        <w:p w14:paraId="13EA5FD8" w14:textId="737F778E" w:rsidR="004D517E" w:rsidRDefault="006240DF">
          <w:pPr>
            <w:pStyle w:val="TOC1"/>
            <w:rPr>
              <w:rFonts w:asciiTheme="minorHAnsi" w:eastAsiaTheme="minorEastAsia" w:hAnsiTheme="minorHAnsi" w:cstheme="minorBidi"/>
              <w:noProof/>
              <w:sz w:val="22"/>
              <w:lang w:eastAsia="en-GB"/>
            </w:rPr>
          </w:pPr>
          <w:hyperlink w:anchor="_Toc81386056" w:history="1">
            <w:r w:rsidR="004D517E" w:rsidRPr="00014897">
              <w:rPr>
                <w:rStyle w:val="Hyperlink"/>
                <w:noProof/>
              </w:rPr>
              <w:t>Responding to this consultation</w:t>
            </w:r>
            <w:r w:rsidR="004D517E">
              <w:rPr>
                <w:noProof/>
                <w:webHidden/>
              </w:rPr>
              <w:tab/>
            </w:r>
            <w:r w:rsidR="004D517E">
              <w:rPr>
                <w:noProof/>
                <w:webHidden/>
              </w:rPr>
              <w:fldChar w:fldCharType="begin"/>
            </w:r>
            <w:r w:rsidR="004D517E">
              <w:rPr>
                <w:noProof/>
                <w:webHidden/>
              </w:rPr>
              <w:instrText xml:space="preserve"> PAGEREF _Toc81386056 \h </w:instrText>
            </w:r>
            <w:r w:rsidR="004D517E">
              <w:rPr>
                <w:noProof/>
                <w:webHidden/>
              </w:rPr>
            </w:r>
            <w:r w:rsidR="004D517E">
              <w:rPr>
                <w:noProof/>
                <w:webHidden/>
              </w:rPr>
              <w:fldChar w:fldCharType="separate"/>
            </w:r>
            <w:r w:rsidR="001D5C9D">
              <w:rPr>
                <w:noProof/>
                <w:webHidden/>
              </w:rPr>
              <w:t>5</w:t>
            </w:r>
            <w:r w:rsidR="004D517E">
              <w:rPr>
                <w:noProof/>
                <w:webHidden/>
              </w:rPr>
              <w:fldChar w:fldCharType="end"/>
            </w:r>
          </w:hyperlink>
        </w:p>
        <w:p w14:paraId="216B9698" w14:textId="3AD1695A" w:rsidR="004D517E" w:rsidRDefault="006240DF">
          <w:pPr>
            <w:pStyle w:val="TOC1"/>
            <w:rPr>
              <w:rFonts w:asciiTheme="minorHAnsi" w:eastAsiaTheme="minorEastAsia" w:hAnsiTheme="minorHAnsi" w:cstheme="minorBidi"/>
              <w:noProof/>
              <w:sz w:val="22"/>
              <w:lang w:eastAsia="en-GB"/>
            </w:rPr>
          </w:pPr>
          <w:hyperlink w:anchor="_Toc81386057" w:history="1">
            <w:r w:rsidR="004D517E" w:rsidRPr="00014897">
              <w:rPr>
                <w:rStyle w:val="Hyperlink"/>
                <w:noProof/>
              </w:rPr>
              <w:t>Duration</w:t>
            </w:r>
            <w:r w:rsidR="004D517E">
              <w:rPr>
                <w:noProof/>
                <w:webHidden/>
              </w:rPr>
              <w:tab/>
            </w:r>
            <w:r w:rsidR="004D517E">
              <w:rPr>
                <w:noProof/>
                <w:webHidden/>
              </w:rPr>
              <w:fldChar w:fldCharType="begin"/>
            </w:r>
            <w:r w:rsidR="004D517E">
              <w:rPr>
                <w:noProof/>
                <w:webHidden/>
              </w:rPr>
              <w:instrText xml:space="preserve"> PAGEREF _Toc81386057 \h </w:instrText>
            </w:r>
            <w:r w:rsidR="004D517E">
              <w:rPr>
                <w:noProof/>
                <w:webHidden/>
              </w:rPr>
            </w:r>
            <w:r w:rsidR="004D517E">
              <w:rPr>
                <w:noProof/>
                <w:webHidden/>
              </w:rPr>
              <w:fldChar w:fldCharType="separate"/>
            </w:r>
            <w:r w:rsidR="001D5C9D">
              <w:rPr>
                <w:noProof/>
                <w:webHidden/>
              </w:rPr>
              <w:t>6</w:t>
            </w:r>
            <w:r w:rsidR="004D517E">
              <w:rPr>
                <w:noProof/>
                <w:webHidden/>
              </w:rPr>
              <w:fldChar w:fldCharType="end"/>
            </w:r>
          </w:hyperlink>
        </w:p>
        <w:p w14:paraId="377D16BE" w14:textId="11A9ACEE" w:rsidR="004D517E" w:rsidRDefault="006240DF">
          <w:pPr>
            <w:pStyle w:val="TOC1"/>
            <w:rPr>
              <w:rFonts w:asciiTheme="minorHAnsi" w:eastAsiaTheme="minorEastAsia" w:hAnsiTheme="minorHAnsi" w:cstheme="minorBidi"/>
              <w:noProof/>
              <w:sz w:val="22"/>
              <w:lang w:eastAsia="en-GB"/>
            </w:rPr>
          </w:pPr>
          <w:hyperlink w:anchor="_Toc81386058" w:history="1">
            <w:r w:rsidR="004D517E" w:rsidRPr="00014897">
              <w:rPr>
                <w:rStyle w:val="Hyperlink"/>
                <w:noProof/>
              </w:rPr>
              <w:t>After the consultation</w:t>
            </w:r>
            <w:r w:rsidR="004D517E">
              <w:rPr>
                <w:noProof/>
                <w:webHidden/>
              </w:rPr>
              <w:tab/>
            </w:r>
            <w:r w:rsidR="004D517E">
              <w:rPr>
                <w:noProof/>
                <w:webHidden/>
              </w:rPr>
              <w:fldChar w:fldCharType="begin"/>
            </w:r>
            <w:r w:rsidR="004D517E">
              <w:rPr>
                <w:noProof/>
                <w:webHidden/>
              </w:rPr>
              <w:instrText xml:space="preserve"> PAGEREF _Toc81386058 \h </w:instrText>
            </w:r>
            <w:r w:rsidR="004D517E">
              <w:rPr>
                <w:noProof/>
                <w:webHidden/>
              </w:rPr>
            </w:r>
            <w:r w:rsidR="004D517E">
              <w:rPr>
                <w:noProof/>
                <w:webHidden/>
              </w:rPr>
              <w:fldChar w:fldCharType="separate"/>
            </w:r>
            <w:r w:rsidR="001D5C9D">
              <w:rPr>
                <w:noProof/>
                <w:webHidden/>
              </w:rPr>
              <w:t>6</w:t>
            </w:r>
            <w:r w:rsidR="004D517E">
              <w:rPr>
                <w:noProof/>
                <w:webHidden/>
              </w:rPr>
              <w:fldChar w:fldCharType="end"/>
            </w:r>
          </w:hyperlink>
        </w:p>
        <w:p w14:paraId="54DE427A" w14:textId="71ECABB2" w:rsidR="004D517E" w:rsidRDefault="006240DF">
          <w:pPr>
            <w:pStyle w:val="TOC1"/>
            <w:rPr>
              <w:rFonts w:asciiTheme="minorHAnsi" w:eastAsiaTheme="minorEastAsia" w:hAnsiTheme="minorHAnsi" w:cstheme="minorBidi"/>
              <w:noProof/>
              <w:sz w:val="22"/>
              <w:lang w:eastAsia="en-GB"/>
            </w:rPr>
          </w:pPr>
          <w:hyperlink w:anchor="_Toc81386059" w:history="1">
            <w:r w:rsidR="004D517E" w:rsidRPr="00014897">
              <w:rPr>
                <w:rStyle w:val="Hyperlink"/>
                <w:noProof/>
              </w:rPr>
              <w:t>Compliance with consultation principles</w:t>
            </w:r>
            <w:r w:rsidR="004D517E">
              <w:rPr>
                <w:noProof/>
                <w:webHidden/>
              </w:rPr>
              <w:tab/>
            </w:r>
            <w:r w:rsidR="004D517E">
              <w:rPr>
                <w:noProof/>
                <w:webHidden/>
              </w:rPr>
              <w:fldChar w:fldCharType="begin"/>
            </w:r>
            <w:r w:rsidR="004D517E">
              <w:rPr>
                <w:noProof/>
                <w:webHidden/>
              </w:rPr>
              <w:instrText xml:space="preserve"> PAGEREF _Toc81386059 \h </w:instrText>
            </w:r>
            <w:r w:rsidR="004D517E">
              <w:rPr>
                <w:noProof/>
                <w:webHidden/>
              </w:rPr>
            </w:r>
            <w:r w:rsidR="004D517E">
              <w:rPr>
                <w:noProof/>
                <w:webHidden/>
              </w:rPr>
              <w:fldChar w:fldCharType="separate"/>
            </w:r>
            <w:r w:rsidR="001D5C9D">
              <w:rPr>
                <w:noProof/>
                <w:webHidden/>
              </w:rPr>
              <w:t>7</w:t>
            </w:r>
            <w:r w:rsidR="004D517E">
              <w:rPr>
                <w:noProof/>
                <w:webHidden/>
              </w:rPr>
              <w:fldChar w:fldCharType="end"/>
            </w:r>
          </w:hyperlink>
        </w:p>
        <w:p w14:paraId="6DA918C9" w14:textId="786A25FE" w:rsidR="004D517E" w:rsidRDefault="006240DF">
          <w:pPr>
            <w:pStyle w:val="TOC1"/>
            <w:rPr>
              <w:rFonts w:asciiTheme="minorHAnsi" w:eastAsiaTheme="minorEastAsia" w:hAnsiTheme="minorHAnsi" w:cstheme="minorBidi"/>
              <w:noProof/>
              <w:sz w:val="22"/>
              <w:lang w:eastAsia="en-GB"/>
            </w:rPr>
          </w:pPr>
          <w:hyperlink w:anchor="_Toc81386060" w:history="1">
            <w:r w:rsidR="004D517E" w:rsidRPr="00014897">
              <w:rPr>
                <w:rStyle w:val="Hyperlink"/>
                <w:noProof/>
              </w:rPr>
              <w:t>About You</w:t>
            </w:r>
            <w:r w:rsidR="004D517E">
              <w:rPr>
                <w:noProof/>
                <w:webHidden/>
              </w:rPr>
              <w:tab/>
            </w:r>
            <w:r w:rsidR="004D517E">
              <w:rPr>
                <w:noProof/>
                <w:webHidden/>
              </w:rPr>
              <w:fldChar w:fldCharType="begin"/>
            </w:r>
            <w:r w:rsidR="004D517E">
              <w:rPr>
                <w:noProof/>
                <w:webHidden/>
              </w:rPr>
              <w:instrText xml:space="preserve"> PAGEREF _Toc81386060 \h </w:instrText>
            </w:r>
            <w:r w:rsidR="004D517E">
              <w:rPr>
                <w:noProof/>
                <w:webHidden/>
              </w:rPr>
            </w:r>
            <w:r w:rsidR="004D517E">
              <w:rPr>
                <w:noProof/>
                <w:webHidden/>
              </w:rPr>
              <w:fldChar w:fldCharType="separate"/>
            </w:r>
            <w:r w:rsidR="001D5C9D">
              <w:rPr>
                <w:noProof/>
                <w:webHidden/>
              </w:rPr>
              <w:t>7</w:t>
            </w:r>
            <w:r w:rsidR="004D517E">
              <w:rPr>
                <w:noProof/>
                <w:webHidden/>
              </w:rPr>
              <w:fldChar w:fldCharType="end"/>
            </w:r>
          </w:hyperlink>
        </w:p>
        <w:p w14:paraId="0B28C864" w14:textId="76BF8B9F" w:rsidR="004D517E" w:rsidRDefault="006240DF">
          <w:pPr>
            <w:pStyle w:val="TOC1"/>
            <w:rPr>
              <w:rFonts w:asciiTheme="minorHAnsi" w:eastAsiaTheme="minorEastAsia" w:hAnsiTheme="minorHAnsi" w:cstheme="minorBidi"/>
              <w:noProof/>
              <w:sz w:val="22"/>
              <w:lang w:eastAsia="en-GB"/>
            </w:rPr>
          </w:pPr>
          <w:hyperlink w:anchor="_Toc81386061" w:history="1">
            <w:r w:rsidR="004D517E" w:rsidRPr="00014897">
              <w:rPr>
                <w:rStyle w:val="Hyperlink"/>
                <w:noProof/>
              </w:rPr>
              <w:t>Background</w:t>
            </w:r>
            <w:r w:rsidR="004D517E">
              <w:rPr>
                <w:noProof/>
                <w:webHidden/>
              </w:rPr>
              <w:tab/>
            </w:r>
            <w:r w:rsidR="004D517E">
              <w:rPr>
                <w:noProof/>
                <w:webHidden/>
              </w:rPr>
              <w:fldChar w:fldCharType="begin"/>
            </w:r>
            <w:r w:rsidR="004D517E">
              <w:rPr>
                <w:noProof/>
                <w:webHidden/>
              </w:rPr>
              <w:instrText xml:space="preserve"> PAGEREF _Toc81386061 \h </w:instrText>
            </w:r>
            <w:r w:rsidR="004D517E">
              <w:rPr>
                <w:noProof/>
                <w:webHidden/>
              </w:rPr>
            </w:r>
            <w:r w:rsidR="004D517E">
              <w:rPr>
                <w:noProof/>
                <w:webHidden/>
              </w:rPr>
              <w:fldChar w:fldCharType="separate"/>
            </w:r>
            <w:r w:rsidR="001D5C9D">
              <w:rPr>
                <w:noProof/>
                <w:webHidden/>
              </w:rPr>
              <w:t>9</w:t>
            </w:r>
            <w:r w:rsidR="004D517E">
              <w:rPr>
                <w:noProof/>
                <w:webHidden/>
              </w:rPr>
              <w:fldChar w:fldCharType="end"/>
            </w:r>
          </w:hyperlink>
        </w:p>
        <w:p w14:paraId="369C5110" w14:textId="4DE69ADE" w:rsidR="004D517E" w:rsidRDefault="006240DF">
          <w:pPr>
            <w:pStyle w:val="TOC1"/>
            <w:rPr>
              <w:rFonts w:asciiTheme="minorHAnsi" w:eastAsiaTheme="minorEastAsia" w:hAnsiTheme="minorHAnsi" w:cstheme="minorBidi"/>
              <w:noProof/>
              <w:sz w:val="22"/>
              <w:lang w:eastAsia="en-GB"/>
            </w:rPr>
          </w:pPr>
          <w:hyperlink w:anchor="_Toc81386062" w:history="1">
            <w:r w:rsidR="004D517E" w:rsidRPr="00014897">
              <w:rPr>
                <w:rStyle w:val="Hyperlink"/>
                <w:noProof/>
              </w:rPr>
              <w:t>The Proposal</w:t>
            </w:r>
            <w:r w:rsidR="004D517E">
              <w:rPr>
                <w:noProof/>
                <w:webHidden/>
              </w:rPr>
              <w:tab/>
            </w:r>
            <w:r w:rsidR="004D517E">
              <w:rPr>
                <w:noProof/>
                <w:webHidden/>
              </w:rPr>
              <w:fldChar w:fldCharType="begin"/>
            </w:r>
            <w:r w:rsidR="004D517E">
              <w:rPr>
                <w:noProof/>
                <w:webHidden/>
              </w:rPr>
              <w:instrText xml:space="preserve"> PAGEREF _Toc81386062 \h </w:instrText>
            </w:r>
            <w:r w:rsidR="004D517E">
              <w:rPr>
                <w:noProof/>
                <w:webHidden/>
              </w:rPr>
            </w:r>
            <w:r w:rsidR="004D517E">
              <w:rPr>
                <w:noProof/>
                <w:webHidden/>
              </w:rPr>
              <w:fldChar w:fldCharType="separate"/>
            </w:r>
            <w:r w:rsidR="001D5C9D">
              <w:rPr>
                <w:noProof/>
                <w:webHidden/>
              </w:rPr>
              <w:t>12</w:t>
            </w:r>
            <w:r w:rsidR="004D517E">
              <w:rPr>
                <w:noProof/>
                <w:webHidden/>
              </w:rPr>
              <w:fldChar w:fldCharType="end"/>
            </w:r>
          </w:hyperlink>
        </w:p>
        <w:p w14:paraId="25DE9726" w14:textId="11088677" w:rsidR="004D517E" w:rsidRDefault="006240DF">
          <w:pPr>
            <w:pStyle w:val="TOC1"/>
            <w:rPr>
              <w:rFonts w:asciiTheme="minorHAnsi" w:eastAsiaTheme="minorEastAsia" w:hAnsiTheme="minorHAnsi" w:cstheme="minorBidi"/>
              <w:noProof/>
              <w:sz w:val="22"/>
              <w:lang w:eastAsia="en-GB"/>
            </w:rPr>
          </w:pPr>
          <w:hyperlink w:anchor="_Toc81386063" w:history="1">
            <w:r w:rsidR="004D517E" w:rsidRPr="00014897">
              <w:rPr>
                <w:rStyle w:val="Hyperlink"/>
                <w:noProof/>
              </w:rPr>
              <w:t>Questions:</w:t>
            </w:r>
            <w:r w:rsidR="004D517E">
              <w:rPr>
                <w:noProof/>
                <w:webHidden/>
              </w:rPr>
              <w:tab/>
            </w:r>
            <w:r w:rsidR="004D517E">
              <w:rPr>
                <w:noProof/>
                <w:webHidden/>
              </w:rPr>
              <w:fldChar w:fldCharType="begin"/>
            </w:r>
            <w:r w:rsidR="004D517E">
              <w:rPr>
                <w:noProof/>
                <w:webHidden/>
              </w:rPr>
              <w:instrText xml:space="preserve"> PAGEREF _Toc81386063 \h </w:instrText>
            </w:r>
            <w:r w:rsidR="004D517E">
              <w:rPr>
                <w:noProof/>
                <w:webHidden/>
              </w:rPr>
            </w:r>
            <w:r w:rsidR="004D517E">
              <w:rPr>
                <w:noProof/>
                <w:webHidden/>
              </w:rPr>
              <w:fldChar w:fldCharType="separate"/>
            </w:r>
            <w:r w:rsidR="001D5C9D">
              <w:rPr>
                <w:noProof/>
                <w:webHidden/>
              </w:rPr>
              <w:t>12</w:t>
            </w:r>
            <w:r w:rsidR="004D517E">
              <w:rPr>
                <w:noProof/>
                <w:webHidden/>
              </w:rPr>
              <w:fldChar w:fldCharType="end"/>
            </w:r>
          </w:hyperlink>
        </w:p>
        <w:p w14:paraId="2435CF5C" w14:textId="2AEEAFB5" w:rsidR="004D517E" w:rsidRDefault="004D517E">
          <w:r>
            <w:rPr>
              <w:b/>
              <w:bCs/>
              <w:noProof/>
            </w:rPr>
            <w:fldChar w:fldCharType="end"/>
          </w:r>
        </w:p>
      </w:sdtContent>
    </w:sdt>
    <w:p w14:paraId="4E25DE8E" w14:textId="695E5D7F" w:rsidR="007E42CC" w:rsidRDefault="007E42CC" w:rsidP="007E42CC">
      <w:pPr>
        <w:rPr>
          <w:rFonts w:cs="Arial"/>
          <w:b/>
          <w:bCs/>
          <w:szCs w:val="24"/>
        </w:rPr>
      </w:pPr>
    </w:p>
    <w:p w14:paraId="6435BB16" w14:textId="7C5725B0" w:rsidR="004D517E" w:rsidRDefault="004D517E" w:rsidP="007E42CC">
      <w:pPr>
        <w:rPr>
          <w:rFonts w:cs="Arial"/>
          <w:b/>
          <w:bCs/>
          <w:szCs w:val="24"/>
        </w:rPr>
      </w:pPr>
    </w:p>
    <w:p w14:paraId="364DC3F4" w14:textId="6B91B781" w:rsidR="004D517E" w:rsidRDefault="004D517E" w:rsidP="007E42CC">
      <w:pPr>
        <w:rPr>
          <w:rFonts w:cs="Arial"/>
          <w:b/>
          <w:bCs/>
          <w:szCs w:val="24"/>
        </w:rPr>
      </w:pPr>
    </w:p>
    <w:p w14:paraId="5039C859" w14:textId="53C7DB2B" w:rsidR="004D517E" w:rsidRDefault="004D517E" w:rsidP="007E42CC">
      <w:pPr>
        <w:rPr>
          <w:rFonts w:cs="Arial"/>
          <w:b/>
          <w:bCs/>
          <w:szCs w:val="24"/>
        </w:rPr>
      </w:pPr>
    </w:p>
    <w:p w14:paraId="352FDC7C" w14:textId="082A4F0D" w:rsidR="004D517E" w:rsidRDefault="004D517E" w:rsidP="007E42CC">
      <w:pPr>
        <w:rPr>
          <w:rFonts w:cs="Arial"/>
          <w:b/>
          <w:bCs/>
          <w:szCs w:val="24"/>
        </w:rPr>
      </w:pPr>
    </w:p>
    <w:p w14:paraId="5A275C92" w14:textId="33172561" w:rsidR="004D517E" w:rsidRDefault="004D517E" w:rsidP="007E42CC">
      <w:pPr>
        <w:rPr>
          <w:rFonts w:cs="Arial"/>
          <w:b/>
          <w:bCs/>
          <w:szCs w:val="24"/>
        </w:rPr>
      </w:pPr>
    </w:p>
    <w:p w14:paraId="1A01DA00" w14:textId="5414EAB8" w:rsidR="004D517E" w:rsidRDefault="004D517E" w:rsidP="007E42CC">
      <w:pPr>
        <w:rPr>
          <w:rFonts w:cs="Arial"/>
          <w:b/>
          <w:bCs/>
          <w:szCs w:val="24"/>
        </w:rPr>
      </w:pPr>
    </w:p>
    <w:p w14:paraId="417D81F1" w14:textId="06EEC003" w:rsidR="004D517E" w:rsidRDefault="004D517E" w:rsidP="007E42CC">
      <w:pPr>
        <w:rPr>
          <w:rFonts w:cs="Arial"/>
          <w:b/>
          <w:bCs/>
          <w:szCs w:val="24"/>
        </w:rPr>
      </w:pPr>
    </w:p>
    <w:p w14:paraId="1048F52E" w14:textId="59F2A121" w:rsidR="004D517E" w:rsidRDefault="004D517E" w:rsidP="007E42CC">
      <w:pPr>
        <w:rPr>
          <w:rFonts w:cs="Arial"/>
          <w:b/>
          <w:bCs/>
          <w:szCs w:val="24"/>
        </w:rPr>
      </w:pPr>
    </w:p>
    <w:p w14:paraId="4C1C4A66" w14:textId="745F1BF8" w:rsidR="004D517E" w:rsidRDefault="004D517E" w:rsidP="007E42CC">
      <w:pPr>
        <w:rPr>
          <w:rFonts w:cs="Arial"/>
          <w:b/>
          <w:bCs/>
          <w:szCs w:val="24"/>
        </w:rPr>
      </w:pPr>
    </w:p>
    <w:p w14:paraId="7FC0EF07" w14:textId="279EDC27" w:rsidR="004D517E" w:rsidRDefault="004D517E" w:rsidP="007E42CC">
      <w:pPr>
        <w:rPr>
          <w:rFonts w:cs="Arial"/>
          <w:b/>
          <w:bCs/>
          <w:szCs w:val="24"/>
        </w:rPr>
      </w:pPr>
    </w:p>
    <w:p w14:paraId="7FA8CCEA" w14:textId="09CA3A2D" w:rsidR="004D517E" w:rsidRDefault="004D517E" w:rsidP="007E42CC">
      <w:pPr>
        <w:rPr>
          <w:rFonts w:cs="Arial"/>
          <w:b/>
          <w:bCs/>
          <w:szCs w:val="24"/>
        </w:rPr>
      </w:pPr>
    </w:p>
    <w:p w14:paraId="338544CE" w14:textId="546F656C" w:rsidR="007E42CC" w:rsidRPr="00F875BA" w:rsidRDefault="007E42CC" w:rsidP="002F0452">
      <w:pPr>
        <w:pStyle w:val="Heading1"/>
      </w:pPr>
      <w:bookmarkStart w:id="2" w:name="_Toc81386052"/>
      <w:r w:rsidRPr="00F875BA">
        <w:lastRenderedPageBreak/>
        <w:t>Introduction</w:t>
      </w:r>
      <w:bookmarkEnd w:id="2"/>
    </w:p>
    <w:p w14:paraId="375B51F7" w14:textId="6B10D719" w:rsidR="004625B9" w:rsidRPr="00C23C23" w:rsidRDefault="007E42CC" w:rsidP="00575854">
      <w:pPr>
        <w:rPr>
          <w:rFonts w:cs="Arial"/>
        </w:rPr>
      </w:pPr>
      <w:r w:rsidRPr="00EC4B45">
        <w:rPr>
          <w:rFonts w:cs="Arial"/>
          <w:szCs w:val="24"/>
        </w:rPr>
        <w:t>The Restriction of the Use of Certain Hazardous Substances in Electrical and Electronic Equipment Regulations 2012  (RoHS Regulations) restrict</w:t>
      </w:r>
      <w:r w:rsidR="00A26596">
        <w:rPr>
          <w:rFonts w:cs="Arial"/>
          <w:szCs w:val="24"/>
        </w:rPr>
        <w:t>s</w:t>
      </w:r>
      <w:r w:rsidRPr="00EC4B45">
        <w:rPr>
          <w:rFonts w:cs="Arial"/>
          <w:szCs w:val="24"/>
        </w:rPr>
        <w:t xml:space="preserve"> the use of 10 hazardous substances in electrical and electronic equipment (EEE) with a view to contributing to the protection of human health and the environment, including the sound recovery and disposal of waste.</w:t>
      </w:r>
      <w:r w:rsidR="00DE1E80">
        <w:rPr>
          <w:rFonts w:cs="Arial"/>
          <w:szCs w:val="24"/>
        </w:rPr>
        <w:t xml:space="preserve"> </w:t>
      </w:r>
      <w:r w:rsidR="004625B9" w:rsidRPr="73F45BE0">
        <w:rPr>
          <w:rFonts w:cs="Arial"/>
        </w:rPr>
        <w:t>We propose to</w:t>
      </w:r>
      <w:r w:rsidR="0047716E" w:rsidRPr="73F45BE0">
        <w:rPr>
          <w:rFonts w:cs="Arial"/>
        </w:rPr>
        <w:t xml:space="preserve"> introduce a </w:t>
      </w:r>
      <w:r w:rsidR="00447175" w:rsidRPr="73F45BE0">
        <w:rPr>
          <w:rFonts w:cs="Arial"/>
        </w:rPr>
        <w:t>restrict</w:t>
      </w:r>
      <w:r w:rsidR="0047716E" w:rsidRPr="73F45BE0">
        <w:rPr>
          <w:rFonts w:cs="Arial"/>
        </w:rPr>
        <w:t>ion on</w:t>
      </w:r>
      <w:r w:rsidR="00290F90" w:rsidRPr="73F45BE0">
        <w:rPr>
          <w:rFonts w:cs="Arial"/>
        </w:rPr>
        <w:t xml:space="preserve"> the use of</w:t>
      </w:r>
      <w:r w:rsidR="004625B9" w:rsidRPr="73F45BE0">
        <w:rPr>
          <w:rFonts w:cs="Arial"/>
        </w:rPr>
        <w:t xml:space="preserve"> four phthalates, in</w:t>
      </w:r>
      <w:r w:rsidR="008B7085" w:rsidRPr="73F45BE0">
        <w:rPr>
          <w:rFonts w:cs="Arial"/>
        </w:rPr>
        <w:t xml:space="preserve"> the manufacture of</w:t>
      </w:r>
      <w:r w:rsidR="004625B9" w:rsidRPr="73F45BE0">
        <w:rPr>
          <w:rFonts w:cs="Arial"/>
        </w:rPr>
        <w:t xml:space="preserve"> various medical devices</w:t>
      </w:r>
      <w:r w:rsidR="00A421C4">
        <w:rPr>
          <w:rFonts w:cs="Arial"/>
        </w:rPr>
        <w:t xml:space="preserve"> and</w:t>
      </w:r>
      <w:r w:rsidR="00361154">
        <w:rPr>
          <w:rFonts w:cs="Arial"/>
        </w:rPr>
        <w:t xml:space="preserve"> monitoring and</w:t>
      </w:r>
      <w:r w:rsidR="00A421C4">
        <w:rPr>
          <w:rFonts w:cs="Arial"/>
        </w:rPr>
        <w:t xml:space="preserve"> control instrumentation equipment</w:t>
      </w:r>
      <w:r w:rsidR="004625B9" w:rsidRPr="73F45BE0">
        <w:rPr>
          <w:rFonts w:cs="Arial"/>
        </w:rPr>
        <w:t xml:space="preserve">. This would start in </w:t>
      </w:r>
      <w:proofErr w:type="gramStart"/>
      <w:r w:rsidR="004625B9" w:rsidRPr="73F45BE0">
        <w:rPr>
          <w:rFonts w:cs="Arial"/>
        </w:rPr>
        <w:t>July 2022, and</w:t>
      </w:r>
      <w:proofErr w:type="gramEnd"/>
      <w:r w:rsidR="004625B9" w:rsidRPr="73F45BE0">
        <w:rPr>
          <w:rFonts w:cs="Arial"/>
        </w:rPr>
        <w:t xml:space="preserve"> is in the interests of public health and environmental protection, as these</w:t>
      </w:r>
      <w:r w:rsidR="005F1E52" w:rsidRPr="73F45BE0">
        <w:rPr>
          <w:rFonts w:cs="Arial"/>
        </w:rPr>
        <w:t xml:space="preserve"> substances have long been </w:t>
      </w:r>
      <w:r w:rsidR="0035072C" w:rsidRPr="73F45BE0">
        <w:rPr>
          <w:rFonts w:cs="Arial"/>
        </w:rPr>
        <w:t>of concern</w:t>
      </w:r>
      <w:r w:rsidR="002017EF" w:rsidRPr="73F45BE0">
        <w:rPr>
          <w:rFonts w:cs="Arial"/>
        </w:rPr>
        <w:t>.</w:t>
      </w:r>
      <w:r w:rsidR="00E73FAD" w:rsidRPr="73F45BE0">
        <w:rPr>
          <w:rFonts w:cs="Arial"/>
        </w:rPr>
        <w:t xml:space="preserve"> </w:t>
      </w:r>
      <w:r w:rsidR="003F10B7" w:rsidRPr="00EC4B45">
        <w:rPr>
          <w:rFonts w:cs="Arial"/>
          <w:szCs w:val="24"/>
        </w:rPr>
        <w:t>When they are used in</w:t>
      </w:r>
      <w:r w:rsidR="003F10B7">
        <w:rPr>
          <w:rFonts w:cs="Arial"/>
          <w:szCs w:val="24"/>
        </w:rPr>
        <w:t xml:space="preserve"> electrical and electronic </w:t>
      </w:r>
      <w:proofErr w:type="gramStart"/>
      <w:r w:rsidR="003F10B7">
        <w:rPr>
          <w:rFonts w:cs="Arial"/>
          <w:szCs w:val="24"/>
        </w:rPr>
        <w:t>equipment</w:t>
      </w:r>
      <w:proofErr w:type="gramEnd"/>
      <w:r w:rsidR="003F10B7" w:rsidRPr="00EC4B45">
        <w:rPr>
          <w:rFonts w:cs="Arial"/>
          <w:szCs w:val="24"/>
        </w:rPr>
        <w:t xml:space="preserve"> they</w:t>
      </w:r>
      <w:r w:rsidR="003F10B7">
        <w:rPr>
          <w:rFonts w:cs="Arial"/>
          <w:szCs w:val="24"/>
        </w:rPr>
        <w:t xml:space="preserve"> can</w:t>
      </w:r>
      <w:r w:rsidR="003F10B7" w:rsidRPr="00EC4B45">
        <w:rPr>
          <w:rFonts w:cs="Arial"/>
          <w:szCs w:val="24"/>
        </w:rPr>
        <w:t xml:space="preserve"> have a negative impact on</w:t>
      </w:r>
      <w:r w:rsidR="00A421C4">
        <w:rPr>
          <w:rFonts w:cs="Arial"/>
          <w:szCs w:val="24"/>
        </w:rPr>
        <w:t xml:space="preserve"> effective</w:t>
      </w:r>
      <w:r w:rsidR="003F10B7" w:rsidRPr="00EC4B45">
        <w:rPr>
          <w:rFonts w:cs="Arial"/>
          <w:szCs w:val="24"/>
        </w:rPr>
        <w:t xml:space="preserve"> recycling, human health and the environment during waste operations</w:t>
      </w:r>
      <w:r w:rsidR="004625B9" w:rsidRPr="73F45BE0">
        <w:rPr>
          <w:rFonts w:cs="Arial"/>
        </w:rPr>
        <w:t>.</w:t>
      </w:r>
      <w:r w:rsidR="0086407D" w:rsidRPr="73F45BE0">
        <w:rPr>
          <w:rFonts w:cs="Arial"/>
        </w:rPr>
        <w:t xml:space="preserve"> T</w:t>
      </w:r>
      <w:r w:rsidR="004251E9" w:rsidRPr="73F45BE0">
        <w:rPr>
          <w:rFonts w:cs="Arial"/>
        </w:rPr>
        <w:t xml:space="preserve">he </w:t>
      </w:r>
      <w:r w:rsidR="0086407D" w:rsidRPr="73F45BE0">
        <w:rPr>
          <w:rFonts w:cs="Arial"/>
        </w:rPr>
        <w:t xml:space="preserve"> restriction of these phthalates has </w:t>
      </w:r>
      <w:r w:rsidR="000D74E7" w:rsidRPr="73F45BE0">
        <w:rPr>
          <w:rFonts w:cs="Arial"/>
        </w:rPr>
        <w:t xml:space="preserve">already </w:t>
      </w:r>
      <w:r w:rsidR="003E5A80" w:rsidRPr="73F45BE0">
        <w:rPr>
          <w:rFonts w:cs="Arial"/>
        </w:rPr>
        <w:t>been granted in the EU</w:t>
      </w:r>
      <w:r w:rsidR="004625B9" w:rsidRPr="73F45BE0">
        <w:rPr>
          <w:rFonts w:cs="Arial"/>
        </w:rPr>
        <w:t xml:space="preserve">, meaning businesses and producers have already adapted to use alternatives, and a domestic </w:t>
      </w:r>
      <w:r w:rsidR="00A97392">
        <w:rPr>
          <w:rFonts w:cs="Arial"/>
        </w:rPr>
        <w:t xml:space="preserve">restriction </w:t>
      </w:r>
      <w:r w:rsidR="004625B9" w:rsidRPr="73F45BE0">
        <w:rPr>
          <w:rFonts w:cs="Arial"/>
        </w:rPr>
        <w:t>would prevent GB becoming a ‘dumping ground’ for</w:t>
      </w:r>
      <w:r w:rsidR="004251E9" w:rsidRPr="73F45BE0">
        <w:rPr>
          <w:rFonts w:cs="Arial"/>
        </w:rPr>
        <w:t xml:space="preserve"> certain</w:t>
      </w:r>
      <w:r w:rsidR="004625B9" w:rsidRPr="73F45BE0">
        <w:rPr>
          <w:rFonts w:cs="Arial"/>
        </w:rPr>
        <w:t xml:space="preserve"> phthalate-containing </w:t>
      </w:r>
      <w:r w:rsidR="004251E9" w:rsidRPr="73F45BE0">
        <w:rPr>
          <w:rFonts w:cs="Arial"/>
        </w:rPr>
        <w:t xml:space="preserve"> medical devices and monitoring</w:t>
      </w:r>
      <w:r w:rsidR="00A37CD3">
        <w:rPr>
          <w:rFonts w:cs="Arial"/>
        </w:rPr>
        <w:t xml:space="preserve"> and</w:t>
      </w:r>
      <w:r w:rsidR="004251E9" w:rsidRPr="73F45BE0">
        <w:rPr>
          <w:rFonts w:cs="Arial"/>
        </w:rPr>
        <w:t xml:space="preserve"> control instrumentation. </w:t>
      </w:r>
    </w:p>
    <w:p w14:paraId="5F7BDA24" w14:textId="5AD7ADA9" w:rsidR="007E42CC" w:rsidRPr="00EC4B45" w:rsidRDefault="004625B9" w:rsidP="007E42CC">
      <w:pPr>
        <w:rPr>
          <w:rFonts w:cs="Arial"/>
          <w:b/>
          <w:bCs/>
          <w:szCs w:val="24"/>
        </w:rPr>
      </w:pPr>
      <w:r>
        <w:rPr>
          <w:rFonts w:cs="Arial"/>
          <w:szCs w:val="24"/>
        </w:rPr>
        <w:t xml:space="preserve">We intend to do this using the </w:t>
      </w:r>
      <w:r>
        <w:t>Hazardous Substances and Packaging (</w:t>
      </w:r>
      <w:r w:rsidRPr="005470CD">
        <w:rPr>
          <w:rFonts w:cs="Arial"/>
          <w:szCs w:val="24"/>
        </w:rPr>
        <w:t xml:space="preserve">Legislative Functions and Amendment) (EU Exit) Regulations 2020 </w:t>
      </w:r>
      <w:r>
        <w:rPr>
          <w:rFonts w:cs="Arial"/>
          <w:szCs w:val="24"/>
        </w:rPr>
        <w:t xml:space="preserve">(‘the EU Exit Regulations’). This legislation provides the Secretary of State with powers </w:t>
      </w:r>
      <w:r w:rsidRPr="00EC4B45">
        <w:rPr>
          <w:rFonts w:cs="Arial"/>
          <w:szCs w:val="24"/>
        </w:rPr>
        <w:t>to amend</w:t>
      </w:r>
      <w:r>
        <w:rPr>
          <w:rFonts w:cs="Arial"/>
          <w:szCs w:val="24"/>
        </w:rPr>
        <w:t>, by regulations,</w:t>
      </w:r>
      <w:r w:rsidRPr="00EC4B45">
        <w:rPr>
          <w:rFonts w:cs="Arial"/>
          <w:szCs w:val="24"/>
        </w:rPr>
        <w:t xml:space="preserve"> the list of restricted substances and maximum permitted concentration thresholds </w:t>
      </w:r>
      <w:r>
        <w:rPr>
          <w:rFonts w:cs="Arial"/>
          <w:szCs w:val="24"/>
        </w:rPr>
        <w:t>for each of those substances set out in the RoHS Regulations</w:t>
      </w:r>
    </w:p>
    <w:p w14:paraId="2D6C7BDC" w14:textId="77777777" w:rsidR="007E42CC" w:rsidRPr="002F0452" w:rsidRDefault="007E42CC" w:rsidP="002F0452">
      <w:pPr>
        <w:pStyle w:val="Heading1"/>
      </w:pPr>
      <w:bookmarkStart w:id="3" w:name="_Toc81386053"/>
      <w:r w:rsidRPr="002F0452">
        <w:t>Purpose of this consultation</w:t>
      </w:r>
      <w:bookmarkEnd w:id="3"/>
      <w:r w:rsidRPr="002F0452">
        <w:t xml:space="preserve"> </w:t>
      </w:r>
    </w:p>
    <w:p w14:paraId="4C4CA5B0" w14:textId="0CE9F9C6" w:rsidR="00276CA6" w:rsidRDefault="00276CA6" w:rsidP="007E42CC">
      <w:pPr>
        <w:rPr>
          <w:rFonts w:cs="Arial"/>
          <w:szCs w:val="24"/>
        </w:rPr>
      </w:pPr>
      <w:r>
        <w:rPr>
          <w:rFonts w:cs="Arial"/>
          <w:szCs w:val="24"/>
        </w:rPr>
        <w:t>The restricted substances set out in the RoHS Regulations to which maximum concentration limits currently apply</w:t>
      </w:r>
      <w:r w:rsidR="00AD27E5">
        <w:rPr>
          <w:rFonts w:cs="Arial"/>
          <w:szCs w:val="24"/>
        </w:rPr>
        <w:t xml:space="preserve"> (in brackets)</w:t>
      </w:r>
      <w:r>
        <w:rPr>
          <w:rFonts w:cs="Arial"/>
          <w:szCs w:val="24"/>
        </w:rPr>
        <w:t xml:space="preserve"> include </w:t>
      </w:r>
      <w:r w:rsidRPr="00EC4B45">
        <w:rPr>
          <w:rFonts w:cs="Arial"/>
          <w:szCs w:val="24"/>
        </w:rPr>
        <w:t>four phthalates</w:t>
      </w:r>
      <w:r>
        <w:rPr>
          <w:rFonts w:cs="Arial"/>
          <w:szCs w:val="24"/>
        </w:rPr>
        <w:t>:</w:t>
      </w:r>
    </w:p>
    <w:p w14:paraId="72F7ED7F" w14:textId="2B52C47E" w:rsidR="00276CA6" w:rsidRDefault="00276CA6" w:rsidP="007E42CC">
      <w:pPr>
        <w:rPr>
          <w:rFonts w:cs="Arial"/>
          <w:szCs w:val="24"/>
        </w:rPr>
      </w:pPr>
      <w:r w:rsidRPr="00EC4B45">
        <w:rPr>
          <w:rFonts w:cs="Arial"/>
          <w:szCs w:val="24"/>
        </w:rPr>
        <w:t xml:space="preserve"> Bis(2-ethylhexyl) phthalate (DEHP)</w:t>
      </w:r>
      <w:r w:rsidR="00AD27E5">
        <w:rPr>
          <w:rFonts w:cs="Arial"/>
          <w:szCs w:val="24"/>
        </w:rPr>
        <w:t xml:space="preserve"> (0.1%)</w:t>
      </w:r>
      <w:r w:rsidR="00A421C4">
        <w:rPr>
          <w:rFonts w:cs="Arial"/>
          <w:szCs w:val="24"/>
        </w:rPr>
        <w:t>,</w:t>
      </w:r>
    </w:p>
    <w:p w14:paraId="599A2C40" w14:textId="00F89175" w:rsidR="00276CA6" w:rsidRDefault="00276CA6" w:rsidP="007E42CC">
      <w:pPr>
        <w:rPr>
          <w:rFonts w:cs="Arial"/>
          <w:szCs w:val="24"/>
        </w:rPr>
      </w:pPr>
      <w:r w:rsidRPr="00EC4B45">
        <w:rPr>
          <w:rFonts w:cs="Arial"/>
          <w:szCs w:val="24"/>
        </w:rPr>
        <w:t>Butyl benzyl phthalate (BBP)</w:t>
      </w:r>
      <w:r w:rsidR="00AD27E5">
        <w:rPr>
          <w:rFonts w:cs="Arial"/>
          <w:szCs w:val="24"/>
        </w:rPr>
        <w:t xml:space="preserve"> (0.1%)</w:t>
      </w:r>
      <w:r w:rsidRPr="00EC4B45">
        <w:rPr>
          <w:rFonts w:cs="Arial"/>
          <w:szCs w:val="24"/>
        </w:rPr>
        <w:t xml:space="preserve">, </w:t>
      </w:r>
    </w:p>
    <w:p w14:paraId="4782FD28" w14:textId="7B72C5D3" w:rsidR="00276CA6" w:rsidRDefault="00276CA6" w:rsidP="007E42CC">
      <w:pPr>
        <w:rPr>
          <w:rFonts w:cs="Arial"/>
          <w:szCs w:val="24"/>
        </w:rPr>
      </w:pPr>
      <w:r w:rsidRPr="00EC4B45">
        <w:rPr>
          <w:rFonts w:cs="Arial"/>
          <w:szCs w:val="24"/>
        </w:rPr>
        <w:t xml:space="preserve">Dibutyl phthalate (DBP) </w:t>
      </w:r>
      <w:r w:rsidR="00AD27E5">
        <w:rPr>
          <w:rFonts w:cs="Arial"/>
          <w:szCs w:val="24"/>
        </w:rPr>
        <w:t xml:space="preserve">(0.1%) </w:t>
      </w:r>
      <w:r w:rsidRPr="00EC4B45">
        <w:rPr>
          <w:rFonts w:cs="Arial"/>
          <w:szCs w:val="24"/>
        </w:rPr>
        <w:t xml:space="preserve">and </w:t>
      </w:r>
    </w:p>
    <w:p w14:paraId="5B3204D8" w14:textId="11D9B5D0" w:rsidR="00276CA6" w:rsidRDefault="00276CA6" w:rsidP="007E42CC">
      <w:pPr>
        <w:rPr>
          <w:rFonts w:cs="Arial"/>
          <w:szCs w:val="24"/>
        </w:rPr>
      </w:pPr>
      <w:proofErr w:type="spellStart"/>
      <w:r w:rsidRPr="00EC4B45">
        <w:rPr>
          <w:rFonts w:cs="Arial"/>
          <w:szCs w:val="24"/>
        </w:rPr>
        <w:t>Diisobutyl</w:t>
      </w:r>
      <w:proofErr w:type="spellEnd"/>
      <w:r w:rsidRPr="00EC4B45">
        <w:rPr>
          <w:rFonts w:cs="Arial"/>
          <w:szCs w:val="24"/>
        </w:rPr>
        <w:t xml:space="preserve"> phthalate (DIBP)</w:t>
      </w:r>
      <w:r w:rsidR="00AD27E5">
        <w:rPr>
          <w:rFonts w:cs="Arial"/>
          <w:szCs w:val="24"/>
        </w:rPr>
        <w:t xml:space="preserve"> (0.1%)</w:t>
      </w:r>
    </w:p>
    <w:p w14:paraId="2000BA94" w14:textId="10100B9B" w:rsidR="005B0DE6" w:rsidRDefault="00827F87" w:rsidP="007E42CC">
      <w:pPr>
        <w:rPr>
          <w:rFonts w:cs="Arial"/>
          <w:szCs w:val="24"/>
        </w:rPr>
      </w:pPr>
      <w:r>
        <w:rPr>
          <w:rFonts w:cs="Arial"/>
          <w:szCs w:val="24"/>
        </w:rPr>
        <w:t>We commissioned an independent</w:t>
      </w:r>
      <w:r w:rsidR="00D3371D">
        <w:rPr>
          <w:rFonts w:cs="Arial"/>
          <w:szCs w:val="24"/>
        </w:rPr>
        <w:t xml:space="preserve"> </w:t>
      </w:r>
      <w:r>
        <w:rPr>
          <w:rFonts w:cs="Arial"/>
          <w:szCs w:val="24"/>
        </w:rPr>
        <w:t>review</w:t>
      </w:r>
      <w:r w:rsidR="00D3371D">
        <w:rPr>
          <w:rFonts w:cs="Arial"/>
          <w:szCs w:val="24"/>
        </w:rPr>
        <w:t xml:space="preserve"> from Anthesis</w:t>
      </w:r>
      <w:r w:rsidR="005B0DE6">
        <w:rPr>
          <w:rFonts w:cs="Arial"/>
          <w:szCs w:val="24"/>
        </w:rPr>
        <w:t xml:space="preserve"> which is published alongside this report</w:t>
      </w:r>
      <w:r w:rsidR="00D3371D">
        <w:rPr>
          <w:rFonts w:cs="Arial"/>
          <w:szCs w:val="24"/>
        </w:rPr>
        <w:t xml:space="preserve"> (see p</w:t>
      </w:r>
      <w:r w:rsidR="00082618">
        <w:rPr>
          <w:rFonts w:cs="Arial"/>
          <w:szCs w:val="24"/>
        </w:rPr>
        <w:t>age</w:t>
      </w:r>
      <w:r w:rsidR="00D3371D">
        <w:rPr>
          <w:rFonts w:cs="Arial"/>
          <w:szCs w:val="24"/>
        </w:rPr>
        <w:t xml:space="preserve"> </w:t>
      </w:r>
      <w:r w:rsidR="00082618">
        <w:rPr>
          <w:rFonts w:cs="Arial"/>
          <w:szCs w:val="24"/>
        </w:rPr>
        <w:t>11</w:t>
      </w:r>
      <w:r w:rsidR="00054693">
        <w:rPr>
          <w:rFonts w:cs="Arial"/>
          <w:szCs w:val="24"/>
        </w:rPr>
        <w:t xml:space="preserve"> for more detail</w:t>
      </w:r>
      <w:r w:rsidR="00D3371D">
        <w:rPr>
          <w:rFonts w:cs="Arial"/>
          <w:szCs w:val="24"/>
        </w:rPr>
        <w:t>)</w:t>
      </w:r>
      <w:r>
        <w:rPr>
          <w:rFonts w:cs="Arial"/>
          <w:szCs w:val="24"/>
        </w:rPr>
        <w:t xml:space="preserve"> which recommends </w:t>
      </w:r>
      <w:r w:rsidR="00D3371D">
        <w:rPr>
          <w:rFonts w:cs="Arial"/>
          <w:szCs w:val="24"/>
        </w:rPr>
        <w:t xml:space="preserve">including the restriction of phthalates in medical devices </w:t>
      </w:r>
      <w:r w:rsidR="00054693">
        <w:rPr>
          <w:rFonts w:cs="Arial"/>
          <w:szCs w:val="24"/>
        </w:rPr>
        <w:t xml:space="preserve">and monitoring and control instruments including industrial monitoring and control instruments in GB. </w:t>
      </w:r>
      <w:r w:rsidR="005B0DE6">
        <w:rPr>
          <w:rFonts w:cs="Arial"/>
          <w:szCs w:val="24"/>
        </w:rPr>
        <w:t xml:space="preserve"> </w:t>
      </w:r>
    </w:p>
    <w:p w14:paraId="404E8471" w14:textId="55CDBE8B" w:rsidR="00054693" w:rsidRDefault="00054693" w:rsidP="007E42CC">
      <w:pPr>
        <w:rPr>
          <w:rFonts w:cs="Arial"/>
          <w:szCs w:val="24"/>
        </w:rPr>
      </w:pPr>
      <w:r>
        <w:rPr>
          <w:rFonts w:cs="Arial"/>
          <w:szCs w:val="24"/>
        </w:rPr>
        <w:t xml:space="preserve">The purpose of this consultation, therefore, is to ask for your views on this </w:t>
      </w:r>
      <w:r w:rsidR="005B0DE6">
        <w:rPr>
          <w:rFonts w:cs="Arial"/>
          <w:szCs w:val="24"/>
        </w:rPr>
        <w:t>recommendation.</w:t>
      </w:r>
    </w:p>
    <w:p w14:paraId="4FE75E3A" w14:textId="77777777" w:rsidR="00054693" w:rsidRDefault="00054693" w:rsidP="007E42CC">
      <w:pPr>
        <w:rPr>
          <w:rFonts w:cs="Arial"/>
          <w:szCs w:val="24"/>
        </w:rPr>
      </w:pPr>
    </w:p>
    <w:p w14:paraId="7E28FC83" w14:textId="77777777" w:rsidR="006176B6" w:rsidRDefault="006176B6" w:rsidP="007E42CC">
      <w:pPr>
        <w:rPr>
          <w:rFonts w:cs="Arial"/>
          <w:b/>
          <w:bCs/>
          <w:color w:val="008330" w:themeColor="text2" w:themeShade="BF"/>
          <w:sz w:val="32"/>
          <w:szCs w:val="32"/>
        </w:rPr>
      </w:pPr>
    </w:p>
    <w:p w14:paraId="42B93AE7" w14:textId="714BA5EA" w:rsidR="007E42CC" w:rsidRDefault="007E42CC" w:rsidP="002F0452">
      <w:pPr>
        <w:pStyle w:val="Heading1"/>
      </w:pPr>
      <w:bookmarkStart w:id="4" w:name="_Toc81386054"/>
      <w:r w:rsidRPr="00F875BA">
        <w:t>Geographical extent</w:t>
      </w:r>
      <w:bookmarkEnd w:id="4"/>
      <w:r w:rsidRPr="00F875BA">
        <w:t xml:space="preserve"> </w:t>
      </w:r>
    </w:p>
    <w:p w14:paraId="472FE67E" w14:textId="7992FA23" w:rsidR="00027BCA" w:rsidRDefault="00027BCA" w:rsidP="007E42CC">
      <w:pPr>
        <w:rPr>
          <w:szCs w:val="24"/>
        </w:rPr>
      </w:pPr>
      <w:r>
        <w:rPr>
          <w:szCs w:val="24"/>
        </w:rPr>
        <w:t xml:space="preserve">We are consulting on amendments applicable to England, </w:t>
      </w:r>
      <w:proofErr w:type="gramStart"/>
      <w:r>
        <w:rPr>
          <w:szCs w:val="24"/>
        </w:rPr>
        <w:t>Wales</w:t>
      </w:r>
      <w:proofErr w:type="gramEnd"/>
      <w:r>
        <w:rPr>
          <w:szCs w:val="24"/>
        </w:rPr>
        <w:t xml:space="preserve"> and Scotland </w:t>
      </w:r>
      <w:r w:rsidR="003E6DC9">
        <w:rPr>
          <w:szCs w:val="24"/>
        </w:rPr>
        <w:t>only.</w:t>
      </w:r>
      <w:r w:rsidR="003E6DC9">
        <w:rPr>
          <w:rFonts w:cs="Arial"/>
          <w:szCs w:val="24"/>
        </w:rPr>
        <w:t xml:space="preserve"> Directive</w:t>
      </w:r>
      <w:r w:rsidR="004516B6">
        <w:rPr>
          <w:rFonts w:cs="Arial"/>
          <w:szCs w:val="24"/>
        </w:rPr>
        <w:t xml:space="preserve">  2011/65/EU on the </w:t>
      </w:r>
      <w:r w:rsidR="002263A5">
        <w:rPr>
          <w:rFonts w:cs="Arial"/>
          <w:szCs w:val="24"/>
        </w:rPr>
        <w:t>R</w:t>
      </w:r>
      <w:r w:rsidR="004516B6">
        <w:rPr>
          <w:rFonts w:cs="Arial"/>
          <w:szCs w:val="24"/>
        </w:rPr>
        <w:t>estriction of the</w:t>
      </w:r>
      <w:r w:rsidR="002263A5">
        <w:rPr>
          <w:rFonts w:cs="Arial"/>
          <w:szCs w:val="24"/>
        </w:rPr>
        <w:t xml:space="preserve"> U</w:t>
      </w:r>
      <w:r w:rsidR="004516B6">
        <w:rPr>
          <w:rFonts w:cs="Arial"/>
          <w:szCs w:val="24"/>
        </w:rPr>
        <w:t xml:space="preserve">se of </w:t>
      </w:r>
      <w:r w:rsidR="002263A5">
        <w:rPr>
          <w:rFonts w:cs="Arial"/>
          <w:szCs w:val="24"/>
        </w:rPr>
        <w:t>C</w:t>
      </w:r>
      <w:r w:rsidR="004516B6">
        <w:rPr>
          <w:rFonts w:cs="Arial"/>
          <w:szCs w:val="24"/>
        </w:rPr>
        <w:t xml:space="preserve">ertain </w:t>
      </w:r>
      <w:r w:rsidR="002263A5">
        <w:rPr>
          <w:rFonts w:cs="Arial"/>
          <w:szCs w:val="24"/>
        </w:rPr>
        <w:t>H</w:t>
      </w:r>
      <w:r w:rsidR="004516B6">
        <w:rPr>
          <w:rFonts w:cs="Arial"/>
          <w:szCs w:val="24"/>
        </w:rPr>
        <w:t xml:space="preserve">azardous substances in electrical and electronic equipment  </w:t>
      </w:r>
      <w:r w:rsidR="00644F41">
        <w:rPr>
          <w:rFonts w:cs="Arial"/>
          <w:szCs w:val="24"/>
        </w:rPr>
        <w:t>(‘</w:t>
      </w:r>
      <w:r>
        <w:rPr>
          <w:szCs w:val="24"/>
        </w:rPr>
        <w:t>ROHS Directive</w:t>
      </w:r>
      <w:r w:rsidR="00644F41">
        <w:rPr>
          <w:szCs w:val="24"/>
        </w:rPr>
        <w:t>’)</w:t>
      </w:r>
      <w:r>
        <w:rPr>
          <w:szCs w:val="24"/>
        </w:rPr>
        <w:t xml:space="preserve"> is in scope of the Northern Ireland Protocol (part of the Trade and Cooperation Agreement with the EU), and so at present, the EU ROHS Directive continues to apply in Northern Ireland. Thus, Northern Ireland is out of scope of this consultation. </w:t>
      </w:r>
    </w:p>
    <w:p w14:paraId="36AF2DBF" w14:textId="6F9B4CE0" w:rsidR="002C71D8" w:rsidRDefault="002C71D8" w:rsidP="002C71D8">
      <w:pPr>
        <w:rPr>
          <w:sz w:val="22"/>
        </w:rPr>
      </w:pPr>
      <w:r>
        <w:rPr>
          <w:szCs w:val="24"/>
        </w:rPr>
        <w:t xml:space="preserve">The government is seeking a new, consensual approach to implementing the </w:t>
      </w:r>
      <w:r w:rsidRPr="00DE1E80">
        <w:rPr>
          <w:szCs w:val="24"/>
        </w:rPr>
        <w:t>Northern Ireland</w:t>
      </w:r>
      <w:r>
        <w:rPr>
          <w:szCs w:val="24"/>
        </w:rPr>
        <w:t xml:space="preserve"> Protocol, that ensures it operates in an enduring way. As outlined in the Command Paper – ‘The Northern Ireland Protocol (NIP): the way forward’ published on 21 July 2021, the government proposes to remove unnecessary burdens on trade in goods within the UK, while respecting the EU’s Single Market. We recognise </w:t>
      </w:r>
      <w:r w:rsidRPr="00DE1E80">
        <w:rPr>
          <w:szCs w:val="24"/>
        </w:rPr>
        <w:t>that the NIP includes ambitious proposals</w:t>
      </w:r>
      <w:r w:rsidRPr="002C71D8">
        <w:rPr>
          <w:szCs w:val="24"/>
        </w:rPr>
        <w:t xml:space="preserve"> that require</w:t>
      </w:r>
      <w:r>
        <w:rPr>
          <w:szCs w:val="24"/>
        </w:rPr>
        <w:t xml:space="preserve"> significant changes to the existing Protocol.  As discussions progress, there may be an impact on how the Northern Ireland Protocol is applied in relation to this matter. However, given that we are not seeking to change how the RoHS Directive is applied in Northern Ireland, and instead consulting on amendments applicable to England, Scotland, and Wales only, this is unlikely to impact Northern Ireland industry at present.</w:t>
      </w:r>
    </w:p>
    <w:p w14:paraId="4BF779D1" w14:textId="77777777" w:rsidR="002C71D8" w:rsidRPr="002C71D8" w:rsidRDefault="002C71D8" w:rsidP="00DE1E80"/>
    <w:p w14:paraId="1A321EB4" w14:textId="77777777" w:rsidR="007E42CC" w:rsidRPr="00F875BA" w:rsidRDefault="007E42CC" w:rsidP="002F0452">
      <w:pPr>
        <w:pStyle w:val="Heading1"/>
      </w:pPr>
      <w:bookmarkStart w:id="5" w:name="_Toc81386055"/>
      <w:r w:rsidRPr="00F875BA">
        <w:t>Audience</w:t>
      </w:r>
      <w:bookmarkEnd w:id="5"/>
      <w:r w:rsidRPr="00F875BA">
        <w:t xml:space="preserve"> </w:t>
      </w:r>
    </w:p>
    <w:p w14:paraId="0FD09CE9" w14:textId="7AE989B8" w:rsidR="007E42CC" w:rsidRPr="00EC4B45" w:rsidRDefault="007E42CC" w:rsidP="007E42CC">
      <w:pPr>
        <w:rPr>
          <w:rFonts w:cs="Arial"/>
          <w:szCs w:val="24"/>
        </w:rPr>
      </w:pPr>
      <w:r w:rsidRPr="00EC4B45">
        <w:rPr>
          <w:rFonts w:cs="Arial"/>
          <w:szCs w:val="24"/>
        </w:rPr>
        <w:t xml:space="preserve">This is </w:t>
      </w:r>
      <w:r w:rsidR="004625B9">
        <w:rPr>
          <w:rFonts w:cs="Arial"/>
          <w:szCs w:val="24"/>
        </w:rPr>
        <w:t xml:space="preserve">a </w:t>
      </w:r>
      <w:r w:rsidRPr="00EC4B45">
        <w:rPr>
          <w:rFonts w:cs="Arial"/>
          <w:szCs w:val="24"/>
        </w:rPr>
        <w:t>public consultation and we welcome all views</w:t>
      </w:r>
      <w:r w:rsidR="004625B9">
        <w:rPr>
          <w:rFonts w:cs="Arial"/>
          <w:szCs w:val="24"/>
        </w:rPr>
        <w:t>,</w:t>
      </w:r>
      <w:r w:rsidRPr="00EC4B45">
        <w:rPr>
          <w:rFonts w:cs="Arial"/>
          <w:szCs w:val="24"/>
        </w:rPr>
        <w:t xml:space="preserve"> including views from the medical</w:t>
      </w:r>
      <w:r w:rsidR="006515A4">
        <w:rPr>
          <w:rFonts w:cs="Arial"/>
          <w:szCs w:val="24"/>
        </w:rPr>
        <w:t xml:space="preserve"> equipment</w:t>
      </w:r>
      <w:r w:rsidR="00AD27E5">
        <w:rPr>
          <w:rFonts w:cs="Arial"/>
          <w:szCs w:val="24"/>
        </w:rPr>
        <w:t xml:space="preserve"> and control and instrumentation equipment</w:t>
      </w:r>
      <w:r w:rsidRPr="00EC4B45">
        <w:rPr>
          <w:rFonts w:cs="Arial"/>
          <w:szCs w:val="24"/>
        </w:rPr>
        <w:t xml:space="preserve"> industry</w:t>
      </w:r>
      <w:r w:rsidR="004625B9">
        <w:rPr>
          <w:rFonts w:cs="Arial"/>
          <w:szCs w:val="24"/>
        </w:rPr>
        <w:t xml:space="preserve">, </w:t>
      </w:r>
      <w:r w:rsidR="00704394">
        <w:rPr>
          <w:rFonts w:cs="Arial"/>
          <w:szCs w:val="24"/>
        </w:rPr>
        <w:t>and trade</w:t>
      </w:r>
      <w:r w:rsidRPr="00EC4B45">
        <w:rPr>
          <w:rFonts w:cs="Arial"/>
          <w:szCs w:val="24"/>
        </w:rPr>
        <w:t xml:space="preserve"> bodies. </w:t>
      </w:r>
    </w:p>
    <w:p w14:paraId="51204EFD" w14:textId="77777777" w:rsidR="007E42CC" w:rsidRPr="00EC4B45" w:rsidRDefault="007E42CC" w:rsidP="007E42CC">
      <w:pPr>
        <w:rPr>
          <w:rFonts w:cs="Arial"/>
          <w:szCs w:val="24"/>
        </w:rPr>
      </w:pPr>
    </w:p>
    <w:p w14:paraId="5F833087" w14:textId="77777777" w:rsidR="007E42CC" w:rsidRPr="00F875BA" w:rsidRDefault="007E42CC" w:rsidP="002F0452">
      <w:pPr>
        <w:pStyle w:val="Heading1"/>
      </w:pPr>
      <w:bookmarkStart w:id="6" w:name="_Toc81386056"/>
      <w:r w:rsidRPr="00F875BA">
        <w:t>Responding to this consultation</w:t>
      </w:r>
      <w:bookmarkEnd w:id="6"/>
      <w:r w:rsidRPr="00F875BA">
        <w:t xml:space="preserve"> </w:t>
      </w:r>
    </w:p>
    <w:p w14:paraId="46E9851B" w14:textId="77777777" w:rsidR="007E42CC" w:rsidRPr="00EC4B45" w:rsidRDefault="007E42CC" w:rsidP="007E42CC">
      <w:pPr>
        <w:jc w:val="both"/>
        <w:rPr>
          <w:rFonts w:cs="Arial"/>
          <w:szCs w:val="24"/>
        </w:rPr>
      </w:pPr>
      <w:r w:rsidRPr="00EC4B45">
        <w:rPr>
          <w:rFonts w:cs="Arial"/>
          <w:szCs w:val="24"/>
        </w:rPr>
        <w:t xml:space="preserve">Please respond to this consultation in one of the following ways: </w:t>
      </w:r>
    </w:p>
    <w:p w14:paraId="07A44364" w14:textId="77777777" w:rsidR="007E42CC" w:rsidRPr="00EC4B45" w:rsidRDefault="007E42CC" w:rsidP="007E42CC">
      <w:pPr>
        <w:jc w:val="both"/>
        <w:rPr>
          <w:rFonts w:cs="Arial"/>
          <w:szCs w:val="24"/>
        </w:rPr>
      </w:pPr>
      <w:r w:rsidRPr="00EC4B45">
        <w:rPr>
          <w:rFonts w:cs="Arial"/>
          <w:szCs w:val="24"/>
        </w:rPr>
        <w:t xml:space="preserve">Online using the Citizen Space consultation hub at Defra </w:t>
      </w:r>
      <w:hyperlink r:id="rId18" w:history="1">
        <w:r w:rsidRPr="00EC4B45">
          <w:rPr>
            <w:rStyle w:val="Hyperlink"/>
            <w:rFonts w:cs="Arial"/>
            <w:szCs w:val="24"/>
          </w:rPr>
          <w:t>https://consult.defra.gov.uk/</w:t>
        </w:r>
      </w:hyperlink>
      <w:r w:rsidRPr="00EC4B45">
        <w:rPr>
          <w:rFonts w:cs="Arial"/>
          <w:szCs w:val="24"/>
        </w:rPr>
        <w:t xml:space="preserve"> </w:t>
      </w:r>
    </w:p>
    <w:p w14:paraId="43B9F9FE" w14:textId="77777777" w:rsidR="007E42CC" w:rsidRPr="00EC4B45" w:rsidRDefault="007E42CC" w:rsidP="007E42CC">
      <w:pPr>
        <w:jc w:val="both"/>
        <w:rPr>
          <w:rFonts w:cs="Arial"/>
          <w:szCs w:val="24"/>
        </w:rPr>
      </w:pPr>
      <w:r w:rsidRPr="00EC4B45">
        <w:rPr>
          <w:rFonts w:cs="Arial"/>
          <w:szCs w:val="24"/>
        </w:rPr>
        <w:t xml:space="preserve">For ease of analysis, responses via the Citizen Space platform would be preferred, but alternative options are provided below if required: By email to: </w:t>
      </w:r>
      <w:hyperlink r:id="rId19" w:history="1">
        <w:r w:rsidRPr="00FC64D5">
          <w:rPr>
            <w:rStyle w:val="Hyperlink"/>
            <w:rFonts w:cs="Arial"/>
            <w:szCs w:val="24"/>
          </w:rPr>
          <w:t>rohs@defra.gov.uk</w:t>
        </w:r>
      </w:hyperlink>
      <w:r w:rsidRPr="00EC4B45">
        <w:rPr>
          <w:rFonts w:cs="Arial"/>
          <w:szCs w:val="24"/>
        </w:rPr>
        <w:t xml:space="preserve"> </w:t>
      </w:r>
    </w:p>
    <w:p w14:paraId="50B8549F" w14:textId="77777777" w:rsidR="007E42CC" w:rsidRPr="00EC4B45" w:rsidRDefault="007E42CC" w:rsidP="007E42CC">
      <w:pPr>
        <w:jc w:val="both"/>
        <w:rPr>
          <w:rFonts w:cs="Arial"/>
          <w:szCs w:val="24"/>
        </w:rPr>
      </w:pPr>
      <w:r w:rsidRPr="00EC4B45">
        <w:rPr>
          <w:rFonts w:cs="Arial"/>
          <w:szCs w:val="24"/>
        </w:rPr>
        <w:t xml:space="preserve">In writing to: </w:t>
      </w:r>
    </w:p>
    <w:p w14:paraId="3544F91E" w14:textId="77777777" w:rsidR="00901970" w:rsidRDefault="00901970" w:rsidP="00901970">
      <w:pPr>
        <w:textAlignment w:val="baseline"/>
        <w:rPr>
          <w:rFonts w:ascii="Segoe UI" w:hAnsi="Segoe UI" w:cs="Segoe UI"/>
          <w:noProof/>
          <w:sz w:val="18"/>
          <w:szCs w:val="18"/>
          <w:lang w:eastAsia="en-GB"/>
        </w:rPr>
      </w:pPr>
      <w:r>
        <w:rPr>
          <w:rFonts w:cs="Calibri"/>
          <w:noProof/>
          <w:lang w:eastAsia="en-GB"/>
        </w:rPr>
        <w:t>Consultation Coordinator, Defra </w:t>
      </w:r>
    </w:p>
    <w:p w14:paraId="3215B769" w14:textId="77777777" w:rsidR="00901970" w:rsidRDefault="00901970" w:rsidP="00901970">
      <w:pPr>
        <w:textAlignment w:val="baseline"/>
        <w:rPr>
          <w:rFonts w:ascii="Segoe UI" w:hAnsi="Segoe UI" w:cs="Segoe UI"/>
          <w:noProof/>
          <w:sz w:val="18"/>
          <w:szCs w:val="18"/>
          <w:lang w:eastAsia="en-GB"/>
        </w:rPr>
      </w:pPr>
      <w:r>
        <w:rPr>
          <w:rFonts w:cs="Calibri"/>
          <w:noProof/>
          <w:lang w:eastAsia="en-GB"/>
        </w:rPr>
        <w:lastRenderedPageBreak/>
        <w:t>2nd Floor, Foss House, </w:t>
      </w:r>
      <w:r>
        <w:rPr>
          <w:rFonts w:cs="Calibri"/>
          <w:noProof/>
          <w:lang w:val="en-US" w:eastAsia="en-GB"/>
        </w:rPr>
        <w:t>Kings Pool, </w:t>
      </w:r>
      <w:r>
        <w:rPr>
          <w:rFonts w:cs="Calibri"/>
          <w:noProof/>
          <w:lang w:eastAsia="en-GB"/>
        </w:rPr>
        <w:t> </w:t>
      </w:r>
    </w:p>
    <w:p w14:paraId="062A03E0" w14:textId="77777777" w:rsidR="00901970" w:rsidRDefault="00901970" w:rsidP="00901970">
      <w:pPr>
        <w:textAlignment w:val="baseline"/>
        <w:rPr>
          <w:rFonts w:ascii="Segoe UI" w:hAnsi="Segoe UI" w:cs="Segoe UI"/>
          <w:noProof/>
          <w:sz w:val="18"/>
          <w:szCs w:val="18"/>
          <w:lang w:eastAsia="en-GB"/>
        </w:rPr>
      </w:pPr>
      <w:r>
        <w:rPr>
          <w:rFonts w:cs="Calibri"/>
          <w:noProof/>
          <w:lang w:val="en-US" w:eastAsia="en-GB"/>
        </w:rPr>
        <w:t>1-2 Peasholme Green, York, YO1 7PX</w:t>
      </w:r>
      <w:r>
        <w:rPr>
          <w:rFonts w:cs="Calibri"/>
          <w:noProof/>
          <w:lang w:eastAsia="en-GB"/>
        </w:rPr>
        <w:t> </w:t>
      </w:r>
    </w:p>
    <w:p w14:paraId="14E35BDB" w14:textId="77777777" w:rsidR="00901970" w:rsidRDefault="00901970" w:rsidP="00901970">
      <w:pPr>
        <w:textAlignment w:val="baseline"/>
        <w:rPr>
          <w:rFonts w:ascii="Calibri" w:hAnsi="Calibri" w:cs="Calibri"/>
          <w:noProof/>
          <w:sz w:val="22"/>
          <w:lang w:eastAsia="en-GB"/>
        </w:rPr>
      </w:pPr>
      <w:r>
        <w:rPr>
          <w:rFonts w:cs="Calibri"/>
          <w:noProof/>
          <w:lang w:eastAsia="en-GB"/>
        </w:rPr>
        <w:t>Or email: </w:t>
      </w:r>
      <w:hyperlink r:id="rId20" w:tgtFrame="_blank" w:history="1">
        <w:r>
          <w:rPr>
            <w:rStyle w:val="Hyperlink"/>
            <w:rFonts w:cs="Calibri"/>
            <w:noProof/>
            <w:lang w:eastAsia="en-GB"/>
          </w:rPr>
          <w:t>consultation.coordinator@defra.gov.uk</w:t>
        </w:r>
      </w:hyperlink>
      <w:r>
        <w:rPr>
          <w:rFonts w:cs="Calibri"/>
          <w:noProof/>
          <w:lang w:eastAsia="en-GB"/>
        </w:rPr>
        <w:t> </w:t>
      </w:r>
    </w:p>
    <w:p w14:paraId="05575C8E" w14:textId="7D18B9B4" w:rsidR="007E42CC" w:rsidRPr="00EC4B45" w:rsidRDefault="007E42CC" w:rsidP="00064D71">
      <w:pPr>
        <w:spacing w:after="0"/>
        <w:jc w:val="both"/>
        <w:rPr>
          <w:rFonts w:cs="Arial"/>
          <w:szCs w:val="24"/>
        </w:rPr>
      </w:pPr>
      <w:r w:rsidRPr="00EC4B45">
        <w:rPr>
          <w:rFonts w:cs="Arial"/>
          <w:szCs w:val="24"/>
        </w:rPr>
        <w:t xml:space="preserve">Please note, any responses sent by post must </w:t>
      </w:r>
      <w:r w:rsidR="00EF1683">
        <w:rPr>
          <w:rFonts w:cs="Arial"/>
          <w:szCs w:val="24"/>
        </w:rPr>
        <w:t>arrive</w:t>
      </w:r>
      <w:r w:rsidRPr="00EC4B45">
        <w:rPr>
          <w:rFonts w:cs="Arial"/>
          <w:szCs w:val="24"/>
        </w:rPr>
        <w:t xml:space="preserve"> at the above address by the closing date of the consultation (</w:t>
      </w:r>
      <w:r w:rsidR="00901970">
        <w:rPr>
          <w:rFonts w:cs="Arial"/>
          <w:szCs w:val="24"/>
        </w:rPr>
        <w:t>12</w:t>
      </w:r>
      <w:r w:rsidR="00901970" w:rsidRPr="00215CF4">
        <w:rPr>
          <w:rFonts w:cs="Arial"/>
          <w:szCs w:val="24"/>
          <w:vertAlign w:val="superscript"/>
        </w:rPr>
        <w:t>th</w:t>
      </w:r>
      <w:r w:rsidR="00901970">
        <w:rPr>
          <w:rFonts w:cs="Arial"/>
          <w:szCs w:val="24"/>
        </w:rPr>
        <w:t xml:space="preserve"> October</w:t>
      </w:r>
      <w:r w:rsidRPr="00EC4B45">
        <w:rPr>
          <w:rFonts w:cs="Arial"/>
          <w:szCs w:val="24"/>
        </w:rPr>
        <w:t xml:space="preserve">) to be counted. Unfortunately, any responses received after this date will not be analysed. To ensure your response is included in the analysis, please consider responding online via Citizen Space. </w:t>
      </w:r>
    </w:p>
    <w:p w14:paraId="038661F8" w14:textId="77777777" w:rsidR="007E42CC" w:rsidRPr="00EC4B45" w:rsidRDefault="007E42CC" w:rsidP="007E42CC">
      <w:pPr>
        <w:rPr>
          <w:rFonts w:cs="Arial"/>
          <w:szCs w:val="24"/>
        </w:rPr>
      </w:pPr>
    </w:p>
    <w:p w14:paraId="55692B47" w14:textId="77777777" w:rsidR="007E42CC" w:rsidRPr="00F875BA" w:rsidRDefault="007E42CC" w:rsidP="002F0452">
      <w:pPr>
        <w:pStyle w:val="Heading1"/>
      </w:pPr>
      <w:bookmarkStart w:id="7" w:name="_Toc81386057"/>
      <w:r w:rsidRPr="00F875BA">
        <w:t>Duration</w:t>
      </w:r>
      <w:bookmarkEnd w:id="7"/>
      <w:r w:rsidRPr="00F875BA">
        <w:t xml:space="preserve"> </w:t>
      </w:r>
    </w:p>
    <w:p w14:paraId="3EAE27DF" w14:textId="22C34488" w:rsidR="007E42CC" w:rsidRPr="00EC4B45" w:rsidRDefault="007E42CC" w:rsidP="007E42CC">
      <w:pPr>
        <w:rPr>
          <w:rFonts w:cs="Arial"/>
          <w:szCs w:val="24"/>
        </w:rPr>
      </w:pPr>
      <w:r w:rsidRPr="00EC4B45">
        <w:rPr>
          <w:rFonts w:cs="Arial"/>
          <w:szCs w:val="24"/>
        </w:rPr>
        <w:t xml:space="preserve">This consultation open for </w:t>
      </w:r>
      <w:r w:rsidR="00AD27E5">
        <w:rPr>
          <w:rFonts w:cs="Arial"/>
          <w:szCs w:val="24"/>
        </w:rPr>
        <w:t>four</w:t>
      </w:r>
      <w:r w:rsidRPr="00EC4B45">
        <w:rPr>
          <w:rFonts w:cs="Arial"/>
          <w:szCs w:val="24"/>
        </w:rPr>
        <w:t xml:space="preserve"> weeks and will close on</w:t>
      </w:r>
      <w:r w:rsidR="00444785">
        <w:rPr>
          <w:rFonts w:cs="Arial"/>
          <w:szCs w:val="24"/>
        </w:rPr>
        <w:t xml:space="preserve"> 12 October</w:t>
      </w:r>
      <w:r w:rsidRPr="00EC4B45">
        <w:rPr>
          <w:rFonts w:cs="Arial"/>
          <w:szCs w:val="24"/>
        </w:rPr>
        <w:t xml:space="preserve"> </w:t>
      </w:r>
      <w:r>
        <w:rPr>
          <w:rFonts w:cs="Arial"/>
          <w:szCs w:val="24"/>
        </w:rPr>
        <w:t>20</w:t>
      </w:r>
      <w:r w:rsidRPr="00EC4B45">
        <w:rPr>
          <w:rFonts w:cs="Arial"/>
          <w:szCs w:val="24"/>
        </w:rPr>
        <w:t xml:space="preserve">21 </w:t>
      </w:r>
    </w:p>
    <w:p w14:paraId="3A3C7120" w14:textId="77777777" w:rsidR="007E42CC" w:rsidRPr="00EC4B45" w:rsidRDefault="007E42CC" w:rsidP="007E42CC">
      <w:pPr>
        <w:rPr>
          <w:rFonts w:cs="Arial"/>
          <w:b/>
          <w:bCs/>
          <w:szCs w:val="24"/>
        </w:rPr>
      </w:pPr>
    </w:p>
    <w:p w14:paraId="3BCCADAB" w14:textId="77777777" w:rsidR="007E42CC" w:rsidRPr="00F875BA" w:rsidRDefault="007E42CC" w:rsidP="002F0452">
      <w:pPr>
        <w:pStyle w:val="Heading1"/>
      </w:pPr>
      <w:bookmarkStart w:id="8" w:name="_Toc81386058"/>
      <w:r w:rsidRPr="00F875BA">
        <w:t>After the consultation</w:t>
      </w:r>
      <w:bookmarkEnd w:id="8"/>
      <w:r w:rsidRPr="00F875BA">
        <w:t xml:space="preserve"> </w:t>
      </w:r>
    </w:p>
    <w:p w14:paraId="362F592E" w14:textId="77777777" w:rsidR="007E42CC" w:rsidRPr="00EC4B45" w:rsidRDefault="007E42CC" w:rsidP="00DE1E80">
      <w:pPr>
        <w:rPr>
          <w:rFonts w:cs="Arial"/>
          <w:szCs w:val="24"/>
        </w:rPr>
      </w:pPr>
      <w:r w:rsidRPr="00EC4B45">
        <w:rPr>
          <w:rFonts w:cs="Arial"/>
          <w:szCs w:val="24"/>
        </w:rPr>
        <w:t xml:space="preserve">A summary of the responses to this consultation and the Government response will be published and placed on Government websites at www.gov.uk/defra, </w:t>
      </w:r>
    </w:p>
    <w:p w14:paraId="517D0E4E" w14:textId="77777777" w:rsidR="007E42CC" w:rsidRPr="00EC4B45" w:rsidRDefault="007E42CC" w:rsidP="00DE1E80">
      <w:pPr>
        <w:rPr>
          <w:rFonts w:cs="Arial"/>
          <w:szCs w:val="24"/>
        </w:rPr>
      </w:pPr>
      <w:r w:rsidRPr="00EC4B45">
        <w:rPr>
          <w:rFonts w:cs="Arial"/>
          <w:szCs w:val="24"/>
        </w:rPr>
        <w:t xml:space="preserve">The summary will include a list of respondents and organisations that responded but not personal names, addresses or other contact details. However, information provided in response to this consultation document, including personal information, will be shared with the Devolved Administrations and may be subject to publication or release to other parties or to disclosure in accordance with the access to information regimes e.g. Freedom of Information Act 2000 (FOIA) and the Data Protection Act 2018. </w:t>
      </w:r>
    </w:p>
    <w:p w14:paraId="459AA2F3" w14:textId="77777777" w:rsidR="007E42CC" w:rsidRPr="00EC4B45" w:rsidRDefault="007E42CC" w:rsidP="00DE1E80">
      <w:pPr>
        <w:rPr>
          <w:rFonts w:cs="Arial"/>
          <w:szCs w:val="24"/>
        </w:rPr>
      </w:pPr>
      <w:r w:rsidRPr="00EC4B45">
        <w:rPr>
          <w:rFonts w:cs="Arial"/>
          <w:szCs w:val="24"/>
        </w:rPr>
        <w:t xml:space="preserve"> If you want information, including personal data that you provide to be treated as confidential, please say so clearly in writing when you submit your response to the consultation and explain why you need these details to be kept confidential. </w:t>
      </w:r>
    </w:p>
    <w:p w14:paraId="586A0B3C" w14:textId="77777777" w:rsidR="007E42CC" w:rsidRPr="00EC4B45" w:rsidRDefault="007E42CC" w:rsidP="00DE1E80">
      <w:pPr>
        <w:rPr>
          <w:rFonts w:cs="Arial"/>
          <w:szCs w:val="24"/>
        </w:rPr>
      </w:pPr>
      <w:r w:rsidRPr="00EC4B45">
        <w:rPr>
          <w:rFonts w:cs="Arial"/>
          <w:szCs w:val="24"/>
        </w:rPr>
        <w:t xml:space="preserve">If we receive a request for disclosure under the FOIA, we will take full account of your explanation, but due to the law we cannot provide an assurance that confidentiality can be maintained in all circumstances. An automatic confidentiality disclaimer generated by your IT system will not, of itself, be regarded as a confidentiality request. </w:t>
      </w:r>
    </w:p>
    <w:p w14:paraId="66000194" w14:textId="4056DA05" w:rsidR="00A421C4" w:rsidRPr="00EC4B45" w:rsidRDefault="007E42CC" w:rsidP="00DE1E80">
      <w:pPr>
        <w:rPr>
          <w:rFonts w:cs="Arial"/>
          <w:szCs w:val="24"/>
        </w:rPr>
      </w:pPr>
      <w:r w:rsidRPr="00EC4B45">
        <w:rPr>
          <w:rFonts w:cs="Arial"/>
          <w:szCs w:val="24"/>
        </w:rPr>
        <w:t xml:space="preserve">Defra is the data controller in respect of any personal data that you provide, and Defra’s Personal Information Charter, which gives details of your rights in respect of the handling of your personal data, can be found at: </w:t>
      </w:r>
      <w:hyperlink r:id="rId21" w:history="1">
        <w:r w:rsidR="00A421C4" w:rsidRPr="00982FF4">
          <w:rPr>
            <w:rStyle w:val="Hyperlink"/>
            <w:rFonts w:cs="Arial"/>
            <w:szCs w:val="24"/>
          </w:rPr>
          <w:t>https://www.gov.uk/government/organisations/department-for-environment-foodrural-affairs/about/personal-information-charter</w:t>
        </w:r>
      </w:hyperlink>
    </w:p>
    <w:p w14:paraId="1D83D614" w14:textId="575A05A0" w:rsidR="007E42CC" w:rsidRPr="002436FE" w:rsidRDefault="007E42CC" w:rsidP="002F0452">
      <w:pPr>
        <w:pStyle w:val="Heading1"/>
        <w:rPr>
          <w:b w:val="0"/>
          <w:bCs w:val="0"/>
          <w:sz w:val="24"/>
          <w:szCs w:val="24"/>
        </w:rPr>
      </w:pPr>
      <w:r w:rsidRPr="002436FE">
        <w:rPr>
          <w:rFonts w:cs="Arial"/>
          <w:b w:val="0"/>
          <w:bCs w:val="0"/>
          <w:color w:val="auto"/>
          <w:sz w:val="24"/>
          <w:szCs w:val="24"/>
        </w:rPr>
        <w:lastRenderedPageBreak/>
        <w:t>Defra has contracted the Office of Public Management Ltd, trading as Traverse, to support the analysis of responses to this consultation. Traverse will treat personal data they receive and analyse as confidential and will only have access to the response data for the period of the analysis, following which the data will be permanently removed from their system and supplied to Defra. Please find further information in the accompanying Privacy Notice for this consultation.</w:t>
      </w:r>
      <w:bookmarkStart w:id="9" w:name="_Toc81386059"/>
      <w:r w:rsidR="00773EE1">
        <w:rPr>
          <w:rFonts w:cs="Arial"/>
          <w:b w:val="0"/>
          <w:bCs w:val="0"/>
          <w:color w:val="auto"/>
          <w:sz w:val="24"/>
          <w:szCs w:val="24"/>
        </w:rPr>
        <w:t xml:space="preserve"> </w:t>
      </w:r>
      <w:bookmarkEnd w:id="9"/>
    </w:p>
    <w:p w14:paraId="218F0478" w14:textId="77777777" w:rsidR="00EF1469" w:rsidRDefault="007E42CC" w:rsidP="007E42CC">
      <w:pPr>
        <w:jc w:val="both"/>
        <w:rPr>
          <w:rStyle w:val="Hyperlink"/>
          <w:rFonts w:cs="Arial"/>
          <w:szCs w:val="24"/>
        </w:rPr>
      </w:pPr>
      <w:r w:rsidRPr="00EC4B45">
        <w:rPr>
          <w:rFonts w:cs="Arial"/>
          <w:szCs w:val="24"/>
        </w:rPr>
        <w:t xml:space="preserve">This consultation is being conducted in line with the Consultation Principles set out in the Better Regulation Executive guidance which can be found at: </w:t>
      </w:r>
    </w:p>
    <w:p w14:paraId="5F780882" w14:textId="034B2F4E" w:rsidR="00EF1469" w:rsidRPr="00335D04" w:rsidRDefault="006240DF" w:rsidP="007E42CC">
      <w:pPr>
        <w:jc w:val="both"/>
        <w:rPr>
          <w:rFonts w:cs="Arial"/>
          <w:color w:val="1D70B8"/>
          <w:szCs w:val="24"/>
          <w:u w:val="single"/>
        </w:rPr>
      </w:pPr>
      <w:hyperlink w:history="1">
        <w:r w:rsidR="0084187E" w:rsidRPr="0084187E">
          <w:rPr>
            <w:rStyle w:val="Hyperlink"/>
          </w:rPr>
          <w:t>Consultation principles: guidance - GOV.UK (www.gov.uk)</w:t>
        </w:r>
      </w:hyperlink>
    </w:p>
    <w:p w14:paraId="6F1D8274" w14:textId="77777777" w:rsidR="007E42CC" w:rsidRPr="00EC4B45" w:rsidRDefault="007E42CC" w:rsidP="007E42CC">
      <w:pPr>
        <w:jc w:val="both"/>
        <w:rPr>
          <w:rFonts w:cs="Arial"/>
          <w:szCs w:val="24"/>
        </w:rPr>
      </w:pPr>
      <w:r w:rsidRPr="00EC4B45">
        <w:rPr>
          <w:rFonts w:cs="Arial"/>
          <w:szCs w:val="24"/>
        </w:rPr>
        <w:t xml:space="preserve"> If you have any comments or complaints about the consultation process, please address them to: By e-mail: </w:t>
      </w:r>
      <w:hyperlink r:id="rId22" w:history="1">
        <w:r w:rsidRPr="00EC4B45">
          <w:rPr>
            <w:rStyle w:val="Hyperlink"/>
            <w:rFonts w:cs="Arial"/>
            <w:szCs w:val="24"/>
          </w:rPr>
          <w:t>consultation.coordinator@defra.gov.uk</w:t>
        </w:r>
      </w:hyperlink>
      <w:r w:rsidRPr="00EC4B45">
        <w:rPr>
          <w:rFonts w:cs="Arial"/>
          <w:szCs w:val="24"/>
        </w:rPr>
        <w:t xml:space="preserve"> </w:t>
      </w:r>
    </w:p>
    <w:p w14:paraId="5A22869D" w14:textId="77777777" w:rsidR="007E42CC" w:rsidRPr="00EC4B45" w:rsidRDefault="007E42CC" w:rsidP="007E42CC">
      <w:pPr>
        <w:jc w:val="both"/>
        <w:rPr>
          <w:rFonts w:cs="Arial"/>
          <w:szCs w:val="24"/>
        </w:rPr>
      </w:pPr>
      <w:r w:rsidRPr="00EC4B45">
        <w:rPr>
          <w:rFonts w:cs="Arial"/>
          <w:szCs w:val="24"/>
        </w:rPr>
        <w:t xml:space="preserve">Or in writing to: </w:t>
      </w:r>
    </w:p>
    <w:p w14:paraId="79931338" w14:textId="77777777" w:rsidR="007E42CC" w:rsidRPr="00EC4B45" w:rsidRDefault="007E42CC" w:rsidP="007E42CC">
      <w:pPr>
        <w:spacing w:after="0"/>
        <w:ind w:left="720"/>
        <w:jc w:val="both"/>
        <w:rPr>
          <w:rFonts w:cs="Arial"/>
          <w:szCs w:val="24"/>
        </w:rPr>
      </w:pPr>
      <w:r w:rsidRPr="00EC4B45">
        <w:rPr>
          <w:rFonts w:cs="Arial"/>
          <w:szCs w:val="24"/>
        </w:rPr>
        <w:t xml:space="preserve">Consultation Co-ordinator, </w:t>
      </w:r>
    </w:p>
    <w:p w14:paraId="1A55318C" w14:textId="77777777" w:rsidR="007E42CC" w:rsidRPr="00EC4B45" w:rsidRDefault="007E42CC" w:rsidP="007E42CC">
      <w:pPr>
        <w:spacing w:after="0"/>
        <w:ind w:left="720"/>
        <w:jc w:val="both"/>
        <w:rPr>
          <w:rFonts w:cs="Arial"/>
          <w:szCs w:val="24"/>
        </w:rPr>
      </w:pPr>
      <w:r w:rsidRPr="00EC4B45">
        <w:rPr>
          <w:rFonts w:cs="Arial"/>
          <w:szCs w:val="24"/>
        </w:rPr>
        <w:t xml:space="preserve">Department for Environment, Food and Rural Affairs, </w:t>
      </w:r>
    </w:p>
    <w:p w14:paraId="515A9868" w14:textId="77777777" w:rsidR="007E42CC" w:rsidRPr="00EC4B45" w:rsidRDefault="007E42CC" w:rsidP="007E42CC">
      <w:pPr>
        <w:spacing w:after="0"/>
        <w:ind w:left="720"/>
        <w:jc w:val="both"/>
        <w:rPr>
          <w:rFonts w:cs="Arial"/>
          <w:szCs w:val="24"/>
        </w:rPr>
      </w:pPr>
      <w:r w:rsidRPr="00EC4B45">
        <w:rPr>
          <w:rFonts w:cs="Arial"/>
          <w:szCs w:val="24"/>
        </w:rPr>
        <w:t xml:space="preserve">1C, Nobel House, 17 Smith Square, London </w:t>
      </w:r>
    </w:p>
    <w:p w14:paraId="1B95B1BD" w14:textId="77777777" w:rsidR="007E42CC" w:rsidRPr="00EC4B45" w:rsidRDefault="007E42CC" w:rsidP="007E42CC">
      <w:pPr>
        <w:spacing w:after="0"/>
        <w:ind w:left="720"/>
        <w:jc w:val="both"/>
        <w:rPr>
          <w:rFonts w:cs="Arial"/>
          <w:szCs w:val="24"/>
        </w:rPr>
      </w:pPr>
      <w:r w:rsidRPr="00EC4B45">
        <w:rPr>
          <w:rFonts w:cs="Arial"/>
          <w:szCs w:val="24"/>
        </w:rPr>
        <w:t>SW1P 3JR</w:t>
      </w:r>
    </w:p>
    <w:p w14:paraId="4CD862F4" w14:textId="77777777" w:rsidR="007E42CC" w:rsidRPr="00EC4B45" w:rsidRDefault="007E42CC" w:rsidP="007E42CC">
      <w:pPr>
        <w:rPr>
          <w:rFonts w:cs="Arial"/>
          <w:szCs w:val="24"/>
        </w:rPr>
      </w:pPr>
    </w:p>
    <w:p w14:paraId="24590515" w14:textId="77777777" w:rsidR="007E42CC" w:rsidRPr="006E78CB" w:rsidRDefault="007E42CC" w:rsidP="002F0452">
      <w:pPr>
        <w:pStyle w:val="Heading1"/>
      </w:pPr>
      <w:bookmarkStart w:id="10" w:name="_Toc81386060"/>
      <w:r w:rsidRPr="006E78CB">
        <w:t>About You</w:t>
      </w:r>
      <w:bookmarkEnd w:id="10"/>
      <w:r w:rsidRPr="006E78CB">
        <w:t xml:space="preserve"> </w:t>
      </w:r>
    </w:p>
    <w:p w14:paraId="0624B353" w14:textId="77777777" w:rsidR="007E42CC" w:rsidRPr="00EC4B45" w:rsidRDefault="007E42CC" w:rsidP="007E42CC">
      <w:pPr>
        <w:rPr>
          <w:rFonts w:cs="Arial"/>
          <w:szCs w:val="24"/>
        </w:rPr>
      </w:pPr>
      <w:r w:rsidRPr="00EC4B45">
        <w:rPr>
          <w:rFonts w:cs="Arial"/>
          <w:szCs w:val="24"/>
        </w:rPr>
        <w:t xml:space="preserve">A wide range of businesses, organisations and individuals are involved with or take an interest in electricals and managing waste electricals. The questions below are intended to grasp this diversity and put your responses in perspective with those of other respondents. </w:t>
      </w:r>
    </w:p>
    <w:p w14:paraId="49002F93" w14:textId="77777777" w:rsidR="007E42CC" w:rsidRPr="00EC4B45" w:rsidRDefault="007E42CC" w:rsidP="007E42CC">
      <w:pPr>
        <w:rPr>
          <w:rFonts w:cs="Arial"/>
          <w:b/>
          <w:bCs/>
          <w:szCs w:val="24"/>
        </w:rPr>
      </w:pPr>
      <w:r w:rsidRPr="00EC4B45">
        <w:rPr>
          <w:rFonts w:cs="Arial"/>
          <w:b/>
          <w:bCs/>
          <w:szCs w:val="24"/>
        </w:rPr>
        <w:t xml:space="preserve">Q1. Your name? </w:t>
      </w:r>
    </w:p>
    <w:p w14:paraId="272DEBA0" w14:textId="77777777" w:rsidR="007E42CC" w:rsidRPr="00EC4B45" w:rsidRDefault="007E42CC" w:rsidP="007E42CC">
      <w:pPr>
        <w:rPr>
          <w:rFonts w:cs="Arial"/>
          <w:b/>
          <w:bCs/>
          <w:szCs w:val="24"/>
        </w:rPr>
      </w:pPr>
      <w:r w:rsidRPr="00EC4B45">
        <w:rPr>
          <w:rFonts w:cs="Arial"/>
          <w:b/>
          <w:bCs/>
          <w:szCs w:val="24"/>
        </w:rPr>
        <w:t xml:space="preserve">Q2. Your email address? </w:t>
      </w:r>
    </w:p>
    <w:p w14:paraId="27B52F12" w14:textId="77777777" w:rsidR="007E42CC" w:rsidRPr="00EC4B45" w:rsidRDefault="007E42CC" w:rsidP="007E42CC">
      <w:pPr>
        <w:rPr>
          <w:rFonts w:cs="Arial"/>
          <w:szCs w:val="24"/>
        </w:rPr>
      </w:pPr>
      <w:r w:rsidRPr="00EC4B45">
        <w:rPr>
          <w:rFonts w:cs="Arial"/>
          <w:szCs w:val="24"/>
        </w:rPr>
        <w:t>This is optional, but if you enter your email address you will be able to return to edit your consultation response in Citizen Space at any time until you submit it. You will also receive an acknowledgement email when you submit a completed response.</w:t>
      </w:r>
    </w:p>
    <w:p w14:paraId="6CDB8620" w14:textId="77777777" w:rsidR="007E42CC" w:rsidRPr="00EC4B45" w:rsidRDefault="007E42CC" w:rsidP="007E42CC">
      <w:pPr>
        <w:rPr>
          <w:rFonts w:cs="Arial"/>
          <w:b/>
          <w:bCs/>
          <w:szCs w:val="24"/>
        </w:rPr>
      </w:pPr>
      <w:r w:rsidRPr="00EC4B45">
        <w:rPr>
          <w:rFonts w:cs="Arial"/>
          <w:b/>
          <w:bCs/>
          <w:szCs w:val="24"/>
        </w:rPr>
        <w:t xml:space="preserve">Q3. Which best describes you? </w:t>
      </w:r>
    </w:p>
    <w:p w14:paraId="3CB5697E" w14:textId="77777777" w:rsidR="007E42CC" w:rsidRPr="00EC4B45" w:rsidRDefault="007E42CC" w:rsidP="007E42CC">
      <w:pPr>
        <w:rPr>
          <w:rFonts w:cs="Arial"/>
          <w:szCs w:val="24"/>
        </w:rPr>
      </w:pPr>
      <w:r w:rsidRPr="00EC4B45">
        <w:rPr>
          <w:rFonts w:cs="Arial"/>
          <w:szCs w:val="24"/>
        </w:rPr>
        <w:t xml:space="preserve">Please provide the name of the organisation/ business you represent and an approximate size/number of staff (where applicable). (Please tick one option. If multiple categories apply, please choose the one which best describes the organisation you are representing in your response.) </w:t>
      </w:r>
    </w:p>
    <w:p w14:paraId="169CE7F5" w14:textId="77777777" w:rsidR="007E42CC" w:rsidRPr="00EC4B45" w:rsidRDefault="007E42CC" w:rsidP="007E42CC">
      <w:pPr>
        <w:pStyle w:val="ListParagraph"/>
        <w:numPr>
          <w:ilvl w:val="0"/>
          <w:numId w:val="17"/>
        </w:numPr>
        <w:spacing w:before="0" w:after="160" w:line="259" w:lineRule="auto"/>
        <w:rPr>
          <w:rFonts w:cs="Arial"/>
          <w:b/>
          <w:bCs/>
          <w:szCs w:val="24"/>
        </w:rPr>
      </w:pPr>
      <w:r w:rsidRPr="00EC4B45">
        <w:rPr>
          <w:rFonts w:cs="Arial"/>
          <w:szCs w:val="24"/>
        </w:rPr>
        <w:t xml:space="preserve">Business representative organisation/trade body </w:t>
      </w:r>
    </w:p>
    <w:p w14:paraId="1C7B6C09" w14:textId="73090073" w:rsidR="007E42CC" w:rsidRPr="00B002AF" w:rsidRDefault="00A26596" w:rsidP="007E42CC">
      <w:pPr>
        <w:pStyle w:val="ListParagraph"/>
        <w:numPr>
          <w:ilvl w:val="0"/>
          <w:numId w:val="17"/>
        </w:numPr>
        <w:spacing w:before="0" w:after="160" w:line="259" w:lineRule="auto"/>
        <w:rPr>
          <w:rFonts w:cs="Arial"/>
          <w:b/>
          <w:bCs/>
          <w:szCs w:val="24"/>
        </w:rPr>
      </w:pPr>
      <w:r>
        <w:rPr>
          <w:rFonts w:cs="Arial"/>
          <w:szCs w:val="24"/>
        </w:rPr>
        <w:lastRenderedPageBreak/>
        <w:t>P</w:t>
      </w:r>
      <w:r w:rsidR="007E42CC" w:rsidRPr="00EC4B45">
        <w:rPr>
          <w:rFonts w:cs="Arial"/>
          <w:szCs w:val="24"/>
        </w:rPr>
        <w:t>roducer</w:t>
      </w:r>
      <w:r>
        <w:rPr>
          <w:rFonts w:cs="Arial"/>
          <w:szCs w:val="24"/>
        </w:rPr>
        <w:t xml:space="preserve"> of </w:t>
      </w:r>
      <w:r w:rsidR="00172DDE">
        <w:rPr>
          <w:rFonts w:cs="Arial"/>
          <w:szCs w:val="24"/>
        </w:rPr>
        <w:t>control and instrumentation equipment</w:t>
      </w:r>
    </w:p>
    <w:p w14:paraId="2BFC8016" w14:textId="1F9899E1" w:rsidR="00172DDE" w:rsidRPr="00EC4B45" w:rsidRDefault="00172DDE" w:rsidP="007E42CC">
      <w:pPr>
        <w:pStyle w:val="ListParagraph"/>
        <w:numPr>
          <w:ilvl w:val="0"/>
          <w:numId w:val="17"/>
        </w:numPr>
        <w:spacing w:before="0" w:after="160" w:line="259" w:lineRule="auto"/>
        <w:rPr>
          <w:rFonts w:cs="Arial"/>
          <w:b/>
          <w:bCs/>
          <w:szCs w:val="24"/>
        </w:rPr>
      </w:pPr>
      <w:r>
        <w:rPr>
          <w:rFonts w:cs="Arial"/>
          <w:szCs w:val="24"/>
        </w:rPr>
        <w:t>Producer of medical devices</w:t>
      </w:r>
    </w:p>
    <w:p w14:paraId="58794C09" w14:textId="6963B61C" w:rsidR="007E42CC" w:rsidRPr="006176B6" w:rsidRDefault="007E42CC" w:rsidP="006176B6">
      <w:pPr>
        <w:pStyle w:val="ListParagraph"/>
        <w:numPr>
          <w:ilvl w:val="0"/>
          <w:numId w:val="17"/>
        </w:numPr>
        <w:spacing w:before="0" w:after="160" w:line="259" w:lineRule="auto"/>
        <w:rPr>
          <w:rFonts w:cs="Arial"/>
          <w:b/>
          <w:bCs/>
          <w:szCs w:val="24"/>
        </w:rPr>
      </w:pPr>
      <w:r w:rsidRPr="00EC4B45">
        <w:rPr>
          <w:rFonts w:cs="Arial"/>
          <w:szCs w:val="24"/>
        </w:rPr>
        <w:t>Distributor (including Online Marketplace</w:t>
      </w:r>
      <w:r w:rsidR="00A421C4">
        <w:rPr>
          <w:rFonts w:cs="Arial"/>
          <w:szCs w:val="24"/>
        </w:rPr>
        <w:t>s</w:t>
      </w:r>
      <w:r w:rsidRPr="00EC4B45">
        <w:rPr>
          <w:rFonts w:cs="Arial"/>
          <w:szCs w:val="24"/>
        </w:rPr>
        <w:t>)</w:t>
      </w:r>
    </w:p>
    <w:p w14:paraId="4D9F3FC0" w14:textId="77777777" w:rsidR="007E42CC" w:rsidRPr="00EC4B45" w:rsidRDefault="007E42CC" w:rsidP="007E42CC">
      <w:pPr>
        <w:pStyle w:val="ListParagraph"/>
        <w:numPr>
          <w:ilvl w:val="0"/>
          <w:numId w:val="17"/>
        </w:numPr>
        <w:spacing w:before="0" w:after="160" w:line="259" w:lineRule="auto"/>
        <w:rPr>
          <w:rFonts w:cs="Arial"/>
          <w:b/>
          <w:bCs/>
          <w:szCs w:val="24"/>
        </w:rPr>
      </w:pPr>
      <w:r w:rsidRPr="00EC4B45">
        <w:rPr>
          <w:rFonts w:cs="Arial"/>
          <w:szCs w:val="24"/>
        </w:rPr>
        <w:t xml:space="preserve">Local government </w:t>
      </w:r>
    </w:p>
    <w:p w14:paraId="715D7759" w14:textId="77777777" w:rsidR="007E42CC" w:rsidRPr="00EC4B45" w:rsidRDefault="007E42CC" w:rsidP="007E42CC">
      <w:pPr>
        <w:pStyle w:val="ListParagraph"/>
        <w:numPr>
          <w:ilvl w:val="0"/>
          <w:numId w:val="17"/>
        </w:numPr>
        <w:spacing w:before="0" w:after="160" w:line="259" w:lineRule="auto"/>
        <w:rPr>
          <w:rFonts w:cs="Arial"/>
          <w:b/>
          <w:bCs/>
          <w:szCs w:val="24"/>
        </w:rPr>
      </w:pPr>
      <w:r w:rsidRPr="00EC4B45">
        <w:rPr>
          <w:rFonts w:cs="Arial"/>
          <w:szCs w:val="24"/>
        </w:rPr>
        <w:t xml:space="preserve">Community group </w:t>
      </w:r>
    </w:p>
    <w:p w14:paraId="29B87FEE" w14:textId="77777777" w:rsidR="007E42CC" w:rsidRPr="00EC4B45" w:rsidRDefault="007E42CC" w:rsidP="007E42CC">
      <w:pPr>
        <w:pStyle w:val="ListParagraph"/>
        <w:numPr>
          <w:ilvl w:val="0"/>
          <w:numId w:val="17"/>
        </w:numPr>
        <w:spacing w:before="0" w:after="160" w:line="259" w:lineRule="auto"/>
        <w:rPr>
          <w:rFonts w:cs="Arial"/>
          <w:b/>
          <w:bCs/>
          <w:szCs w:val="24"/>
        </w:rPr>
      </w:pPr>
      <w:r w:rsidRPr="00EC4B45">
        <w:rPr>
          <w:rFonts w:cs="Arial"/>
          <w:szCs w:val="24"/>
        </w:rPr>
        <w:t xml:space="preserve">Non-governmental organisation </w:t>
      </w:r>
    </w:p>
    <w:p w14:paraId="261084D6" w14:textId="77777777" w:rsidR="007E42CC" w:rsidRPr="00EC4B45" w:rsidRDefault="007E42CC" w:rsidP="007E42CC">
      <w:pPr>
        <w:pStyle w:val="ListParagraph"/>
        <w:numPr>
          <w:ilvl w:val="0"/>
          <w:numId w:val="17"/>
        </w:numPr>
        <w:spacing w:before="0" w:after="160" w:line="259" w:lineRule="auto"/>
        <w:rPr>
          <w:rFonts w:cs="Arial"/>
          <w:b/>
          <w:bCs/>
          <w:szCs w:val="24"/>
        </w:rPr>
      </w:pPr>
      <w:r w:rsidRPr="00EC4B45">
        <w:rPr>
          <w:rFonts w:cs="Arial"/>
          <w:szCs w:val="24"/>
        </w:rPr>
        <w:t xml:space="preserve">Charity or social enterprise </w:t>
      </w:r>
    </w:p>
    <w:p w14:paraId="62C4C222" w14:textId="77777777" w:rsidR="007E42CC" w:rsidRPr="00EC4B45" w:rsidRDefault="007E42CC" w:rsidP="007E42CC">
      <w:pPr>
        <w:pStyle w:val="ListParagraph"/>
        <w:numPr>
          <w:ilvl w:val="0"/>
          <w:numId w:val="17"/>
        </w:numPr>
        <w:spacing w:before="0" w:after="160" w:line="259" w:lineRule="auto"/>
        <w:rPr>
          <w:rFonts w:cs="Arial"/>
          <w:b/>
          <w:bCs/>
          <w:szCs w:val="24"/>
        </w:rPr>
      </w:pPr>
      <w:r w:rsidRPr="00EC4B45">
        <w:rPr>
          <w:rFonts w:cs="Arial"/>
          <w:szCs w:val="24"/>
        </w:rPr>
        <w:t xml:space="preserve">Consultancy </w:t>
      </w:r>
    </w:p>
    <w:p w14:paraId="31587BA1" w14:textId="77777777" w:rsidR="007E42CC" w:rsidRPr="00EC4B45" w:rsidRDefault="007E42CC" w:rsidP="007E42CC">
      <w:pPr>
        <w:pStyle w:val="ListParagraph"/>
        <w:numPr>
          <w:ilvl w:val="0"/>
          <w:numId w:val="17"/>
        </w:numPr>
        <w:spacing w:before="0" w:after="160" w:line="259" w:lineRule="auto"/>
        <w:rPr>
          <w:rFonts w:cs="Arial"/>
          <w:b/>
          <w:bCs/>
          <w:szCs w:val="24"/>
        </w:rPr>
      </w:pPr>
      <w:r w:rsidRPr="00EC4B45">
        <w:rPr>
          <w:rFonts w:cs="Arial"/>
          <w:szCs w:val="24"/>
        </w:rPr>
        <w:t>Academic or research</w:t>
      </w:r>
    </w:p>
    <w:p w14:paraId="2A8B8AD5" w14:textId="77777777" w:rsidR="007E42CC" w:rsidRPr="00EC4B45" w:rsidRDefault="007E42CC" w:rsidP="007E42CC">
      <w:pPr>
        <w:pStyle w:val="ListParagraph"/>
        <w:numPr>
          <w:ilvl w:val="0"/>
          <w:numId w:val="17"/>
        </w:numPr>
        <w:spacing w:before="0" w:after="160" w:line="259" w:lineRule="auto"/>
        <w:rPr>
          <w:rFonts w:cs="Arial"/>
          <w:b/>
          <w:bCs/>
          <w:szCs w:val="24"/>
        </w:rPr>
      </w:pPr>
      <w:r w:rsidRPr="00EC4B45">
        <w:rPr>
          <w:rFonts w:cs="Arial"/>
          <w:szCs w:val="24"/>
        </w:rPr>
        <w:t xml:space="preserve">Individual </w:t>
      </w:r>
    </w:p>
    <w:p w14:paraId="4659E1D3" w14:textId="77777777" w:rsidR="007E42CC" w:rsidRPr="00EC4B45" w:rsidRDefault="007E42CC" w:rsidP="007E42CC">
      <w:pPr>
        <w:pStyle w:val="ListParagraph"/>
        <w:numPr>
          <w:ilvl w:val="0"/>
          <w:numId w:val="17"/>
        </w:numPr>
        <w:spacing w:before="0" w:after="160" w:line="259" w:lineRule="auto"/>
        <w:rPr>
          <w:rFonts w:cs="Arial"/>
          <w:b/>
          <w:bCs/>
          <w:szCs w:val="24"/>
        </w:rPr>
      </w:pPr>
      <w:r w:rsidRPr="00EC4B45">
        <w:rPr>
          <w:rFonts w:cs="Arial"/>
          <w:szCs w:val="24"/>
        </w:rPr>
        <w:t xml:space="preserve">Other </w:t>
      </w:r>
    </w:p>
    <w:p w14:paraId="01392A55" w14:textId="77777777" w:rsidR="007E42CC" w:rsidRPr="00EC4B45" w:rsidRDefault="007E42CC" w:rsidP="007E42CC">
      <w:pPr>
        <w:pStyle w:val="ListParagraph"/>
        <w:numPr>
          <w:ilvl w:val="0"/>
          <w:numId w:val="17"/>
        </w:numPr>
        <w:spacing w:before="0" w:after="160" w:line="259" w:lineRule="auto"/>
        <w:rPr>
          <w:rFonts w:cs="Arial"/>
          <w:b/>
          <w:bCs/>
          <w:szCs w:val="24"/>
        </w:rPr>
      </w:pPr>
      <w:r w:rsidRPr="00EC4B45">
        <w:rPr>
          <w:rFonts w:cs="Arial"/>
          <w:szCs w:val="24"/>
        </w:rPr>
        <w:t xml:space="preserve">If you answered ‘Other’, please provide details: </w:t>
      </w:r>
    </w:p>
    <w:p w14:paraId="748D0522" w14:textId="779F2CC6" w:rsidR="0084187E" w:rsidRPr="00243A8F" w:rsidRDefault="0084187E" w:rsidP="00243A8F">
      <w:pPr>
        <w:textAlignment w:val="baseline"/>
        <w:rPr>
          <w:rFonts w:ascii="Segoe UI" w:hAnsi="Segoe UI" w:cs="Segoe UI"/>
          <w:noProof/>
          <w:sz w:val="18"/>
          <w:szCs w:val="18"/>
          <w:lang w:eastAsia="en-GB"/>
        </w:rPr>
      </w:pPr>
    </w:p>
    <w:p w14:paraId="40B1BAD5" w14:textId="77777777" w:rsidR="00243A8F" w:rsidRDefault="0084187E" w:rsidP="00243A8F">
      <w:pPr>
        <w:textAlignment w:val="baseline"/>
        <w:rPr>
          <w:rFonts w:cs="Calibri"/>
          <w:noProof/>
          <w:lang w:eastAsia="en-GB"/>
        </w:rPr>
      </w:pPr>
      <w:r w:rsidRPr="00243A8F">
        <w:rPr>
          <w:rFonts w:cs="Calibri"/>
          <w:b/>
          <w:bCs/>
          <w:noProof/>
          <w:lang w:eastAsia="en-GB"/>
        </w:rPr>
        <w:t>Confidentiality and data protection information</w:t>
      </w:r>
      <w:r w:rsidRPr="0084187E">
        <w:rPr>
          <w:rFonts w:cs="Calibri"/>
          <w:noProof/>
          <w:lang w:eastAsia="en-GB"/>
        </w:rPr>
        <w:t> </w:t>
      </w:r>
    </w:p>
    <w:p w14:paraId="6A0F1CA5" w14:textId="7F514C11" w:rsidR="0084187E" w:rsidRPr="00243A8F" w:rsidRDefault="0084187E" w:rsidP="00243A8F">
      <w:pPr>
        <w:textAlignment w:val="baseline"/>
        <w:rPr>
          <w:rFonts w:ascii="Segoe UI" w:hAnsi="Segoe UI" w:cs="Segoe UI"/>
          <w:noProof/>
          <w:sz w:val="18"/>
          <w:szCs w:val="18"/>
          <w:lang w:eastAsia="en-GB"/>
        </w:rPr>
      </w:pPr>
      <w:r w:rsidRPr="00335D04">
        <w:rPr>
          <w:rFonts w:cs="Calibri"/>
          <w:noProof/>
          <w:lang w:eastAsia="en-GB"/>
        </w:rPr>
        <w:t>A summary of responses to this consultation will be published on the Government website at: </w:t>
      </w:r>
      <w:hyperlink r:id="rId23" w:tgtFrame="_blank" w:history="1">
        <w:r w:rsidRPr="00243A8F">
          <w:rPr>
            <w:rStyle w:val="Hyperlink"/>
            <w:rFonts w:cs="Calibri"/>
            <w:noProof/>
            <w:lang w:eastAsia="en-GB"/>
          </w:rPr>
          <w:t>www.gov.uk/defra</w:t>
        </w:r>
      </w:hyperlink>
      <w:r w:rsidRPr="00243A8F">
        <w:rPr>
          <w:rFonts w:cs="Calibri"/>
          <w:noProof/>
          <w:lang w:eastAsia="en-GB"/>
        </w:rPr>
        <w:t>. An annex to the consultation summary will list all organisations that responded but will not include personal names, addresses or other contact details. Defra may publish the content of your response to this consultation to make it available to the public without your personal name and private contact details (e.g. home address, email address, etc). </w:t>
      </w:r>
    </w:p>
    <w:p w14:paraId="60CACAF2" w14:textId="5FF1FAF7" w:rsidR="0084187E" w:rsidRPr="00243A8F" w:rsidRDefault="0084187E" w:rsidP="00243A8F">
      <w:pPr>
        <w:textAlignment w:val="baseline"/>
        <w:rPr>
          <w:rFonts w:ascii="Segoe UI" w:hAnsi="Segoe UI" w:cs="Segoe UI"/>
          <w:noProof/>
          <w:sz w:val="18"/>
          <w:szCs w:val="18"/>
          <w:lang w:eastAsia="en-GB"/>
        </w:rPr>
      </w:pPr>
      <w:r w:rsidRPr="00243A8F">
        <w:rPr>
          <w:rFonts w:cs="Calibri"/>
          <w:noProof/>
          <w:lang w:eastAsia="en-GB"/>
        </w:rPr>
        <w:t>If you click on ‘Yes’ in response to the question asking if you would like anything in your response to be kept confidential, you are asked to state clearly what information you would like to be kept as confidential and explain your reasons for confidentiality. The reason for this is that information in responses to this consultation may be subject to release to the public or other parties in accordance with the access to information law (these are primarily the Environmental Information Regulations 2004 (EIRs), the Freedom of Information Act 2000 (FOIA) and the Data Protection Act 2018 (DPA)). We have obligations, mainly under the EIRs, FOIA and DPA, to disclose information to particular recipients or to the public in certain circumstances. In view of this, your explanation of your reasons for requesting confidentiality for all or part of your response would help us balance these obligations for disclosure against any obligation of confidentiality. If we receive a request for the information that you have provided in your response to this consultation, we will take full account of your reasons for requesting confidentiality of your response, but we cannot guarantee that confidentiality can be maintained in all circumstances. </w:t>
      </w:r>
    </w:p>
    <w:p w14:paraId="5ED8910F" w14:textId="0D6540BD" w:rsidR="0084187E" w:rsidRPr="00243A8F" w:rsidRDefault="0084187E" w:rsidP="00243A8F">
      <w:pPr>
        <w:textAlignment w:val="baseline"/>
        <w:rPr>
          <w:rFonts w:ascii="Segoe UI" w:hAnsi="Segoe UI" w:cs="Segoe UI"/>
          <w:noProof/>
          <w:sz w:val="18"/>
          <w:szCs w:val="18"/>
          <w:lang w:eastAsia="en-GB"/>
        </w:rPr>
      </w:pPr>
      <w:r w:rsidRPr="00243A8F">
        <w:rPr>
          <w:rFonts w:cs="Calibri"/>
          <w:noProof/>
          <w:lang w:eastAsia="en-GB"/>
        </w:rPr>
        <w:t>If you click on ‘No’ in response to the question asking if you would like anything in your response to be kept confidential, we will be able to release the content of your response to the public, but we won’t make your personal name and private contact details publicly available. </w:t>
      </w:r>
    </w:p>
    <w:p w14:paraId="3BAAE527" w14:textId="594FFA89" w:rsidR="0084187E" w:rsidRPr="00B003E8" w:rsidRDefault="0084187E" w:rsidP="00B003E8">
      <w:pPr>
        <w:textAlignment w:val="baseline"/>
        <w:rPr>
          <w:rFonts w:ascii="Segoe UI" w:hAnsi="Segoe UI" w:cs="Segoe UI"/>
          <w:noProof/>
          <w:sz w:val="18"/>
          <w:szCs w:val="18"/>
          <w:lang w:eastAsia="en-GB"/>
        </w:rPr>
      </w:pPr>
      <w:r w:rsidRPr="00B003E8">
        <w:rPr>
          <w:rFonts w:cs="Calibri"/>
          <w:noProof/>
          <w:lang w:eastAsia="en-GB"/>
        </w:rPr>
        <w:t xml:space="preserve">There may be occasions when Defra will share the information you provide in response to the consultation, including any personal data with external analysts. This is for the purposes of consultation response analysis and provision of a report of the summary of responses only. This consultation is being conducted in line with the Cabinet Office </w:t>
      </w:r>
      <w:r w:rsidRPr="00B003E8">
        <w:rPr>
          <w:rFonts w:cs="Calibri"/>
          <w:noProof/>
          <w:lang w:eastAsia="en-GB"/>
        </w:rPr>
        <w:lastRenderedPageBreak/>
        <w:t>“Consultation Principles” and be found at: </w:t>
      </w:r>
      <w:hyperlink r:id="rId24" w:tgtFrame="_blank" w:history="1">
        <w:r w:rsidRPr="00B003E8">
          <w:rPr>
            <w:rStyle w:val="Hyperlink"/>
            <w:rFonts w:cs="Calibri"/>
            <w:noProof/>
            <w:lang w:eastAsia="en-GB"/>
          </w:rPr>
          <w:t>https://www.gov.uk/government/publications/consultation-principles-guidance</w:t>
        </w:r>
      </w:hyperlink>
      <w:r w:rsidRPr="00B003E8">
        <w:rPr>
          <w:rFonts w:cs="Calibri"/>
          <w:noProof/>
          <w:lang w:eastAsia="en-GB"/>
        </w:rPr>
        <w:t>. </w:t>
      </w:r>
    </w:p>
    <w:p w14:paraId="2625E136" w14:textId="31A80A43" w:rsidR="0084187E" w:rsidRPr="00B003E8" w:rsidRDefault="0084187E" w:rsidP="00B003E8">
      <w:pPr>
        <w:textAlignment w:val="baseline"/>
        <w:rPr>
          <w:rFonts w:ascii="Segoe UI" w:hAnsi="Segoe UI" w:cs="Segoe UI"/>
          <w:noProof/>
          <w:sz w:val="18"/>
          <w:szCs w:val="18"/>
          <w:lang w:eastAsia="en-GB"/>
        </w:rPr>
      </w:pPr>
      <w:r w:rsidRPr="00B003E8">
        <w:rPr>
          <w:rFonts w:cs="Calibri"/>
          <w:noProof/>
          <w:lang w:eastAsia="en-GB"/>
        </w:rPr>
        <w:t>Please find our latest privacy notice uploaded as a related document alongside our consultation document.  </w:t>
      </w:r>
    </w:p>
    <w:p w14:paraId="163D9881" w14:textId="030B3F7D" w:rsidR="0084187E" w:rsidRPr="00B003E8" w:rsidRDefault="0084187E" w:rsidP="00B003E8">
      <w:pPr>
        <w:textAlignment w:val="baseline"/>
        <w:rPr>
          <w:rFonts w:ascii="Segoe UI" w:hAnsi="Segoe UI" w:cs="Segoe UI"/>
          <w:noProof/>
          <w:sz w:val="18"/>
          <w:szCs w:val="18"/>
          <w:lang w:eastAsia="en-GB"/>
        </w:rPr>
      </w:pPr>
      <w:r w:rsidRPr="00B003E8">
        <w:rPr>
          <w:rFonts w:cs="Calibri"/>
          <w:noProof/>
          <w:lang w:eastAsia="en-GB"/>
        </w:rPr>
        <w:t> If you have any comments or complaints about the consultation process, please address them to: </w:t>
      </w:r>
    </w:p>
    <w:p w14:paraId="54105611" w14:textId="79E3280D" w:rsidR="0084187E" w:rsidRPr="0084187E" w:rsidRDefault="0084187E" w:rsidP="0084187E">
      <w:pPr>
        <w:pStyle w:val="ListParagraph"/>
        <w:numPr>
          <w:ilvl w:val="0"/>
          <w:numId w:val="17"/>
        </w:numPr>
        <w:textAlignment w:val="baseline"/>
        <w:rPr>
          <w:rFonts w:ascii="Segoe UI" w:hAnsi="Segoe UI" w:cs="Segoe UI"/>
          <w:noProof/>
          <w:sz w:val="18"/>
          <w:szCs w:val="18"/>
          <w:lang w:eastAsia="en-GB"/>
        </w:rPr>
      </w:pPr>
      <w:r w:rsidRPr="0084187E">
        <w:rPr>
          <w:rFonts w:cs="Calibri"/>
          <w:noProof/>
          <w:lang w:eastAsia="en-GB"/>
        </w:rPr>
        <w:t xml:space="preserve">Consultation </w:t>
      </w:r>
      <w:r w:rsidR="00E132B4">
        <w:rPr>
          <w:rFonts w:cs="Calibri"/>
          <w:noProof/>
          <w:lang w:eastAsia="en-GB"/>
        </w:rPr>
        <w:t xml:space="preserve">on amendments to the </w:t>
      </w:r>
      <w:r w:rsidR="00012923">
        <w:rPr>
          <w:rFonts w:cs="Calibri"/>
          <w:noProof/>
          <w:lang w:eastAsia="en-GB"/>
        </w:rPr>
        <w:t>Restriction of the Use of Certain Hazardous Substances in Electrical and Electronic Equipment Regulations</w:t>
      </w:r>
    </w:p>
    <w:p w14:paraId="11C2B5C7" w14:textId="77777777" w:rsidR="0084187E" w:rsidRPr="0084187E" w:rsidRDefault="0084187E" w:rsidP="0084187E">
      <w:pPr>
        <w:pStyle w:val="ListParagraph"/>
        <w:numPr>
          <w:ilvl w:val="0"/>
          <w:numId w:val="17"/>
        </w:numPr>
        <w:textAlignment w:val="baseline"/>
        <w:rPr>
          <w:rFonts w:ascii="Segoe UI" w:hAnsi="Segoe UI" w:cs="Segoe UI"/>
          <w:noProof/>
          <w:sz w:val="18"/>
          <w:szCs w:val="18"/>
          <w:lang w:eastAsia="en-GB"/>
        </w:rPr>
      </w:pPr>
      <w:r w:rsidRPr="0084187E">
        <w:rPr>
          <w:rFonts w:cs="Calibri"/>
          <w:noProof/>
          <w:lang w:eastAsia="en-GB"/>
        </w:rPr>
        <w:t>Consultation Coordinator, Defra </w:t>
      </w:r>
    </w:p>
    <w:p w14:paraId="75C44079" w14:textId="77777777" w:rsidR="0084187E" w:rsidRPr="0084187E" w:rsidRDefault="0084187E" w:rsidP="0084187E">
      <w:pPr>
        <w:pStyle w:val="ListParagraph"/>
        <w:numPr>
          <w:ilvl w:val="0"/>
          <w:numId w:val="17"/>
        </w:numPr>
        <w:textAlignment w:val="baseline"/>
        <w:rPr>
          <w:rFonts w:ascii="Segoe UI" w:hAnsi="Segoe UI" w:cs="Segoe UI"/>
          <w:noProof/>
          <w:sz w:val="18"/>
          <w:szCs w:val="18"/>
          <w:lang w:eastAsia="en-GB"/>
        </w:rPr>
      </w:pPr>
      <w:r w:rsidRPr="0084187E">
        <w:rPr>
          <w:rFonts w:cs="Calibri"/>
          <w:noProof/>
          <w:lang w:eastAsia="en-GB"/>
        </w:rPr>
        <w:t>2nd Floor, Foss House, </w:t>
      </w:r>
      <w:r w:rsidRPr="0084187E">
        <w:rPr>
          <w:rFonts w:cs="Calibri"/>
          <w:noProof/>
          <w:lang w:val="en-US" w:eastAsia="en-GB"/>
        </w:rPr>
        <w:t>Kings Pool, </w:t>
      </w:r>
      <w:r w:rsidRPr="0084187E">
        <w:rPr>
          <w:rFonts w:cs="Calibri"/>
          <w:noProof/>
          <w:lang w:eastAsia="en-GB"/>
        </w:rPr>
        <w:t> </w:t>
      </w:r>
    </w:p>
    <w:p w14:paraId="04EA501B" w14:textId="77777777" w:rsidR="0084187E" w:rsidRPr="0084187E" w:rsidRDefault="0084187E" w:rsidP="0084187E">
      <w:pPr>
        <w:pStyle w:val="ListParagraph"/>
        <w:numPr>
          <w:ilvl w:val="0"/>
          <w:numId w:val="17"/>
        </w:numPr>
        <w:textAlignment w:val="baseline"/>
        <w:rPr>
          <w:rFonts w:ascii="Segoe UI" w:hAnsi="Segoe UI" w:cs="Segoe UI"/>
          <w:noProof/>
          <w:sz w:val="18"/>
          <w:szCs w:val="18"/>
          <w:lang w:eastAsia="en-GB"/>
        </w:rPr>
      </w:pPr>
      <w:r w:rsidRPr="0084187E">
        <w:rPr>
          <w:rFonts w:cs="Calibri"/>
          <w:noProof/>
          <w:lang w:val="en-US" w:eastAsia="en-GB"/>
        </w:rPr>
        <w:t>1-2 Peasholme Green, York, YO1 7PX</w:t>
      </w:r>
      <w:r w:rsidRPr="0084187E">
        <w:rPr>
          <w:rFonts w:cs="Calibri"/>
          <w:noProof/>
          <w:lang w:eastAsia="en-GB"/>
        </w:rPr>
        <w:t> </w:t>
      </w:r>
    </w:p>
    <w:p w14:paraId="2C0FCFE3" w14:textId="77777777" w:rsidR="0084187E" w:rsidRPr="0084187E" w:rsidRDefault="0084187E" w:rsidP="0084187E">
      <w:pPr>
        <w:pStyle w:val="ListParagraph"/>
        <w:numPr>
          <w:ilvl w:val="0"/>
          <w:numId w:val="17"/>
        </w:numPr>
        <w:textAlignment w:val="baseline"/>
        <w:rPr>
          <w:rFonts w:ascii="Calibri" w:hAnsi="Calibri" w:cs="Calibri"/>
          <w:noProof/>
          <w:sz w:val="22"/>
          <w:lang w:eastAsia="en-GB"/>
        </w:rPr>
      </w:pPr>
      <w:r w:rsidRPr="0084187E">
        <w:rPr>
          <w:rFonts w:cs="Calibri"/>
          <w:noProof/>
          <w:lang w:eastAsia="en-GB"/>
        </w:rPr>
        <w:t>Or email: </w:t>
      </w:r>
      <w:hyperlink r:id="rId25" w:tgtFrame="_blank" w:history="1">
        <w:r w:rsidRPr="0084187E">
          <w:rPr>
            <w:rStyle w:val="Hyperlink"/>
            <w:rFonts w:cs="Calibri"/>
            <w:noProof/>
            <w:lang w:eastAsia="en-GB"/>
          </w:rPr>
          <w:t>consultation.coordinator@defra.gov.uk</w:t>
        </w:r>
      </w:hyperlink>
      <w:r w:rsidRPr="0084187E">
        <w:rPr>
          <w:rFonts w:cs="Calibri"/>
          <w:noProof/>
          <w:lang w:eastAsia="en-GB"/>
        </w:rPr>
        <w:t> </w:t>
      </w:r>
    </w:p>
    <w:p w14:paraId="0919A7B8" w14:textId="0924B698" w:rsidR="007E42CC" w:rsidRPr="00EC4B45" w:rsidRDefault="007E42CC" w:rsidP="007E42CC">
      <w:pPr>
        <w:rPr>
          <w:rFonts w:cs="Arial"/>
          <w:b/>
          <w:bCs/>
          <w:szCs w:val="24"/>
        </w:rPr>
      </w:pPr>
      <w:r w:rsidRPr="00EC4B45">
        <w:rPr>
          <w:rFonts w:cs="Arial"/>
          <w:b/>
          <w:bCs/>
          <w:szCs w:val="24"/>
        </w:rPr>
        <w:t>Q4. Would you like your response to be confidential?</w:t>
      </w:r>
    </w:p>
    <w:p w14:paraId="3843F119" w14:textId="77777777" w:rsidR="007E42CC" w:rsidRPr="00EC4B45" w:rsidRDefault="007E42CC" w:rsidP="007E42CC">
      <w:pPr>
        <w:ind w:firstLine="720"/>
        <w:rPr>
          <w:rFonts w:cs="Arial"/>
          <w:b/>
          <w:bCs/>
          <w:szCs w:val="24"/>
        </w:rPr>
      </w:pPr>
      <w:r w:rsidRPr="00EC4B45">
        <w:rPr>
          <w:rFonts w:cs="Arial"/>
          <w:szCs w:val="24"/>
        </w:rPr>
        <w:t xml:space="preserve"> Yes / No If you answered ‘Yes’, please provide your reason.</w:t>
      </w:r>
    </w:p>
    <w:p w14:paraId="2185145A" w14:textId="77777777" w:rsidR="007E42CC" w:rsidRPr="00EC4B45" w:rsidRDefault="007E42CC" w:rsidP="007E42CC">
      <w:pPr>
        <w:rPr>
          <w:rFonts w:cs="Arial"/>
          <w:b/>
          <w:bCs/>
          <w:szCs w:val="24"/>
        </w:rPr>
      </w:pPr>
    </w:p>
    <w:p w14:paraId="096A8EC6" w14:textId="77777777" w:rsidR="007E42CC" w:rsidRPr="00EC4B45" w:rsidRDefault="007E42CC" w:rsidP="007E42CC">
      <w:pPr>
        <w:spacing w:after="0"/>
        <w:jc w:val="both"/>
        <w:rPr>
          <w:rFonts w:cs="Arial"/>
          <w:color w:val="15934E"/>
          <w:szCs w:val="24"/>
        </w:rPr>
      </w:pPr>
    </w:p>
    <w:p w14:paraId="57F3FFBF" w14:textId="6537A1AF" w:rsidR="007E42CC" w:rsidRPr="006E78CB" w:rsidRDefault="007E42CC" w:rsidP="002F0452">
      <w:pPr>
        <w:pStyle w:val="Heading1"/>
      </w:pPr>
      <w:bookmarkStart w:id="11" w:name="_Toc81386061"/>
      <w:r w:rsidRPr="006E78CB">
        <w:t>Background</w:t>
      </w:r>
      <w:bookmarkEnd w:id="11"/>
      <w:r w:rsidRPr="006E78CB">
        <w:t xml:space="preserve"> </w:t>
      </w:r>
    </w:p>
    <w:p w14:paraId="7416BD00" w14:textId="2CA582E7" w:rsidR="00027BCA" w:rsidRDefault="00027BCA" w:rsidP="007E42CC">
      <w:pPr>
        <w:rPr>
          <w:rFonts w:cs="Arial"/>
          <w:szCs w:val="24"/>
        </w:rPr>
      </w:pPr>
      <w:bookmarkStart w:id="12" w:name="_Hlk81308409"/>
      <w:r>
        <w:rPr>
          <w:rFonts w:cs="Arial"/>
          <w:szCs w:val="24"/>
        </w:rPr>
        <w:t xml:space="preserve">Directive </w:t>
      </w:r>
      <w:r w:rsidR="000837E3">
        <w:rPr>
          <w:rFonts w:cs="Arial"/>
          <w:szCs w:val="24"/>
        </w:rPr>
        <w:t>2011</w:t>
      </w:r>
      <w:r w:rsidR="00941BC9">
        <w:rPr>
          <w:rFonts w:cs="Arial"/>
          <w:szCs w:val="24"/>
        </w:rPr>
        <w:t>/65/EU</w:t>
      </w:r>
      <w:r w:rsidR="000F14BB">
        <w:rPr>
          <w:rFonts w:cs="Arial"/>
          <w:szCs w:val="24"/>
        </w:rPr>
        <w:t xml:space="preserve"> on the restrict</w:t>
      </w:r>
      <w:r w:rsidR="00EE779E">
        <w:rPr>
          <w:rFonts w:cs="Arial"/>
          <w:szCs w:val="24"/>
        </w:rPr>
        <w:t xml:space="preserve">ion of the use of certain hazardous </w:t>
      </w:r>
      <w:r w:rsidR="001600A2">
        <w:rPr>
          <w:rFonts w:cs="Arial"/>
          <w:szCs w:val="24"/>
        </w:rPr>
        <w:t xml:space="preserve">substances in electrical and electronic </w:t>
      </w:r>
      <w:r w:rsidR="00AC3534">
        <w:rPr>
          <w:rFonts w:cs="Arial"/>
          <w:szCs w:val="24"/>
        </w:rPr>
        <w:t>equipment</w:t>
      </w:r>
      <w:r w:rsidR="00EE779E">
        <w:rPr>
          <w:rFonts w:cs="Arial"/>
          <w:szCs w:val="24"/>
        </w:rPr>
        <w:t xml:space="preserve"> </w:t>
      </w:r>
      <w:r>
        <w:rPr>
          <w:rFonts w:cs="Arial"/>
          <w:szCs w:val="24"/>
        </w:rPr>
        <w:t>is a piece of European legislation that limits the amount of</w:t>
      </w:r>
      <w:r w:rsidR="000D3F72">
        <w:rPr>
          <w:rFonts w:cs="Arial"/>
          <w:szCs w:val="24"/>
        </w:rPr>
        <w:t xml:space="preserve"> ten</w:t>
      </w:r>
      <w:r>
        <w:rPr>
          <w:rFonts w:cs="Arial"/>
          <w:szCs w:val="24"/>
        </w:rPr>
        <w:t xml:space="preserve"> hazardous substances that can be used in</w:t>
      </w:r>
      <w:r w:rsidR="00A421C4">
        <w:rPr>
          <w:rFonts w:cs="Arial"/>
          <w:szCs w:val="24"/>
        </w:rPr>
        <w:t xml:space="preserve"> certain</w:t>
      </w:r>
      <w:r>
        <w:rPr>
          <w:rFonts w:cs="Arial"/>
          <w:szCs w:val="24"/>
        </w:rPr>
        <w:t xml:space="preserve"> products. The UK played a</w:t>
      </w:r>
      <w:r w:rsidR="000D3F72">
        <w:rPr>
          <w:rFonts w:cs="Arial"/>
          <w:szCs w:val="24"/>
        </w:rPr>
        <w:t xml:space="preserve"> key role </w:t>
      </w:r>
      <w:r>
        <w:rPr>
          <w:rFonts w:cs="Arial"/>
          <w:szCs w:val="24"/>
        </w:rPr>
        <w:t xml:space="preserve">in developing the original European legislation, and the ROHS Regulations 2012 transposed the Directive into UK law. </w:t>
      </w:r>
    </w:p>
    <w:p w14:paraId="1E7A13E5" w14:textId="4297275F" w:rsidR="00A349CF" w:rsidRDefault="00057F7B" w:rsidP="007E42CC">
      <w:pPr>
        <w:rPr>
          <w:rFonts w:cs="Arial"/>
          <w:szCs w:val="24"/>
        </w:rPr>
      </w:pPr>
      <w:r>
        <w:rPr>
          <w:rFonts w:cs="Arial"/>
          <w:szCs w:val="24"/>
        </w:rPr>
        <w:t xml:space="preserve">Powers </w:t>
      </w:r>
      <w:r w:rsidR="00443C04">
        <w:rPr>
          <w:rFonts w:cs="Arial"/>
          <w:szCs w:val="24"/>
        </w:rPr>
        <w:t xml:space="preserve">conferred </w:t>
      </w:r>
      <w:r w:rsidR="00125AC6">
        <w:rPr>
          <w:rFonts w:cs="Arial"/>
          <w:szCs w:val="24"/>
        </w:rPr>
        <w:t xml:space="preserve">on </w:t>
      </w:r>
      <w:r w:rsidR="00A349CF">
        <w:rPr>
          <w:rFonts w:cs="Arial"/>
          <w:szCs w:val="24"/>
        </w:rPr>
        <w:t>the European Commission</w:t>
      </w:r>
      <w:r w:rsidR="00443C04">
        <w:rPr>
          <w:rFonts w:cs="Arial"/>
          <w:szCs w:val="24"/>
        </w:rPr>
        <w:t xml:space="preserve"> under the </w:t>
      </w:r>
      <w:r w:rsidR="00125AC6">
        <w:rPr>
          <w:rFonts w:cs="Arial"/>
          <w:szCs w:val="24"/>
        </w:rPr>
        <w:t xml:space="preserve">RoHS </w:t>
      </w:r>
      <w:r w:rsidR="00443C04">
        <w:rPr>
          <w:rFonts w:cs="Arial"/>
          <w:szCs w:val="24"/>
        </w:rPr>
        <w:t>Directive</w:t>
      </w:r>
      <w:r w:rsidR="00125AC6">
        <w:rPr>
          <w:rFonts w:cs="Arial"/>
          <w:szCs w:val="24"/>
        </w:rPr>
        <w:t xml:space="preserve"> </w:t>
      </w:r>
      <w:r w:rsidR="00A349CF">
        <w:rPr>
          <w:rFonts w:cs="Arial"/>
          <w:szCs w:val="24"/>
        </w:rPr>
        <w:t xml:space="preserve">to amend the list of restricted substances and associated </w:t>
      </w:r>
      <w:r w:rsidR="00D0094F">
        <w:rPr>
          <w:rFonts w:cs="Arial"/>
          <w:szCs w:val="24"/>
        </w:rPr>
        <w:t>concentration</w:t>
      </w:r>
      <w:r w:rsidR="00A349CF">
        <w:rPr>
          <w:rFonts w:cs="Arial"/>
          <w:szCs w:val="24"/>
        </w:rPr>
        <w:t xml:space="preserve"> limits </w:t>
      </w:r>
      <w:r w:rsidR="00125AC6">
        <w:rPr>
          <w:rFonts w:cs="Arial"/>
          <w:szCs w:val="24"/>
        </w:rPr>
        <w:t xml:space="preserve">in that Directive </w:t>
      </w:r>
      <w:r w:rsidR="00A349CF">
        <w:rPr>
          <w:rFonts w:cs="Arial"/>
          <w:szCs w:val="24"/>
        </w:rPr>
        <w:t>and to consider applications from business for exemption</w:t>
      </w:r>
      <w:r w:rsidR="00125AC6">
        <w:rPr>
          <w:rFonts w:cs="Arial"/>
          <w:szCs w:val="24"/>
        </w:rPr>
        <w:t>s</w:t>
      </w:r>
      <w:r w:rsidR="00A349CF">
        <w:rPr>
          <w:rFonts w:cs="Arial"/>
          <w:szCs w:val="24"/>
        </w:rPr>
        <w:t xml:space="preserve"> from the restrictions for specific products</w:t>
      </w:r>
      <w:r w:rsidR="00125AC6">
        <w:rPr>
          <w:rFonts w:cs="Arial"/>
          <w:szCs w:val="24"/>
        </w:rPr>
        <w:t xml:space="preserve"> have been repatriated to the S</w:t>
      </w:r>
      <w:r w:rsidR="0017501C">
        <w:rPr>
          <w:rFonts w:cs="Arial"/>
          <w:szCs w:val="24"/>
        </w:rPr>
        <w:t>ecretary of State by Regulations</w:t>
      </w:r>
      <w:r w:rsidR="00F2080B">
        <w:rPr>
          <w:rFonts w:cs="Arial"/>
          <w:szCs w:val="24"/>
        </w:rPr>
        <w:t xml:space="preserve"> made using powers from the European Union (Withdrawal) Act 2018 (EU Exit Regulations)</w:t>
      </w:r>
      <w:r w:rsidR="0017501C">
        <w:rPr>
          <w:rFonts w:cs="Arial"/>
          <w:szCs w:val="24"/>
        </w:rPr>
        <w:t>. These repatriated powers enable</w:t>
      </w:r>
      <w:r w:rsidR="0017501C" w:rsidRPr="0017501C">
        <w:rPr>
          <w:rFonts w:cs="Arial"/>
          <w:szCs w:val="24"/>
        </w:rPr>
        <w:t xml:space="preserve"> the </w:t>
      </w:r>
      <w:r w:rsidR="00B05138">
        <w:rPr>
          <w:rFonts w:cs="Arial"/>
          <w:szCs w:val="24"/>
        </w:rPr>
        <w:t>Secretary of State to amend</w:t>
      </w:r>
      <w:r w:rsidR="0017501C" w:rsidRPr="0017501C">
        <w:rPr>
          <w:rFonts w:cs="Arial"/>
          <w:szCs w:val="24"/>
        </w:rPr>
        <w:t xml:space="preserve"> the list of restricted substances and maximum permitted concentration thresholds for each of those substances </w:t>
      </w:r>
      <w:r w:rsidR="00F2080B">
        <w:rPr>
          <w:rFonts w:cs="Arial"/>
          <w:szCs w:val="24"/>
        </w:rPr>
        <w:t xml:space="preserve">inserted into </w:t>
      </w:r>
      <w:r w:rsidR="0017501C" w:rsidRPr="0017501C">
        <w:rPr>
          <w:rFonts w:cs="Arial"/>
          <w:szCs w:val="24"/>
        </w:rPr>
        <w:t>the RoHS Regulations</w:t>
      </w:r>
      <w:r w:rsidR="00F2080B">
        <w:rPr>
          <w:rFonts w:cs="Arial"/>
          <w:szCs w:val="24"/>
        </w:rPr>
        <w:t xml:space="preserve"> by EU Exit Regulations</w:t>
      </w:r>
      <w:r w:rsidR="0017501C">
        <w:rPr>
          <w:rFonts w:cs="Arial"/>
          <w:szCs w:val="24"/>
        </w:rPr>
        <w:t>, as they apply in GB</w:t>
      </w:r>
      <w:r w:rsidR="00B05138">
        <w:rPr>
          <w:rFonts w:cs="Arial"/>
          <w:szCs w:val="24"/>
        </w:rPr>
        <w:t>.</w:t>
      </w:r>
      <w:r w:rsidR="0017501C">
        <w:rPr>
          <w:rFonts w:cs="Arial"/>
          <w:szCs w:val="24"/>
        </w:rPr>
        <w:t xml:space="preserve"> </w:t>
      </w:r>
      <w:r w:rsidR="00F2080B">
        <w:rPr>
          <w:rFonts w:cs="Arial"/>
          <w:szCs w:val="24"/>
        </w:rPr>
        <w:t xml:space="preserve">The RoHS Regulations, as they apply in relation to NI, continue to be automatically updated </w:t>
      </w:r>
      <w:r w:rsidR="00886EEE">
        <w:rPr>
          <w:rFonts w:cs="Arial"/>
          <w:szCs w:val="24"/>
        </w:rPr>
        <w:t xml:space="preserve">to take account of amendments to the list of restricted substances, concentration limits and exemptions in </w:t>
      </w:r>
      <w:r w:rsidR="00F2080B">
        <w:rPr>
          <w:rFonts w:cs="Arial"/>
          <w:szCs w:val="24"/>
        </w:rPr>
        <w:t>the Directive</w:t>
      </w:r>
      <w:r w:rsidR="00886EEE">
        <w:rPr>
          <w:rFonts w:cs="Arial"/>
          <w:szCs w:val="24"/>
        </w:rPr>
        <w:t xml:space="preserve">. </w:t>
      </w:r>
    </w:p>
    <w:p w14:paraId="7A76BD19" w14:textId="19698E45" w:rsidR="00A349CF" w:rsidRDefault="00A349CF" w:rsidP="007E42CC">
      <w:pPr>
        <w:rPr>
          <w:rFonts w:cs="Arial"/>
          <w:szCs w:val="24"/>
        </w:rPr>
      </w:pPr>
      <w:r>
        <w:rPr>
          <w:rFonts w:cs="Arial"/>
          <w:szCs w:val="24"/>
        </w:rPr>
        <w:t xml:space="preserve">The European Union adopted </w:t>
      </w:r>
      <w:r w:rsidR="006C5E79">
        <w:rPr>
          <w:rFonts w:cs="Arial"/>
          <w:szCs w:val="24"/>
        </w:rPr>
        <w:t xml:space="preserve">legislation (Commission Delegated </w:t>
      </w:r>
      <w:r>
        <w:rPr>
          <w:rFonts w:cs="Arial"/>
          <w:szCs w:val="24"/>
        </w:rPr>
        <w:t>Directive (2015/863)</w:t>
      </w:r>
      <w:r w:rsidR="006C5E79">
        <w:rPr>
          <w:rFonts w:cs="Arial"/>
          <w:szCs w:val="24"/>
        </w:rPr>
        <w:t>)</w:t>
      </w:r>
      <w:r>
        <w:rPr>
          <w:rFonts w:cs="Arial"/>
          <w:szCs w:val="24"/>
        </w:rPr>
        <w:t xml:space="preserve"> in 2015</w:t>
      </w:r>
      <w:r w:rsidR="006C5E79">
        <w:rPr>
          <w:rFonts w:cs="Arial"/>
          <w:szCs w:val="24"/>
        </w:rPr>
        <w:t>,</w:t>
      </w:r>
      <w:r>
        <w:rPr>
          <w:rFonts w:cs="Arial"/>
          <w:szCs w:val="24"/>
        </w:rPr>
        <w:t xml:space="preserve"> which </w:t>
      </w:r>
      <w:r w:rsidR="006C5E79">
        <w:rPr>
          <w:rFonts w:cs="Arial"/>
          <w:szCs w:val="24"/>
        </w:rPr>
        <w:t xml:space="preserve">amended the RoHS Directive to </w:t>
      </w:r>
      <w:r>
        <w:rPr>
          <w:rFonts w:cs="Arial"/>
          <w:szCs w:val="24"/>
        </w:rPr>
        <w:t>add the following</w:t>
      </w:r>
      <w:r w:rsidR="0039710F">
        <w:rPr>
          <w:rFonts w:cs="Arial"/>
          <w:szCs w:val="24"/>
        </w:rPr>
        <w:t xml:space="preserve"> four phthalates</w:t>
      </w:r>
      <w:r>
        <w:rPr>
          <w:rFonts w:cs="Arial"/>
          <w:szCs w:val="24"/>
        </w:rPr>
        <w:t xml:space="preserve"> </w:t>
      </w:r>
      <w:r w:rsidR="00D0094F">
        <w:rPr>
          <w:rFonts w:cs="Arial"/>
          <w:szCs w:val="24"/>
        </w:rPr>
        <w:t xml:space="preserve">to </w:t>
      </w:r>
      <w:r w:rsidR="006C5E79">
        <w:rPr>
          <w:rFonts w:cs="Arial"/>
          <w:szCs w:val="24"/>
        </w:rPr>
        <w:t xml:space="preserve">the list of </w:t>
      </w:r>
      <w:r w:rsidR="006C5E79">
        <w:rPr>
          <w:rFonts w:cs="Arial"/>
          <w:szCs w:val="24"/>
        </w:rPr>
        <w:lastRenderedPageBreak/>
        <w:t xml:space="preserve">restricted substances and maximum concentration values in Annex II to that </w:t>
      </w:r>
      <w:r>
        <w:rPr>
          <w:rFonts w:cs="Arial"/>
          <w:szCs w:val="24"/>
        </w:rPr>
        <w:t>Directive</w:t>
      </w:r>
      <w:r w:rsidR="006C5E79">
        <w:rPr>
          <w:rFonts w:cs="Arial"/>
          <w:szCs w:val="24"/>
        </w:rPr>
        <w:t xml:space="preserve"> (t</w:t>
      </w:r>
      <w:r w:rsidR="00443C04">
        <w:rPr>
          <w:rFonts w:cs="Arial"/>
          <w:szCs w:val="24"/>
        </w:rPr>
        <w:t xml:space="preserve">he maximum concentration </w:t>
      </w:r>
      <w:r w:rsidR="006C5E79">
        <w:rPr>
          <w:rFonts w:cs="Arial"/>
          <w:szCs w:val="24"/>
        </w:rPr>
        <w:t>values</w:t>
      </w:r>
      <w:r w:rsidR="00443C04">
        <w:rPr>
          <w:rFonts w:cs="Arial"/>
          <w:szCs w:val="24"/>
        </w:rPr>
        <w:t xml:space="preserve"> are in brackets</w:t>
      </w:r>
      <w:r w:rsidR="006C5E79">
        <w:rPr>
          <w:rFonts w:cs="Arial"/>
          <w:szCs w:val="24"/>
        </w:rPr>
        <w:t>)</w:t>
      </w:r>
      <w:r w:rsidR="00443C04">
        <w:rPr>
          <w:rFonts w:cs="Arial"/>
          <w:szCs w:val="24"/>
        </w:rPr>
        <w:t>:</w:t>
      </w:r>
    </w:p>
    <w:p w14:paraId="29E65413" w14:textId="77777777" w:rsidR="00443C04" w:rsidRDefault="00443C04" w:rsidP="00443C04">
      <w:pPr>
        <w:rPr>
          <w:rFonts w:cs="Arial"/>
          <w:szCs w:val="24"/>
        </w:rPr>
      </w:pPr>
      <w:r w:rsidRPr="00EC4B45">
        <w:rPr>
          <w:rFonts w:cs="Arial"/>
          <w:szCs w:val="24"/>
        </w:rPr>
        <w:t>Bis(2-ethylhexyl) phthalate (DEHP)</w:t>
      </w:r>
      <w:r>
        <w:rPr>
          <w:rFonts w:cs="Arial"/>
          <w:szCs w:val="24"/>
        </w:rPr>
        <w:t xml:space="preserve"> (0.1%)</w:t>
      </w:r>
    </w:p>
    <w:p w14:paraId="04343121" w14:textId="77777777" w:rsidR="00443C04" w:rsidRDefault="00443C04" w:rsidP="00443C04">
      <w:pPr>
        <w:rPr>
          <w:rFonts w:cs="Arial"/>
          <w:szCs w:val="24"/>
        </w:rPr>
      </w:pPr>
      <w:r w:rsidRPr="00EC4B45">
        <w:rPr>
          <w:rFonts w:cs="Arial"/>
          <w:szCs w:val="24"/>
        </w:rPr>
        <w:t>Butyl benzyl phthalate (BBP)</w:t>
      </w:r>
      <w:r>
        <w:rPr>
          <w:rFonts w:cs="Arial"/>
          <w:szCs w:val="24"/>
        </w:rPr>
        <w:t xml:space="preserve"> (0.1%)</w:t>
      </w:r>
      <w:r w:rsidRPr="00EC4B45">
        <w:rPr>
          <w:rFonts w:cs="Arial"/>
          <w:szCs w:val="24"/>
        </w:rPr>
        <w:t xml:space="preserve">, </w:t>
      </w:r>
    </w:p>
    <w:p w14:paraId="614D6965" w14:textId="77777777" w:rsidR="00443C04" w:rsidRDefault="00443C04" w:rsidP="00443C04">
      <w:pPr>
        <w:rPr>
          <w:rFonts w:cs="Arial"/>
          <w:szCs w:val="24"/>
        </w:rPr>
      </w:pPr>
      <w:r w:rsidRPr="00EC4B45">
        <w:rPr>
          <w:rFonts w:cs="Arial"/>
          <w:szCs w:val="24"/>
        </w:rPr>
        <w:t xml:space="preserve">Dibutyl phthalate (DBP) </w:t>
      </w:r>
      <w:r>
        <w:rPr>
          <w:rFonts w:cs="Arial"/>
          <w:szCs w:val="24"/>
        </w:rPr>
        <w:t xml:space="preserve">(0.1%) </w:t>
      </w:r>
      <w:r w:rsidRPr="00EC4B45">
        <w:rPr>
          <w:rFonts w:cs="Arial"/>
          <w:szCs w:val="24"/>
        </w:rPr>
        <w:t xml:space="preserve">and </w:t>
      </w:r>
    </w:p>
    <w:p w14:paraId="40B64186" w14:textId="77777777" w:rsidR="007977BB" w:rsidRDefault="00443C04" w:rsidP="00443C04">
      <w:pPr>
        <w:rPr>
          <w:rFonts w:cs="Arial"/>
          <w:szCs w:val="24"/>
        </w:rPr>
      </w:pPr>
      <w:proofErr w:type="spellStart"/>
      <w:r w:rsidRPr="00EC4B45">
        <w:rPr>
          <w:rFonts w:cs="Arial"/>
          <w:szCs w:val="24"/>
        </w:rPr>
        <w:t>Diisobutyl</w:t>
      </w:r>
      <w:proofErr w:type="spellEnd"/>
      <w:r w:rsidRPr="00EC4B45">
        <w:rPr>
          <w:rFonts w:cs="Arial"/>
          <w:szCs w:val="24"/>
        </w:rPr>
        <w:t xml:space="preserve"> phthalate (DIBP)</w:t>
      </w:r>
      <w:r>
        <w:rPr>
          <w:rFonts w:cs="Arial"/>
          <w:szCs w:val="24"/>
        </w:rPr>
        <w:t xml:space="preserve"> (0.1%)</w:t>
      </w:r>
      <w:r w:rsidR="007977BB" w:rsidRPr="007977BB">
        <w:rPr>
          <w:rFonts w:cs="Arial"/>
          <w:szCs w:val="24"/>
        </w:rPr>
        <w:t xml:space="preserve"> </w:t>
      </w:r>
    </w:p>
    <w:bookmarkEnd w:id="12"/>
    <w:p w14:paraId="0B22E3A8" w14:textId="632DD08B" w:rsidR="007977BB" w:rsidRDefault="007977BB" w:rsidP="00443C04">
      <w:pPr>
        <w:rPr>
          <w:rFonts w:cs="Arial"/>
          <w:szCs w:val="24"/>
        </w:rPr>
      </w:pPr>
      <w:r w:rsidRPr="00EC4B45">
        <w:rPr>
          <w:rFonts w:cs="Arial"/>
          <w:szCs w:val="24"/>
        </w:rPr>
        <w:t xml:space="preserve">These phthalates have long been </w:t>
      </w:r>
      <w:r>
        <w:rPr>
          <w:rFonts w:cs="Arial"/>
          <w:szCs w:val="24"/>
        </w:rPr>
        <w:t>considered substances of very high concern (SVHC)</w:t>
      </w:r>
      <w:r w:rsidRPr="00EC4B45">
        <w:rPr>
          <w:rFonts w:cs="Arial"/>
          <w:szCs w:val="24"/>
        </w:rPr>
        <w:t>. When they are used in</w:t>
      </w:r>
      <w:r w:rsidR="002447AB">
        <w:rPr>
          <w:rFonts w:cs="Arial"/>
          <w:szCs w:val="24"/>
        </w:rPr>
        <w:t xml:space="preserve"> electrical and electronic </w:t>
      </w:r>
      <w:proofErr w:type="gramStart"/>
      <w:r w:rsidR="002447AB">
        <w:rPr>
          <w:rFonts w:cs="Arial"/>
          <w:szCs w:val="24"/>
        </w:rPr>
        <w:t>equipment</w:t>
      </w:r>
      <w:proofErr w:type="gramEnd"/>
      <w:r w:rsidRPr="00EC4B45">
        <w:rPr>
          <w:rFonts w:cs="Arial"/>
          <w:szCs w:val="24"/>
        </w:rPr>
        <w:t xml:space="preserve"> they</w:t>
      </w:r>
      <w:r>
        <w:rPr>
          <w:rFonts w:cs="Arial"/>
          <w:szCs w:val="24"/>
        </w:rPr>
        <w:t xml:space="preserve"> can</w:t>
      </w:r>
      <w:r w:rsidRPr="00EC4B45">
        <w:rPr>
          <w:rFonts w:cs="Arial"/>
          <w:szCs w:val="24"/>
        </w:rPr>
        <w:t xml:space="preserve"> have a negative impact on</w:t>
      </w:r>
      <w:r w:rsidR="007E4526">
        <w:rPr>
          <w:rFonts w:cs="Arial"/>
          <w:szCs w:val="24"/>
        </w:rPr>
        <w:t xml:space="preserve"> effective</w:t>
      </w:r>
      <w:r w:rsidRPr="00EC4B45">
        <w:rPr>
          <w:rFonts w:cs="Arial"/>
          <w:szCs w:val="24"/>
        </w:rPr>
        <w:t xml:space="preserve"> recycling, human health and the environment during waste operations.  </w:t>
      </w:r>
      <w:r w:rsidR="00AF1878">
        <w:rPr>
          <w:rFonts w:cs="Arial"/>
          <w:szCs w:val="24"/>
        </w:rPr>
        <w:t xml:space="preserve">Areas of concern include </w:t>
      </w:r>
      <w:r w:rsidR="008A5F4E">
        <w:rPr>
          <w:rFonts w:cs="Arial"/>
          <w:szCs w:val="24"/>
        </w:rPr>
        <w:t xml:space="preserve">environmental </w:t>
      </w:r>
      <w:r w:rsidR="000A797C">
        <w:rPr>
          <w:rFonts w:cs="Arial"/>
          <w:szCs w:val="24"/>
        </w:rPr>
        <w:t xml:space="preserve">releases </w:t>
      </w:r>
      <w:r w:rsidR="00C57CBA">
        <w:rPr>
          <w:rFonts w:cs="Arial"/>
          <w:szCs w:val="24"/>
        </w:rPr>
        <w:t xml:space="preserve">during WEEE treatment, </w:t>
      </w:r>
      <w:r w:rsidR="00284523">
        <w:rPr>
          <w:rFonts w:cs="Arial"/>
          <w:szCs w:val="24"/>
        </w:rPr>
        <w:t xml:space="preserve">the potential for secondary poisoning and </w:t>
      </w:r>
      <w:r w:rsidR="00DC1180">
        <w:rPr>
          <w:rFonts w:cs="Arial"/>
          <w:szCs w:val="24"/>
        </w:rPr>
        <w:t xml:space="preserve">risks to </w:t>
      </w:r>
      <w:r w:rsidR="00B260AE">
        <w:rPr>
          <w:rFonts w:cs="Arial"/>
          <w:szCs w:val="24"/>
        </w:rPr>
        <w:t>workers</w:t>
      </w:r>
      <w:r w:rsidR="00D13AD6">
        <w:rPr>
          <w:rFonts w:cs="Arial"/>
          <w:szCs w:val="24"/>
        </w:rPr>
        <w:t xml:space="preserve">, particularly, waste workers </w:t>
      </w:r>
      <w:r w:rsidR="00D03F84">
        <w:rPr>
          <w:rFonts w:cs="Arial"/>
          <w:szCs w:val="24"/>
        </w:rPr>
        <w:t>of effects o</w:t>
      </w:r>
      <w:r w:rsidR="00E72CC8">
        <w:rPr>
          <w:rFonts w:cs="Arial"/>
          <w:szCs w:val="24"/>
        </w:rPr>
        <w:t xml:space="preserve">n </w:t>
      </w:r>
      <w:r w:rsidR="00593941">
        <w:rPr>
          <w:rFonts w:cs="Arial"/>
          <w:szCs w:val="24"/>
        </w:rPr>
        <w:t>respiratory tracts because of inhalation</w:t>
      </w:r>
      <w:r w:rsidR="002E7327">
        <w:rPr>
          <w:rFonts w:cs="Arial"/>
          <w:szCs w:val="24"/>
        </w:rPr>
        <w:t xml:space="preserve">. </w:t>
      </w:r>
      <w:r>
        <w:rPr>
          <w:rFonts w:cs="Arial"/>
          <w:szCs w:val="24"/>
        </w:rPr>
        <w:t>S</w:t>
      </w:r>
      <w:r w:rsidRPr="00EC4B45">
        <w:rPr>
          <w:rFonts w:cs="Arial"/>
          <w:szCs w:val="24"/>
        </w:rPr>
        <w:t>ubstitutes for these phthalates have fewer negative impacts.</w:t>
      </w:r>
      <w:r w:rsidR="00D81D3E">
        <w:rPr>
          <w:rFonts w:cs="Arial"/>
          <w:szCs w:val="24"/>
        </w:rPr>
        <w:t xml:space="preserve"> </w:t>
      </w:r>
    </w:p>
    <w:p w14:paraId="05BF3ACA" w14:textId="69DF757A" w:rsidR="00575854" w:rsidRDefault="00443C04" w:rsidP="007977BB">
      <w:pPr>
        <w:rPr>
          <w:rFonts w:cs="Arial"/>
          <w:szCs w:val="24"/>
        </w:rPr>
      </w:pPr>
      <w:r>
        <w:rPr>
          <w:rFonts w:cs="Arial"/>
          <w:szCs w:val="24"/>
        </w:rPr>
        <w:t xml:space="preserve">The new substance restrictions applied </w:t>
      </w:r>
      <w:r w:rsidR="00D0094F">
        <w:rPr>
          <w:rFonts w:cs="Arial"/>
          <w:szCs w:val="24"/>
        </w:rPr>
        <w:t xml:space="preserve">for most products </w:t>
      </w:r>
      <w:r w:rsidR="007977BB">
        <w:rPr>
          <w:rFonts w:cs="Arial"/>
          <w:szCs w:val="24"/>
        </w:rPr>
        <w:t xml:space="preserve">with effect from </w:t>
      </w:r>
      <w:r w:rsidR="001A55C3">
        <w:rPr>
          <w:rFonts w:cs="Arial"/>
          <w:szCs w:val="24"/>
        </w:rPr>
        <w:t>22 July 2019</w:t>
      </w:r>
      <w:r>
        <w:rPr>
          <w:rFonts w:cs="Arial"/>
          <w:szCs w:val="24"/>
        </w:rPr>
        <w:t xml:space="preserve">.  </w:t>
      </w:r>
      <w:r w:rsidR="007977BB">
        <w:rPr>
          <w:rFonts w:cs="Arial"/>
          <w:szCs w:val="24"/>
        </w:rPr>
        <w:t>However</w:t>
      </w:r>
      <w:r w:rsidR="006176B6">
        <w:rPr>
          <w:rFonts w:cs="Arial"/>
          <w:szCs w:val="24"/>
        </w:rPr>
        <w:t>,</w:t>
      </w:r>
      <w:r w:rsidR="007977BB">
        <w:rPr>
          <w:rFonts w:cs="Arial"/>
          <w:szCs w:val="24"/>
        </w:rPr>
        <w:t xml:space="preserve"> t</w:t>
      </w:r>
      <w:r>
        <w:rPr>
          <w:rFonts w:cs="Arial"/>
          <w:szCs w:val="24"/>
        </w:rPr>
        <w:t xml:space="preserve">he </w:t>
      </w:r>
      <w:r w:rsidR="007977BB">
        <w:rPr>
          <w:rFonts w:cs="Arial"/>
          <w:szCs w:val="24"/>
        </w:rPr>
        <w:t xml:space="preserve">application of these </w:t>
      </w:r>
      <w:r>
        <w:rPr>
          <w:rFonts w:cs="Arial"/>
          <w:szCs w:val="24"/>
        </w:rPr>
        <w:t xml:space="preserve">new restrictions to medical devices and control &amp; instrumentation equipment </w:t>
      </w:r>
      <w:r w:rsidR="007977BB">
        <w:rPr>
          <w:rFonts w:cs="Arial"/>
          <w:szCs w:val="24"/>
        </w:rPr>
        <w:t xml:space="preserve">was deferred to </w:t>
      </w:r>
      <w:r>
        <w:rPr>
          <w:rFonts w:cs="Arial"/>
          <w:szCs w:val="24"/>
        </w:rPr>
        <w:t>21 July 2021</w:t>
      </w:r>
      <w:r w:rsidR="007977BB">
        <w:rPr>
          <w:rFonts w:cs="Arial"/>
          <w:szCs w:val="24"/>
        </w:rPr>
        <w:t xml:space="preserve"> in recognition of the</w:t>
      </w:r>
      <w:r w:rsidR="007977BB" w:rsidRPr="007977BB">
        <w:rPr>
          <w:rFonts w:cs="Arial"/>
          <w:szCs w:val="24"/>
        </w:rPr>
        <w:t xml:space="preserve"> </w:t>
      </w:r>
      <w:proofErr w:type="gramStart"/>
      <w:r w:rsidR="007977BB" w:rsidRPr="00EC4B45">
        <w:rPr>
          <w:rFonts w:cs="Arial"/>
          <w:szCs w:val="24"/>
        </w:rPr>
        <w:t>long</w:t>
      </w:r>
      <w:r w:rsidR="004D5B66">
        <w:rPr>
          <w:rFonts w:cs="Arial"/>
          <w:szCs w:val="24"/>
        </w:rPr>
        <w:t xml:space="preserve">er </w:t>
      </w:r>
      <w:r w:rsidR="007977BB" w:rsidRPr="00EC4B45">
        <w:rPr>
          <w:rFonts w:cs="Arial"/>
          <w:szCs w:val="24"/>
        </w:rPr>
        <w:t xml:space="preserve"> innovation</w:t>
      </w:r>
      <w:proofErr w:type="gramEnd"/>
      <w:r w:rsidR="007977BB">
        <w:rPr>
          <w:rFonts w:cs="Arial"/>
          <w:szCs w:val="24"/>
        </w:rPr>
        <w:t xml:space="preserve"> and product development</w:t>
      </w:r>
      <w:r w:rsidR="007977BB" w:rsidRPr="00EC4B45">
        <w:rPr>
          <w:rFonts w:cs="Arial"/>
          <w:szCs w:val="24"/>
        </w:rPr>
        <w:t xml:space="preserve"> cycles</w:t>
      </w:r>
      <w:r w:rsidR="004D5B66">
        <w:rPr>
          <w:rFonts w:cs="Arial"/>
          <w:szCs w:val="24"/>
        </w:rPr>
        <w:t xml:space="preserve"> that are typical</w:t>
      </w:r>
      <w:r w:rsidR="007977BB" w:rsidRPr="00EC4B45">
        <w:rPr>
          <w:rFonts w:cs="Arial"/>
          <w:szCs w:val="24"/>
        </w:rPr>
        <w:t xml:space="preserve"> </w:t>
      </w:r>
      <w:r w:rsidR="007977BB">
        <w:rPr>
          <w:rFonts w:cs="Arial"/>
          <w:szCs w:val="24"/>
        </w:rPr>
        <w:t xml:space="preserve">for these </w:t>
      </w:r>
      <w:r w:rsidR="007977BB" w:rsidRPr="00EC4B45">
        <w:rPr>
          <w:rFonts w:cs="Arial"/>
          <w:szCs w:val="24"/>
        </w:rPr>
        <w:t>products</w:t>
      </w:r>
      <w:r w:rsidR="007977BB">
        <w:rPr>
          <w:rFonts w:cs="Arial"/>
          <w:szCs w:val="24"/>
        </w:rPr>
        <w:t>.</w:t>
      </w:r>
      <w:r w:rsidR="007977BB" w:rsidRPr="00EC4B45">
        <w:rPr>
          <w:rFonts w:cs="Arial"/>
          <w:szCs w:val="24"/>
        </w:rPr>
        <w:t xml:space="preserve"> </w:t>
      </w:r>
    </w:p>
    <w:p w14:paraId="1DAAB17F" w14:textId="3CAAB751" w:rsidR="00443C04" w:rsidRDefault="007977BB" w:rsidP="00443C04">
      <w:pPr>
        <w:rPr>
          <w:rFonts w:cs="Arial"/>
          <w:szCs w:val="24"/>
        </w:rPr>
      </w:pPr>
      <w:r>
        <w:rPr>
          <w:rFonts w:cs="Arial"/>
          <w:szCs w:val="24"/>
        </w:rPr>
        <w:t>The UK government supported these</w:t>
      </w:r>
      <w:r w:rsidR="0039710F">
        <w:rPr>
          <w:rFonts w:cs="Arial"/>
          <w:szCs w:val="24"/>
        </w:rPr>
        <w:t xml:space="preserve"> measures in 2015</w:t>
      </w:r>
      <w:r>
        <w:rPr>
          <w:rFonts w:cs="Arial"/>
          <w:szCs w:val="24"/>
        </w:rPr>
        <w:t>.  However</w:t>
      </w:r>
      <w:r w:rsidR="003760C8">
        <w:rPr>
          <w:rFonts w:cs="Arial"/>
          <w:szCs w:val="24"/>
        </w:rPr>
        <w:t xml:space="preserve">, </w:t>
      </w:r>
      <w:r>
        <w:rPr>
          <w:rFonts w:cs="Arial"/>
          <w:szCs w:val="24"/>
        </w:rPr>
        <w:t xml:space="preserve">the timing of EU </w:t>
      </w:r>
      <w:r w:rsidR="006176B6">
        <w:rPr>
          <w:rFonts w:cs="Arial"/>
          <w:szCs w:val="24"/>
        </w:rPr>
        <w:t>E</w:t>
      </w:r>
      <w:r>
        <w:rPr>
          <w:rFonts w:cs="Arial"/>
          <w:szCs w:val="24"/>
        </w:rPr>
        <w:t xml:space="preserve">xit </w:t>
      </w:r>
      <w:r w:rsidR="008D6053">
        <w:rPr>
          <w:rFonts w:cs="Arial"/>
          <w:szCs w:val="24"/>
        </w:rPr>
        <w:t xml:space="preserve">means it must use repatriated powers to apply </w:t>
      </w:r>
      <w:r>
        <w:rPr>
          <w:rFonts w:cs="Arial"/>
          <w:szCs w:val="24"/>
        </w:rPr>
        <w:t>the restrictions to medical devices and</w:t>
      </w:r>
      <w:r w:rsidR="002447AB">
        <w:rPr>
          <w:rFonts w:cs="Arial"/>
          <w:szCs w:val="24"/>
        </w:rPr>
        <w:t xml:space="preserve"> control &amp; instrumentation equipment</w:t>
      </w:r>
      <w:r w:rsidR="008D6053">
        <w:rPr>
          <w:rFonts w:cs="Arial"/>
          <w:szCs w:val="24"/>
        </w:rPr>
        <w:t xml:space="preserve">. </w:t>
      </w:r>
      <w:r w:rsidR="002447AB">
        <w:rPr>
          <w:rFonts w:cs="Arial"/>
          <w:szCs w:val="24"/>
        </w:rPr>
        <w:t>Those powers require the Secretary of State to consult before making the necessary regulatory changes</w:t>
      </w:r>
    </w:p>
    <w:p w14:paraId="3112A557" w14:textId="77777777" w:rsidR="007E42CC" w:rsidRPr="00EC4B45" w:rsidRDefault="007E42CC" w:rsidP="007E42CC">
      <w:pPr>
        <w:rPr>
          <w:rFonts w:cs="Arial"/>
          <w:b/>
          <w:bCs/>
          <w:szCs w:val="24"/>
        </w:rPr>
      </w:pPr>
      <w:r>
        <w:rPr>
          <w:rFonts w:cs="Arial"/>
          <w:b/>
          <w:bCs/>
          <w:szCs w:val="24"/>
        </w:rPr>
        <w:t xml:space="preserve">Review of the inclusion of Phthalates in the RoHS Regulations in medical devices and monitoring and control instruments </w:t>
      </w:r>
    </w:p>
    <w:p w14:paraId="335DD92B" w14:textId="4E095877" w:rsidR="007E42CC" w:rsidRPr="00EC4B45" w:rsidRDefault="007E42CC" w:rsidP="007E42CC">
      <w:pPr>
        <w:rPr>
          <w:rFonts w:cs="Arial"/>
          <w:szCs w:val="24"/>
        </w:rPr>
      </w:pPr>
      <w:r w:rsidRPr="00EC4B45">
        <w:rPr>
          <w:rFonts w:cs="Arial"/>
          <w:szCs w:val="24"/>
        </w:rPr>
        <w:t xml:space="preserve">Defra </w:t>
      </w:r>
      <w:r w:rsidR="002447AB">
        <w:rPr>
          <w:rFonts w:cs="Arial"/>
          <w:szCs w:val="24"/>
        </w:rPr>
        <w:t xml:space="preserve">commissioned a technical </w:t>
      </w:r>
      <w:r w:rsidR="003760C8">
        <w:rPr>
          <w:rFonts w:cs="Arial"/>
          <w:szCs w:val="24"/>
        </w:rPr>
        <w:t>report</w:t>
      </w:r>
      <w:r w:rsidR="002E4A67">
        <w:rPr>
          <w:rFonts w:cs="Arial"/>
          <w:szCs w:val="24"/>
        </w:rPr>
        <w:t>,’ Review of the inclusion of phthalates in the RoHS Regulations in medical devices and monitoring and control instruments’</w:t>
      </w:r>
      <w:r w:rsidR="003760C8">
        <w:rPr>
          <w:rFonts w:cs="Arial"/>
          <w:szCs w:val="24"/>
        </w:rPr>
        <w:t xml:space="preserve"> </w:t>
      </w:r>
      <w:r w:rsidR="002447AB">
        <w:rPr>
          <w:rFonts w:cs="Arial"/>
          <w:szCs w:val="24"/>
        </w:rPr>
        <w:t>on the i</w:t>
      </w:r>
      <w:r w:rsidRPr="00EC4B45">
        <w:rPr>
          <w:rFonts w:cs="Arial"/>
          <w:szCs w:val="24"/>
        </w:rPr>
        <w:t xml:space="preserve">nclusion </w:t>
      </w:r>
      <w:r w:rsidR="002447AB">
        <w:rPr>
          <w:rFonts w:cs="Arial"/>
          <w:szCs w:val="24"/>
        </w:rPr>
        <w:t xml:space="preserve">medical devices and control &amp; instrumentation equipment in the </w:t>
      </w:r>
      <w:r w:rsidR="00E13880">
        <w:rPr>
          <w:rFonts w:cs="Arial"/>
          <w:szCs w:val="24"/>
        </w:rPr>
        <w:t xml:space="preserve">restrictions currently applied to the four </w:t>
      </w:r>
      <w:r w:rsidRPr="00EC4B45">
        <w:rPr>
          <w:rFonts w:cs="Arial"/>
          <w:szCs w:val="24"/>
        </w:rPr>
        <w:t xml:space="preserve">of </w:t>
      </w:r>
      <w:r w:rsidR="002447AB">
        <w:rPr>
          <w:rFonts w:cs="Arial"/>
          <w:szCs w:val="24"/>
        </w:rPr>
        <w:t>p</w:t>
      </w:r>
      <w:r w:rsidRPr="00EC4B45">
        <w:rPr>
          <w:rFonts w:cs="Arial"/>
          <w:szCs w:val="24"/>
        </w:rPr>
        <w:t>hthalates</w:t>
      </w:r>
      <w:r w:rsidR="00E13880">
        <w:rPr>
          <w:rFonts w:cs="Arial"/>
          <w:szCs w:val="24"/>
        </w:rPr>
        <w:t xml:space="preserve"> for other categories of equipment</w:t>
      </w:r>
      <w:r w:rsidRPr="00EC4B45">
        <w:rPr>
          <w:rFonts w:cs="Arial"/>
          <w:szCs w:val="24"/>
        </w:rPr>
        <w:t xml:space="preserve"> in </w:t>
      </w:r>
      <w:r w:rsidR="00E875A3">
        <w:rPr>
          <w:rFonts w:cs="Arial"/>
          <w:szCs w:val="24"/>
        </w:rPr>
        <w:t>t</w:t>
      </w:r>
      <w:r w:rsidRPr="00EC4B45">
        <w:rPr>
          <w:rFonts w:cs="Arial"/>
          <w:szCs w:val="24"/>
        </w:rPr>
        <w:t xml:space="preserve">he RoHS Regulations. </w:t>
      </w:r>
      <w:r w:rsidR="00346668">
        <w:rPr>
          <w:rFonts w:cs="Arial"/>
          <w:szCs w:val="24"/>
        </w:rPr>
        <w:t>T</w:t>
      </w:r>
      <w:r w:rsidR="00E13880">
        <w:rPr>
          <w:rFonts w:cs="Arial"/>
          <w:szCs w:val="24"/>
        </w:rPr>
        <w:t>h</w:t>
      </w:r>
      <w:r w:rsidR="002E4A67">
        <w:rPr>
          <w:rFonts w:cs="Arial"/>
          <w:szCs w:val="24"/>
        </w:rPr>
        <w:t>is</w:t>
      </w:r>
      <w:r w:rsidR="00346668">
        <w:rPr>
          <w:rFonts w:cs="Arial"/>
          <w:szCs w:val="24"/>
        </w:rPr>
        <w:t xml:space="preserve"> report</w:t>
      </w:r>
      <w:r w:rsidR="00B92D96">
        <w:rPr>
          <w:rFonts w:cs="Arial"/>
          <w:szCs w:val="24"/>
        </w:rPr>
        <w:t xml:space="preserve"> </w:t>
      </w:r>
      <w:r w:rsidR="00346668">
        <w:rPr>
          <w:rFonts w:cs="Arial"/>
          <w:szCs w:val="24"/>
        </w:rPr>
        <w:t>is published</w:t>
      </w:r>
      <w:r>
        <w:rPr>
          <w:rFonts w:cs="Arial"/>
          <w:szCs w:val="24"/>
        </w:rPr>
        <w:t xml:space="preserve"> alongside this consultation</w:t>
      </w:r>
      <w:r w:rsidR="00E13880">
        <w:rPr>
          <w:rFonts w:cs="Arial"/>
          <w:szCs w:val="24"/>
        </w:rPr>
        <w:t>.</w:t>
      </w:r>
      <w:r>
        <w:rPr>
          <w:rFonts w:cs="Arial"/>
          <w:szCs w:val="24"/>
        </w:rPr>
        <w:t xml:space="preserve"> The report</w:t>
      </w:r>
      <w:r w:rsidR="00526788">
        <w:rPr>
          <w:rFonts w:cs="Arial"/>
          <w:szCs w:val="24"/>
        </w:rPr>
        <w:t>,</w:t>
      </w:r>
      <w:r>
        <w:rPr>
          <w:rFonts w:cs="Arial"/>
          <w:szCs w:val="24"/>
        </w:rPr>
        <w:t xml:space="preserve"> </w:t>
      </w:r>
      <w:r w:rsidR="00E13880">
        <w:rPr>
          <w:rFonts w:cs="Arial"/>
          <w:szCs w:val="24"/>
        </w:rPr>
        <w:t>along with associated</w:t>
      </w:r>
      <w:r w:rsidR="001834D0">
        <w:rPr>
          <w:rFonts w:cs="Arial"/>
          <w:szCs w:val="24"/>
        </w:rPr>
        <w:t xml:space="preserve"> reports and</w:t>
      </w:r>
      <w:r w:rsidR="00E13880">
        <w:rPr>
          <w:rFonts w:cs="Arial"/>
          <w:szCs w:val="24"/>
        </w:rPr>
        <w:t xml:space="preserve"> studies</w:t>
      </w:r>
      <w:r w:rsidR="00B92D96">
        <w:rPr>
          <w:rStyle w:val="FootnoteReference"/>
          <w:rFonts w:cs="Arial"/>
          <w:szCs w:val="24"/>
        </w:rPr>
        <w:footnoteReference w:id="2"/>
      </w:r>
      <w:r w:rsidR="00526788">
        <w:rPr>
          <w:rFonts w:cs="Arial"/>
          <w:szCs w:val="24"/>
        </w:rPr>
        <w:t xml:space="preserve">, </w:t>
      </w:r>
      <w:r w:rsidR="00E13880">
        <w:rPr>
          <w:rFonts w:cs="Arial"/>
          <w:szCs w:val="24"/>
        </w:rPr>
        <w:t xml:space="preserve">published by the European Commission </w:t>
      </w:r>
      <w:r w:rsidR="00575854">
        <w:rPr>
          <w:rFonts w:cs="Arial"/>
          <w:szCs w:val="24"/>
        </w:rPr>
        <w:t>set out</w:t>
      </w:r>
    </w:p>
    <w:p w14:paraId="326102F1" w14:textId="08C1D135" w:rsidR="007E42CC" w:rsidRPr="00EC4B45" w:rsidRDefault="007E42CC" w:rsidP="007E42CC">
      <w:pPr>
        <w:pStyle w:val="ListParagraph"/>
        <w:numPr>
          <w:ilvl w:val="0"/>
          <w:numId w:val="15"/>
        </w:numPr>
        <w:spacing w:before="0" w:after="160" w:line="259" w:lineRule="auto"/>
        <w:rPr>
          <w:rFonts w:cs="Arial"/>
          <w:szCs w:val="24"/>
        </w:rPr>
      </w:pPr>
      <w:r w:rsidRPr="00EC4B45">
        <w:rPr>
          <w:rFonts w:cs="Arial"/>
          <w:szCs w:val="24"/>
        </w:rPr>
        <w:t xml:space="preserve">references and scientific evidence </w:t>
      </w:r>
      <w:r w:rsidR="004D5B66">
        <w:rPr>
          <w:rFonts w:cs="Arial"/>
          <w:szCs w:val="24"/>
        </w:rPr>
        <w:t xml:space="preserve">in support of the adoption of the proposed </w:t>
      </w:r>
      <w:r w:rsidRPr="00EC4B45">
        <w:rPr>
          <w:rFonts w:cs="Arial"/>
          <w:szCs w:val="24"/>
        </w:rPr>
        <w:t>restriction</w:t>
      </w:r>
      <w:r w:rsidR="00E13880">
        <w:rPr>
          <w:rFonts w:cs="Arial"/>
          <w:szCs w:val="24"/>
        </w:rPr>
        <w:t>s</w:t>
      </w:r>
      <w:r w:rsidRPr="00EC4B45">
        <w:rPr>
          <w:rFonts w:cs="Arial"/>
          <w:szCs w:val="24"/>
        </w:rPr>
        <w:t xml:space="preserve">  </w:t>
      </w:r>
    </w:p>
    <w:p w14:paraId="4EBA937E" w14:textId="552FEACD" w:rsidR="007E42CC" w:rsidRPr="00EC4B45" w:rsidRDefault="007E42CC" w:rsidP="007E42CC">
      <w:pPr>
        <w:pStyle w:val="ListParagraph"/>
        <w:numPr>
          <w:ilvl w:val="0"/>
          <w:numId w:val="15"/>
        </w:numPr>
        <w:spacing w:before="0" w:after="160" w:line="259" w:lineRule="auto"/>
        <w:rPr>
          <w:rFonts w:cs="Arial"/>
          <w:szCs w:val="24"/>
        </w:rPr>
      </w:pPr>
      <w:r w:rsidRPr="00EC4B45">
        <w:rPr>
          <w:rFonts w:cs="Arial"/>
          <w:szCs w:val="24"/>
        </w:rPr>
        <w:t>information on the use of the substance</w:t>
      </w:r>
      <w:r w:rsidR="00E13880">
        <w:rPr>
          <w:rFonts w:cs="Arial"/>
          <w:szCs w:val="24"/>
        </w:rPr>
        <w:t xml:space="preserve">s in equipment </w:t>
      </w:r>
    </w:p>
    <w:p w14:paraId="66B92E99" w14:textId="2A4F9F8D" w:rsidR="007E42CC" w:rsidRPr="00EC4B45" w:rsidRDefault="007E42CC" w:rsidP="007E42CC">
      <w:pPr>
        <w:pStyle w:val="ListParagraph"/>
        <w:numPr>
          <w:ilvl w:val="0"/>
          <w:numId w:val="15"/>
        </w:numPr>
        <w:spacing w:before="0" w:after="160" w:line="259" w:lineRule="auto"/>
        <w:rPr>
          <w:rFonts w:cs="Arial"/>
          <w:szCs w:val="24"/>
        </w:rPr>
      </w:pPr>
      <w:r w:rsidRPr="00EC4B45">
        <w:rPr>
          <w:rFonts w:cs="Arial"/>
          <w:szCs w:val="24"/>
        </w:rPr>
        <w:lastRenderedPageBreak/>
        <w:t xml:space="preserve">information on detrimental effects and exposure, in particular during waste management </w:t>
      </w:r>
      <w:proofErr w:type="gramStart"/>
      <w:r w:rsidRPr="00EC4B45">
        <w:rPr>
          <w:rFonts w:cs="Arial"/>
          <w:szCs w:val="24"/>
        </w:rPr>
        <w:t>operations;</w:t>
      </w:r>
      <w:proofErr w:type="gramEnd"/>
    </w:p>
    <w:p w14:paraId="693D9E03" w14:textId="77777777" w:rsidR="007E42CC" w:rsidRPr="00EC4B45" w:rsidRDefault="007E42CC" w:rsidP="007E42CC">
      <w:pPr>
        <w:pStyle w:val="ListParagraph"/>
        <w:numPr>
          <w:ilvl w:val="0"/>
          <w:numId w:val="15"/>
        </w:numPr>
        <w:spacing w:before="0" w:after="160" w:line="259" w:lineRule="auto"/>
        <w:rPr>
          <w:rFonts w:cs="Arial"/>
          <w:szCs w:val="24"/>
        </w:rPr>
      </w:pPr>
      <w:r w:rsidRPr="00EC4B45">
        <w:rPr>
          <w:rFonts w:cs="Arial"/>
          <w:szCs w:val="24"/>
        </w:rPr>
        <w:t xml:space="preserve">information on possible substitutes and other alternatives, and on their availability and reliability </w:t>
      </w:r>
    </w:p>
    <w:p w14:paraId="7BE3D1A5" w14:textId="77777777" w:rsidR="007E42CC" w:rsidRDefault="007E42CC" w:rsidP="007E42CC">
      <w:pPr>
        <w:pStyle w:val="ListParagraph"/>
        <w:numPr>
          <w:ilvl w:val="0"/>
          <w:numId w:val="15"/>
        </w:numPr>
        <w:spacing w:before="0" w:after="160" w:line="259" w:lineRule="auto"/>
        <w:rPr>
          <w:rFonts w:cs="Arial"/>
          <w:szCs w:val="24"/>
        </w:rPr>
      </w:pPr>
      <w:r w:rsidRPr="00EC4B45">
        <w:rPr>
          <w:rFonts w:cs="Arial"/>
          <w:szCs w:val="24"/>
        </w:rPr>
        <w:t>justification for the proposed provision being the most appropriate measur</w:t>
      </w:r>
      <w:r>
        <w:rPr>
          <w:rFonts w:cs="Arial"/>
          <w:szCs w:val="24"/>
        </w:rPr>
        <w:t>e</w:t>
      </w:r>
    </w:p>
    <w:p w14:paraId="6DEEB11B" w14:textId="77777777" w:rsidR="007E42CC" w:rsidRPr="00EC4B45" w:rsidRDefault="007E42CC" w:rsidP="007E42CC">
      <w:pPr>
        <w:pStyle w:val="ListParagraph"/>
        <w:numPr>
          <w:ilvl w:val="0"/>
          <w:numId w:val="15"/>
        </w:numPr>
        <w:spacing w:before="0" w:after="160" w:line="259" w:lineRule="auto"/>
        <w:rPr>
          <w:rFonts w:cs="Arial"/>
          <w:szCs w:val="24"/>
        </w:rPr>
      </w:pPr>
      <w:r>
        <w:rPr>
          <w:rFonts w:cs="Arial"/>
          <w:szCs w:val="24"/>
        </w:rPr>
        <w:t xml:space="preserve">information socio-economic impacts </w:t>
      </w:r>
    </w:p>
    <w:p w14:paraId="790D56E9" w14:textId="77777777" w:rsidR="007E42CC" w:rsidRPr="00EC4B45" w:rsidRDefault="007E42CC" w:rsidP="007E42CC">
      <w:pPr>
        <w:rPr>
          <w:rFonts w:cs="Arial"/>
          <w:szCs w:val="24"/>
        </w:rPr>
      </w:pPr>
    </w:p>
    <w:p w14:paraId="0FCC1D76" w14:textId="4BA8BF56" w:rsidR="007E42CC" w:rsidRPr="00EC4B45" w:rsidRDefault="00D0094F" w:rsidP="007E42CC">
      <w:pPr>
        <w:rPr>
          <w:rFonts w:cs="Arial"/>
          <w:b/>
          <w:bCs/>
          <w:szCs w:val="24"/>
        </w:rPr>
      </w:pPr>
      <w:r>
        <w:rPr>
          <w:rFonts w:cs="Arial"/>
          <w:b/>
          <w:bCs/>
          <w:szCs w:val="24"/>
        </w:rPr>
        <w:t xml:space="preserve">Assessment of </w:t>
      </w:r>
      <w:r w:rsidR="00575854">
        <w:rPr>
          <w:rFonts w:cs="Arial"/>
          <w:b/>
          <w:bCs/>
          <w:szCs w:val="24"/>
        </w:rPr>
        <w:t>Impacts</w:t>
      </w:r>
      <w:r>
        <w:rPr>
          <w:rFonts w:cs="Arial"/>
          <w:b/>
          <w:bCs/>
          <w:szCs w:val="24"/>
        </w:rPr>
        <w:t xml:space="preserve"> on Business</w:t>
      </w:r>
    </w:p>
    <w:p w14:paraId="70899DC1" w14:textId="0242F819" w:rsidR="00933DF2" w:rsidRDefault="00172DDE" w:rsidP="007E42CC">
      <w:pPr>
        <w:rPr>
          <w:rFonts w:cs="Arial"/>
          <w:szCs w:val="24"/>
        </w:rPr>
      </w:pPr>
      <w:r>
        <w:rPr>
          <w:rFonts w:cs="Arial"/>
          <w:szCs w:val="24"/>
        </w:rPr>
        <w:t xml:space="preserve">Engagement with relevant </w:t>
      </w:r>
      <w:r w:rsidR="004D5B66">
        <w:rPr>
          <w:rFonts w:cs="Arial"/>
          <w:szCs w:val="24"/>
        </w:rPr>
        <w:t xml:space="preserve">UK </w:t>
      </w:r>
      <w:r>
        <w:rPr>
          <w:rFonts w:cs="Arial"/>
          <w:szCs w:val="24"/>
        </w:rPr>
        <w:t xml:space="preserve">trade bodies </w:t>
      </w:r>
      <w:r w:rsidR="00933DF2">
        <w:rPr>
          <w:rFonts w:cs="Arial"/>
          <w:szCs w:val="24"/>
        </w:rPr>
        <w:t xml:space="preserve">during the production of the technical report accompanying this consultation </w:t>
      </w:r>
      <w:r w:rsidR="004D5B66">
        <w:rPr>
          <w:rFonts w:cs="Arial"/>
          <w:szCs w:val="24"/>
        </w:rPr>
        <w:t xml:space="preserve">suggests </w:t>
      </w:r>
      <w:r w:rsidR="00933DF2">
        <w:rPr>
          <w:rFonts w:cs="Arial"/>
          <w:szCs w:val="24"/>
        </w:rPr>
        <w:t>t</w:t>
      </w:r>
      <w:r w:rsidR="007E42CC" w:rsidRPr="00EC4B45">
        <w:rPr>
          <w:rFonts w:cs="Arial"/>
          <w:szCs w:val="24"/>
        </w:rPr>
        <w:t xml:space="preserve">here is </w:t>
      </w:r>
      <w:r>
        <w:rPr>
          <w:rFonts w:cs="Arial"/>
          <w:szCs w:val="24"/>
        </w:rPr>
        <w:t xml:space="preserve">strong </w:t>
      </w:r>
      <w:r w:rsidR="007E42CC" w:rsidRPr="00EC4B45">
        <w:rPr>
          <w:rFonts w:cs="Arial"/>
          <w:szCs w:val="24"/>
        </w:rPr>
        <w:t>evidence that</w:t>
      </w:r>
      <w:r>
        <w:rPr>
          <w:rFonts w:cs="Arial"/>
          <w:szCs w:val="24"/>
        </w:rPr>
        <w:t xml:space="preserve"> industr</w:t>
      </w:r>
      <w:r w:rsidR="003760C8">
        <w:rPr>
          <w:rFonts w:cs="Arial"/>
          <w:szCs w:val="24"/>
        </w:rPr>
        <w:t xml:space="preserve">y </w:t>
      </w:r>
      <w:r w:rsidR="007E42CC" w:rsidRPr="00EC4B45">
        <w:rPr>
          <w:rFonts w:cs="Arial"/>
          <w:szCs w:val="24"/>
        </w:rPr>
        <w:t>ha</w:t>
      </w:r>
      <w:r w:rsidR="003760C8">
        <w:rPr>
          <w:rFonts w:cs="Arial"/>
          <w:szCs w:val="24"/>
        </w:rPr>
        <w:t>s</w:t>
      </w:r>
      <w:r w:rsidR="00933DF2">
        <w:rPr>
          <w:rFonts w:cs="Arial"/>
          <w:szCs w:val="24"/>
        </w:rPr>
        <w:t xml:space="preserve"> already </w:t>
      </w:r>
      <w:r w:rsidR="007E42CC" w:rsidRPr="00EC4B45">
        <w:rPr>
          <w:rFonts w:cs="Arial"/>
          <w:szCs w:val="24"/>
        </w:rPr>
        <w:t>m</w:t>
      </w:r>
      <w:r>
        <w:rPr>
          <w:rFonts w:cs="Arial"/>
          <w:szCs w:val="24"/>
        </w:rPr>
        <w:t>oved</w:t>
      </w:r>
      <w:r w:rsidR="007E42CC" w:rsidRPr="00EC4B45">
        <w:rPr>
          <w:rFonts w:cs="Arial"/>
          <w:szCs w:val="24"/>
        </w:rPr>
        <w:t xml:space="preserve"> away from </w:t>
      </w:r>
      <w:r>
        <w:rPr>
          <w:rFonts w:cs="Arial"/>
          <w:szCs w:val="24"/>
        </w:rPr>
        <w:t xml:space="preserve">the use of </w:t>
      </w:r>
      <w:r w:rsidR="007E42CC" w:rsidRPr="00EC4B45">
        <w:rPr>
          <w:rFonts w:cs="Arial"/>
          <w:szCs w:val="24"/>
        </w:rPr>
        <w:t>phthalates in</w:t>
      </w:r>
      <w:r>
        <w:rPr>
          <w:rFonts w:cs="Arial"/>
          <w:szCs w:val="24"/>
        </w:rPr>
        <w:t xml:space="preserve"> their equipment</w:t>
      </w:r>
      <w:r w:rsidR="00933DF2">
        <w:rPr>
          <w:rFonts w:cs="Arial"/>
          <w:szCs w:val="24"/>
        </w:rPr>
        <w:t xml:space="preserve"> </w:t>
      </w:r>
      <w:proofErr w:type="gramStart"/>
      <w:r w:rsidR="00933DF2">
        <w:rPr>
          <w:rFonts w:cs="Arial"/>
          <w:szCs w:val="24"/>
        </w:rPr>
        <w:t>in order to</w:t>
      </w:r>
      <w:proofErr w:type="gramEnd"/>
      <w:r w:rsidR="00933DF2">
        <w:rPr>
          <w:rFonts w:cs="Arial"/>
          <w:szCs w:val="24"/>
        </w:rPr>
        <w:t xml:space="preserve"> comply with the EU requirements</w:t>
      </w:r>
      <w:r w:rsidR="004D5B66">
        <w:rPr>
          <w:rFonts w:cs="Arial"/>
          <w:szCs w:val="24"/>
        </w:rPr>
        <w:t>.</w:t>
      </w:r>
      <w:r w:rsidR="007E42CC" w:rsidRPr="00EC4B45">
        <w:rPr>
          <w:rFonts w:cs="Arial"/>
          <w:szCs w:val="24"/>
        </w:rPr>
        <w:t xml:space="preserve"> </w:t>
      </w:r>
      <w:r w:rsidR="00933DF2">
        <w:rPr>
          <w:rFonts w:cs="Arial"/>
          <w:szCs w:val="24"/>
        </w:rPr>
        <w:t>This is illustrated further by the fact that only</w:t>
      </w:r>
      <w:r w:rsidR="00C72027">
        <w:rPr>
          <w:rFonts w:cs="Arial"/>
          <w:szCs w:val="24"/>
        </w:rPr>
        <w:t xml:space="preserve"> four</w:t>
      </w:r>
      <w:r w:rsidR="007E42CC" w:rsidRPr="00EC4B45">
        <w:rPr>
          <w:rFonts w:cs="Arial"/>
          <w:szCs w:val="24"/>
        </w:rPr>
        <w:t xml:space="preserve"> exemption requests </w:t>
      </w:r>
      <w:r w:rsidR="00933DF2">
        <w:rPr>
          <w:rFonts w:cs="Arial"/>
          <w:szCs w:val="24"/>
        </w:rPr>
        <w:t xml:space="preserve">have been made </w:t>
      </w:r>
      <w:r w:rsidR="007E42CC" w:rsidRPr="00EC4B45">
        <w:rPr>
          <w:rFonts w:cs="Arial"/>
          <w:szCs w:val="24"/>
        </w:rPr>
        <w:t xml:space="preserve">to the EU for the use of phthalates above 0.1% in medical devices and monitoring and control instruments including industrial monitoring and control instruments </w:t>
      </w:r>
      <w:r w:rsidR="00933DF2">
        <w:rPr>
          <w:rFonts w:cs="Arial"/>
          <w:szCs w:val="24"/>
        </w:rPr>
        <w:t>The</w:t>
      </w:r>
      <w:r w:rsidR="00D0094F">
        <w:rPr>
          <w:rFonts w:cs="Arial"/>
          <w:szCs w:val="24"/>
        </w:rPr>
        <w:t xml:space="preserve"> government</w:t>
      </w:r>
      <w:r w:rsidR="00933DF2">
        <w:rPr>
          <w:rFonts w:cs="Arial"/>
          <w:szCs w:val="24"/>
        </w:rPr>
        <w:t xml:space="preserve"> will appraise applications for exemptions for specific products granted by the EU with a view to applying those exemptions to </w:t>
      </w:r>
      <w:r w:rsidR="00D0094F">
        <w:rPr>
          <w:rFonts w:cs="Arial"/>
          <w:szCs w:val="24"/>
        </w:rPr>
        <w:t>Great Britain.</w:t>
      </w:r>
    </w:p>
    <w:p w14:paraId="69C7E25B" w14:textId="0DC3C6C9" w:rsidR="00033813" w:rsidRDefault="00A123F7" w:rsidP="00033813">
      <w:pPr>
        <w:rPr>
          <w:sz w:val="22"/>
        </w:rPr>
      </w:pPr>
      <w:r>
        <w:rPr>
          <w:rFonts w:cs="Arial"/>
          <w:szCs w:val="24"/>
        </w:rPr>
        <w:t xml:space="preserve">Along with </w:t>
      </w:r>
      <w:r w:rsidR="00933DF2">
        <w:rPr>
          <w:rFonts w:cs="Arial"/>
          <w:szCs w:val="24"/>
        </w:rPr>
        <w:t xml:space="preserve">industry </w:t>
      </w:r>
      <w:r>
        <w:rPr>
          <w:rFonts w:cs="Arial"/>
          <w:szCs w:val="24"/>
        </w:rPr>
        <w:t xml:space="preserve">being </w:t>
      </w:r>
      <w:r w:rsidR="0034105A">
        <w:rPr>
          <w:rFonts w:cs="Arial"/>
          <w:szCs w:val="24"/>
        </w:rPr>
        <w:t xml:space="preserve">invested to ensure </w:t>
      </w:r>
      <w:r w:rsidR="00933DF2">
        <w:rPr>
          <w:rFonts w:cs="Arial"/>
          <w:szCs w:val="24"/>
        </w:rPr>
        <w:t>complian</w:t>
      </w:r>
      <w:r w:rsidR="0034105A">
        <w:rPr>
          <w:rFonts w:cs="Arial"/>
          <w:szCs w:val="24"/>
        </w:rPr>
        <w:t>ce</w:t>
      </w:r>
      <w:r w:rsidR="00933DF2">
        <w:rPr>
          <w:rFonts w:cs="Arial"/>
          <w:szCs w:val="24"/>
        </w:rPr>
        <w:t xml:space="preserve"> with the requirements, informal engagement indicates strong support </w:t>
      </w:r>
      <w:r w:rsidR="0034105A">
        <w:rPr>
          <w:rFonts w:cs="Arial"/>
          <w:szCs w:val="24"/>
        </w:rPr>
        <w:t xml:space="preserve">for extension of the requirements in </w:t>
      </w:r>
      <w:r>
        <w:rPr>
          <w:rFonts w:cs="Arial"/>
          <w:szCs w:val="24"/>
        </w:rPr>
        <w:t>GB</w:t>
      </w:r>
      <w:r w:rsidR="0034105A">
        <w:rPr>
          <w:rFonts w:cs="Arial"/>
          <w:szCs w:val="24"/>
        </w:rPr>
        <w:t xml:space="preserve"> legislation. </w:t>
      </w:r>
      <w:r w:rsidR="00033813">
        <w:rPr>
          <w:rFonts w:cs="Arial"/>
          <w:szCs w:val="24"/>
        </w:rPr>
        <w:t>Indeed</w:t>
      </w:r>
      <w:r w:rsidR="00893188">
        <w:rPr>
          <w:rFonts w:cs="Arial"/>
          <w:szCs w:val="24"/>
        </w:rPr>
        <w:t>,</w:t>
      </w:r>
      <w:r w:rsidR="00033813">
        <w:rPr>
          <w:rFonts w:cs="Arial"/>
          <w:szCs w:val="24"/>
        </w:rPr>
        <w:t xml:space="preserve"> UK businesses were instrumental </w:t>
      </w:r>
      <w:r w:rsidR="00033813">
        <w:t>in drafting the RoHS harmonised standard, EN IEC 63000:2018</w:t>
      </w:r>
      <w:r w:rsidR="007D6195">
        <w:t>,</w:t>
      </w:r>
      <w:r w:rsidR="00033813">
        <w:t xml:space="preserve"> which defines the tasks expected of a manufacturer to comply with the requirements.</w:t>
      </w:r>
    </w:p>
    <w:p w14:paraId="486BB757" w14:textId="500F14B1" w:rsidR="00D0094F" w:rsidRDefault="0034105A" w:rsidP="007E42CC">
      <w:pPr>
        <w:rPr>
          <w:rFonts w:cs="Arial"/>
          <w:szCs w:val="24"/>
        </w:rPr>
      </w:pPr>
      <w:r>
        <w:rPr>
          <w:rFonts w:cs="Arial"/>
          <w:szCs w:val="24"/>
        </w:rPr>
        <w:t>An</w:t>
      </w:r>
      <w:r w:rsidR="005C2E10">
        <w:rPr>
          <w:rFonts w:cs="Arial"/>
          <w:szCs w:val="24"/>
        </w:rPr>
        <w:t>e</w:t>
      </w:r>
      <w:r>
        <w:rPr>
          <w:rFonts w:cs="Arial"/>
          <w:szCs w:val="24"/>
        </w:rPr>
        <w:t>cdotal evidence from informal engagement with key trade associations also suggests little or no extra costs would be imposed on businesses since they are already compliant with the EU requirements and had not an</w:t>
      </w:r>
      <w:r w:rsidR="00033813">
        <w:rPr>
          <w:rFonts w:cs="Arial"/>
          <w:szCs w:val="24"/>
        </w:rPr>
        <w:t>ticipated any deviation from those requirements in the UK following the departure from the EU.</w:t>
      </w:r>
      <w:r>
        <w:rPr>
          <w:rFonts w:cs="Arial"/>
          <w:szCs w:val="24"/>
        </w:rPr>
        <w:t xml:space="preserve"> </w:t>
      </w:r>
      <w:r w:rsidR="007D6195">
        <w:rPr>
          <w:rFonts w:cs="Arial"/>
          <w:szCs w:val="24"/>
        </w:rPr>
        <w:t>Conversely industry has expressed concern that not extend</w:t>
      </w:r>
      <w:r w:rsidR="00A123F7">
        <w:rPr>
          <w:rFonts w:cs="Arial"/>
          <w:szCs w:val="24"/>
        </w:rPr>
        <w:t>ing</w:t>
      </w:r>
      <w:r w:rsidR="007D6195">
        <w:rPr>
          <w:rFonts w:cs="Arial"/>
          <w:szCs w:val="24"/>
        </w:rPr>
        <w:t xml:space="preserve"> the proposed measures to medical devices and control and instrumentation equipment </w:t>
      </w:r>
      <w:r w:rsidR="00A123F7">
        <w:rPr>
          <w:rFonts w:cs="Arial"/>
          <w:szCs w:val="24"/>
        </w:rPr>
        <w:t xml:space="preserve">in GB legislation </w:t>
      </w:r>
      <w:r w:rsidR="007D6195">
        <w:rPr>
          <w:rFonts w:cs="Arial"/>
          <w:szCs w:val="24"/>
        </w:rPr>
        <w:t>could lead to G</w:t>
      </w:r>
      <w:r w:rsidR="00A123F7">
        <w:rPr>
          <w:rFonts w:cs="Arial"/>
          <w:szCs w:val="24"/>
        </w:rPr>
        <w:t>B</w:t>
      </w:r>
      <w:r w:rsidR="007D6195">
        <w:rPr>
          <w:rFonts w:cs="Arial"/>
          <w:szCs w:val="24"/>
        </w:rPr>
        <w:t xml:space="preserve"> becoming a dumping ground for components </w:t>
      </w:r>
      <w:r w:rsidR="00A31C6F">
        <w:rPr>
          <w:rFonts w:cs="Arial"/>
          <w:szCs w:val="24"/>
        </w:rPr>
        <w:t xml:space="preserve">containing phthalates, </w:t>
      </w:r>
      <w:r w:rsidR="007D6195">
        <w:rPr>
          <w:rFonts w:cs="Arial"/>
          <w:szCs w:val="24"/>
        </w:rPr>
        <w:t>potentially polluting the supply chain.</w:t>
      </w:r>
      <w:r>
        <w:rPr>
          <w:rFonts w:cs="Arial"/>
          <w:szCs w:val="24"/>
        </w:rPr>
        <w:t xml:space="preserve"> </w:t>
      </w:r>
    </w:p>
    <w:p w14:paraId="74E55AE8" w14:textId="6DE81F16" w:rsidR="007E42CC" w:rsidRPr="00EC4B45" w:rsidRDefault="00EC06AC" w:rsidP="007E42CC">
      <w:pPr>
        <w:rPr>
          <w:rFonts w:cs="Arial"/>
          <w:b/>
          <w:bCs/>
          <w:szCs w:val="24"/>
        </w:rPr>
      </w:pPr>
      <w:r>
        <w:rPr>
          <w:rFonts w:cs="Arial"/>
          <w:szCs w:val="24"/>
        </w:rPr>
        <w:t>We are particularly interested to know whether you agree with this assessment and seeing any evidence that supports your view.</w:t>
      </w:r>
    </w:p>
    <w:p w14:paraId="2A7ACA0E" w14:textId="77777777" w:rsidR="00C72027" w:rsidRDefault="00C72027" w:rsidP="007E42CC">
      <w:pPr>
        <w:rPr>
          <w:rFonts w:cs="Arial"/>
          <w:b/>
          <w:bCs/>
          <w:color w:val="008330" w:themeColor="text2" w:themeShade="BF"/>
          <w:sz w:val="32"/>
          <w:szCs w:val="32"/>
        </w:rPr>
      </w:pPr>
    </w:p>
    <w:p w14:paraId="1C9D6760" w14:textId="5A4DA22C" w:rsidR="00575854" w:rsidRPr="006E78CB" w:rsidRDefault="00575854" w:rsidP="002F0452">
      <w:pPr>
        <w:pStyle w:val="Heading1"/>
      </w:pPr>
      <w:bookmarkStart w:id="13" w:name="_Toc81386062"/>
      <w:r w:rsidRPr="006E78CB">
        <w:t xml:space="preserve">The </w:t>
      </w:r>
      <w:r w:rsidR="00EA1B93" w:rsidRPr="006E78CB">
        <w:t>Proposal</w:t>
      </w:r>
      <w:bookmarkEnd w:id="13"/>
      <w:r w:rsidR="007E42CC" w:rsidRPr="006E78CB">
        <w:t xml:space="preserve"> </w:t>
      </w:r>
    </w:p>
    <w:p w14:paraId="3225FBE3" w14:textId="124ECFE5" w:rsidR="00575854" w:rsidRDefault="00575854" w:rsidP="00575854">
      <w:pPr>
        <w:rPr>
          <w:rFonts w:cs="Arial"/>
          <w:szCs w:val="24"/>
        </w:rPr>
      </w:pPr>
      <w:bookmarkStart w:id="14" w:name="_Hlk81307802"/>
      <w:r>
        <w:rPr>
          <w:rFonts w:cs="Arial"/>
          <w:szCs w:val="24"/>
        </w:rPr>
        <w:t>The proposal on which we seek views and evidence in this consultation is to restrict</w:t>
      </w:r>
      <w:r w:rsidR="00D0094F">
        <w:rPr>
          <w:rFonts w:cs="Arial"/>
          <w:szCs w:val="24"/>
        </w:rPr>
        <w:t xml:space="preserve"> the use of the following </w:t>
      </w:r>
      <w:r>
        <w:rPr>
          <w:rFonts w:cs="Arial"/>
          <w:szCs w:val="24"/>
        </w:rPr>
        <w:t>substances</w:t>
      </w:r>
      <w:r w:rsidR="00D0094F">
        <w:rPr>
          <w:rFonts w:cs="Arial"/>
          <w:szCs w:val="24"/>
        </w:rPr>
        <w:t xml:space="preserve"> in the manufacture of medical devices and control and instrumentation equipment to be placed on the GB market. The maximum concentration limits proposed are indicated in brackets.</w:t>
      </w:r>
      <w:r>
        <w:rPr>
          <w:rFonts w:cs="Arial"/>
          <w:szCs w:val="24"/>
        </w:rPr>
        <w:t>:</w:t>
      </w:r>
    </w:p>
    <w:p w14:paraId="763D0D87" w14:textId="77777777" w:rsidR="00575854" w:rsidRDefault="00575854" w:rsidP="00575854">
      <w:pPr>
        <w:rPr>
          <w:rFonts w:cs="Arial"/>
          <w:szCs w:val="24"/>
        </w:rPr>
      </w:pPr>
      <w:bookmarkStart w:id="15" w:name="_Hlk81308046"/>
      <w:bookmarkEnd w:id="14"/>
      <w:r w:rsidRPr="00EC4B45">
        <w:rPr>
          <w:rFonts w:cs="Arial"/>
          <w:szCs w:val="24"/>
        </w:rPr>
        <w:t xml:space="preserve"> Bis(2-ethylhexyl) phthalate (DEHP)</w:t>
      </w:r>
      <w:r>
        <w:rPr>
          <w:rFonts w:cs="Arial"/>
          <w:szCs w:val="24"/>
        </w:rPr>
        <w:t xml:space="preserve"> (0.1%)</w:t>
      </w:r>
    </w:p>
    <w:p w14:paraId="1F3CE902" w14:textId="77777777" w:rsidR="00575854" w:rsidRDefault="00575854" w:rsidP="00575854">
      <w:pPr>
        <w:rPr>
          <w:rFonts w:cs="Arial"/>
          <w:szCs w:val="24"/>
        </w:rPr>
      </w:pPr>
      <w:r w:rsidRPr="00EC4B45">
        <w:rPr>
          <w:rFonts w:cs="Arial"/>
          <w:szCs w:val="24"/>
        </w:rPr>
        <w:lastRenderedPageBreak/>
        <w:t>Butyl benzyl phthalate (BBP)</w:t>
      </w:r>
      <w:r>
        <w:rPr>
          <w:rFonts w:cs="Arial"/>
          <w:szCs w:val="24"/>
        </w:rPr>
        <w:t xml:space="preserve"> (0.1%)</w:t>
      </w:r>
      <w:r w:rsidRPr="00EC4B45">
        <w:rPr>
          <w:rFonts w:cs="Arial"/>
          <w:szCs w:val="24"/>
        </w:rPr>
        <w:t xml:space="preserve">, </w:t>
      </w:r>
    </w:p>
    <w:p w14:paraId="7EC3BA07" w14:textId="77777777" w:rsidR="00575854" w:rsidRDefault="00575854" w:rsidP="00575854">
      <w:pPr>
        <w:rPr>
          <w:rFonts w:cs="Arial"/>
          <w:szCs w:val="24"/>
        </w:rPr>
      </w:pPr>
      <w:r w:rsidRPr="00EC4B45">
        <w:rPr>
          <w:rFonts w:cs="Arial"/>
          <w:szCs w:val="24"/>
        </w:rPr>
        <w:t xml:space="preserve">Dibutyl phthalate (DBP) </w:t>
      </w:r>
      <w:r>
        <w:rPr>
          <w:rFonts w:cs="Arial"/>
          <w:szCs w:val="24"/>
        </w:rPr>
        <w:t xml:space="preserve">(0.1%) </w:t>
      </w:r>
      <w:r w:rsidRPr="00EC4B45">
        <w:rPr>
          <w:rFonts w:cs="Arial"/>
          <w:szCs w:val="24"/>
        </w:rPr>
        <w:t xml:space="preserve">and </w:t>
      </w:r>
    </w:p>
    <w:p w14:paraId="35C4A99C" w14:textId="77777777" w:rsidR="00575854" w:rsidRDefault="00575854" w:rsidP="00575854">
      <w:pPr>
        <w:rPr>
          <w:rFonts w:cs="Arial"/>
          <w:szCs w:val="24"/>
        </w:rPr>
      </w:pPr>
      <w:proofErr w:type="spellStart"/>
      <w:r w:rsidRPr="00EC4B45">
        <w:rPr>
          <w:rFonts w:cs="Arial"/>
          <w:szCs w:val="24"/>
        </w:rPr>
        <w:t>Diisobutyl</w:t>
      </w:r>
      <w:proofErr w:type="spellEnd"/>
      <w:r w:rsidRPr="00EC4B45">
        <w:rPr>
          <w:rFonts w:cs="Arial"/>
          <w:szCs w:val="24"/>
        </w:rPr>
        <w:t xml:space="preserve"> phthalate (DIBP)</w:t>
      </w:r>
      <w:r>
        <w:rPr>
          <w:rFonts w:cs="Arial"/>
          <w:szCs w:val="24"/>
        </w:rPr>
        <w:t xml:space="preserve"> (0.1%)</w:t>
      </w:r>
    </w:p>
    <w:p w14:paraId="57CB2DFC" w14:textId="11774B56" w:rsidR="00575854" w:rsidRDefault="00575854" w:rsidP="00575854">
      <w:pPr>
        <w:rPr>
          <w:rFonts w:cs="Arial"/>
          <w:szCs w:val="24"/>
        </w:rPr>
      </w:pPr>
      <w:r>
        <w:rPr>
          <w:rFonts w:cs="Arial"/>
          <w:szCs w:val="24"/>
        </w:rPr>
        <w:t xml:space="preserve">It is proposed that the </w:t>
      </w:r>
      <w:r w:rsidR="00A123F7">
        <w:rPr>
          <w:rFonts w:cs="Arial"/>
          <w:szCs w:val="24"/>
        </w:rPr>
        <w:t xml:space="preserve">restriction </w:t>
      </w:r>
      <w:r>
        <w:rPr>
          <w:rFonts w:cs="Arial"/>
          <w:szCs w:val="24"/>
        </w:rPr>
        <w:t>would apply from 1 July 2022.</w:t>
      </w:r>
    </w:p>
    <w:bookmarkEnd w:id="15"/>
    <w:p w14:paraId="5E7F607E" w14:textId="77777777" w:rsidR="00C72027" w:rsidRDefault="00C72027" w:rsidP="007E42CC">
      <w:pPr>
        <w:rPr>
          <w:rFonts w:cs="Arial"/>
          <w:b/>
          <w:bCs/>
          <w:color w:val="008330" w:themeColor="text2" w:themeShade="BF"/>
          <w:sz w:val="32"/>
          <w:szCs w:val="32"/>
        </w:rPr>
      </w:pPr>
    </w:p>
    <w:p w14:paraId="5CFE7F48" w14:textId="43A65107" w:rsidR="006E78CB" w:rsidRPr="006E78CB" w:rsidRDefault="00EC06AC" w:rsidP="002F0452">
      <w:pPr>
        <w:pStyle w:val="Heading1"/>
      </w:pPr>
      <w:bookmarkStart w:id="16" w:name="_Toc81386063"/>
      <w:r w:rsidRPr="006E78CB">
        <w:t>Questions:</w:t>
      </w:r>
      <w:bookmarkEnd w:id="16"/>
      <w:r w:rsidR="006E78CB" w:rsidRPr="006E78CB">
        <w:t xml:space="preserve"> </w:t>
      </w:r>
    </w:p>
    <w:p w14:paraId="293E5F13" w14:textId="6F7669E5" w:rsidR="001E1BE8" w:rsidRPr="003214DA" w:rsidRDefault="003214DA" w:rsidP="003214DA">
      <w:pPr>
        <w:ind w:left="360"/>
        <w:rPr>
          <w:rFonts w:cs="Arial"/>
          <w:b/>
          <w:bCs/>
          <w:szCs w:val="24"/>
        </w:rPr>
      </w:pPr>
      <w:r>
        <w:rPr>
          <w:rFonts w:cs="Arial"/>
          <w:b/>
          <w:bCs/>
          <w:szCs w:val="24"/>
        </w:rPr>
        <w:t xml:space="preserve">5. </w:t>
      </w:r>
      <w:r w:rsidR="007E42CC" w:rsidRPr="003214DA">
        <w:rPr>
          <w:rFonts w:cs="Arial"/>
          <w:b/>
          <w:bCs/>
          <w:szCs w:val="24"/>
        </w:rPr>
        <w:t>Do you agree</w:t>
      </w:r>
      <w:r w:rsidR="00BE1081" w:rsidRPr="003214DA">
        <w:rPr>
          <w:rFonts w:cs="Arial"/>
          <w:b/>
          <w:bCs/>
          <w:szCs w:val="24"/>
        </w:rPr>
        <w:t xml:space="preserve"> with the proposal  to </w:t>
      </w:r>
      <w:r w:rsidR="00EC06AC" w:rsidRPr="003214DA">
        <w:rPr>
          <w:rFonts w:cs="Arial"/>
          <w:b/>
          <w:bCs/>
          <w:szCs w:val="24"/>
        </w:rPr>
        <w:t xml:space="preserve">add </w:t>
      </w:r>
      <w:r w:rsidR="007E42CC" w:rsidRPr="003214DA">
        <w:rPr>
          <w:rFonts w:cs="Arial"/>
          <w:b/>
          <w:bCs/>
          <w:szCs w:val="24"/>
        </w:rPr>
        <w:t>four phthalates</w:t>
      </w:r>
      <w:r w:rsidR="001E1BE8" w:rsidRPr="003214DA">
        <w:rPr>
          <w:rFonts w:cs="Arial"/>
          <w:b/>
          <w:bCs/>
          <w:szCs w:val="24"/>
        </w:rPr>
        <w:t>,</w:t>
      </w:r>
      <w:r w:rsidR="007E42CC" w:rsidRPr="003214DA">
        <w:rPr>
          <w:rFonts w:cs="Arial"/>
          <w:b/>
          <w:bCs/>
          <w:szCs w:val="24"/>
        </w:rPr>
        <w:t xml:space="preserve"> Bis(2-ethylhexyl) phthalate (DEHP), Butyl benzyl phthalate (BBP), Dibutyl phthalate (DBP) and </w:t>
      </w:r>
      <w:proofErr w:type="spellStart"/>
      <w:r w:rsidR="007E42CC" w:rsidRPr="003214DA">
        <w:rPr>
          <w:rFonts w:cs="Arial"/>
          <w:b/>
          <w:bCs/>
          <w:szCs w:val="24"/>
        </w:rPr>
        <w:t>Diisobutyl</w:t>
      </w:r>
      <w:proofErr w:type="spellEnd"/>
      <w:r w:rsidR="007E42CC" w:rsidRPr="003214DA">
        <w:rPr>
          <w:rFonts w:cs="Arial"/>
          <w:b/>
          <w:bCs/>
          <w:szCs w:val="24"/>
        </w:rPr>
        <w:t xml:space="preserve"> phthalate (DIBP) </w:t>
      </w:r>
      <w:r w:rsidR="00EC06AC" w:rsidRPr="003214DA">
        <w:rPr>
          <w:rFonts w:cs="Arial"/>
          <w:b/>
          <w:bCs/>
          <w:szCs w:val="24"/>
        </w:rPr>
        <w:t xml:space="preserve">to the </w:t>
      </w:r>
      <w:r w:rsidR="001E1BE8" w:rsidRPr="003214DA">
        <w:rPr>
          <w:rFonts w:cs="Arial"/>
          <w:b/>
          <w:bCs/>
          <w:szCs w:val="24"/>
        </w:rPr>
        <w:t xml:space="preserve">restricted substances applied to </w:t>
      </w:r>
      <w:r w:rsidR="007E42CC" w:rsidRPr="003214DA">
        <w:rPr>
          <w:rFonts w:cs="Arial"/>
          <w:b/>
          <w:bCs/>
          <w:szCs w:val="24"/>
        </w:rPr>
        <w:t>in medical</w:t>
      </w:r>
      <w:r w:rsidR="007E4526">
        <w:rPr>
          <w:rFonts w:cs="Arial"/>
          <w:b/>
          <w:bCs/>
          <w:szCs w:val="24"/>
        </w:rPr>
        <w:t xml:space="preserve"> </w:t>
      </w:r>
      <w:r w:rsidR="007E42CC" w:rsidRPr="003214DA">
        <w:rPr>
          <w:rFonts w:cs="Arial"/>
          <w:b/>
          <w:bCs/>
          <w:szCs w:val="24"/>
        </w:rPr>
        <w:t xml:space="preserve">and monitoring </w:t>
      </w:r>
      <w:r w:rsidR="007E4526">
        <w:rPr>
          <w:rFonts w:cs="Arial"/>
          <w:b/>
          <w:bCs/>
          <w:szCs w:val="24"/>
        </w:rPr>
        <w:t>&amp;</w:t>
      </w:r>
      <w:r w:rsidR="007E42CC" w:rsidRPr="003214DA">
        <w:rPr>
          <w:rFonts w:cs="Arial"/>
          <w:b/>
          <w:bCs/>
          <w:szCs w:val="24"/>
        </w:rPr>
        <w:t xml:space="preserve"> control instruments</w:t>
      </w:r>
      <w:r w:rsidR="00A87364" w:rsidRPr="003214DA">
        <w:rPr>
          <w:rFonts w:cs="Arial"/>
          <w:b/>
          <w:bCs/>
          <w:szCs w:val="24"/>
        </w:rPr>
        <w:t xml:space="preserve"> </w:t>
      </w:r>
      <w:r w:rsidR="001E1BE8" w:rsidRPr="003214DA">
        <w:rPr>
          <w:rFonts w:cs="Arial"/>
          <w:b/>
          <w:bCs/>
          <w:szCs w:val="24"/>
        </w:rPr>
        <w:t>at a maximum concentration level of  0.1%</w:t>
      </w:r>
    </w:p>
    <w:p w14:paraId="0F9BD748" w14:textId="465A5F20" w:rsidR="001E1BE8" w:rsidRDefault="001E1BE8" w:rsidP="006E78CB">
      <w:pPr>
        <w:ind w:firstLine="720"/>
        <w:rPr>
          <w:rFonts w:cs="Arial"/>
          <w:b/>
          <w:bCs/>
          <w:szCs w:val="24"/>
        </w:rPr>
      </w:pPr>
      <w:r>
        <w:rPr>
          <w:rFonts w:cs="Arial"/>
          <w:b/>
          <w:bCs/>
          <w:szCs w:val="24"/>
        </w:rPr>
        <w:t>Yes</w:t>
      </w:r>
    </w:p>
    <w:p w14:paraId="7169B3BF" w14:textId="23238C74" w:rsidR="001E1BE8" w:rsidRDefault="001E1BE8" w:rsidP="006E78CB">
      <w:pPr>
        <w:ind w:firstLine="720"/>
        <w:rPr>
          <w:rFonts w:cs="Arial"/>
          <w:b/>
          <w:bCs/>
          <w:szCs w:val="24"/>
        </w:rPr>
      </w:pPr>
      <w:r>
        <w:rPr>
          <w:rFonts w:cs="Arial"/>
          <w:b/>
          <w:bCs/>
          <w:szCs w:val="24"/>
        </w:rPr>
        <w:t xml:space="preserve">No </w:t>
      </w:r>
    </w:p>
    <w:p w14:paraId="25CFF2D1" w14:textId="315647EB" w:rsidR="001E1BE8" w:rsidRDefault="001E1BE8" w:rsidP="006E78CB">
      <w:pPr>
        <w:ind w:firstLine="720"/>
        <w:rPr>
          <w:rFonts w:cs="Arial"/>
          <w:b/>
          <w:bCs/>
          <w:szCs w:val="24"/>
        </w:rPr>
      </w:pPr>
      <w:r>
        <w:rPr>
          <w:rFonts w:cs="Arial"/>
          <w:b/>
          <w:bCs/>
          <w:szCs w:val="24"/>
        </w:rPr>
        <w:t>Don’t know</w:t>
      </w:r>
    </w:p>
    <w:p w14:paraId="5611E101" w14:textId="24B00F52" w:rsidR="001E1BE8" w:rsidRDefault="001E1BE8" w:rsidP="006E78CB">
      <w:pPr>
        <w:ind w:firstLine="720"/>
        <w:rPr>
          <w:rFonts w:cs="Arial"/>
          <w:b/>
          <w:bCs/>
          <w:szCs w:val="24"/>
        </w:rPr>
      </w:pPr>
      <w:r>
        <w:rPr>
          <w:rFonts w:cs="Arial"/>
          <w:b/>
          <w:bCs/>
          <w:szCs w:val="24"/>
        </w:rPr>
        <w:t>Please provide relevant evidence to support your answer</w:t>
      </w:r>
    </w:p>
    <w:p w14:paraId="27354E49" w14:textId="77777777" w:rsidR="006E78CB" w:rsidRDefault="006E78CB" w:rsidP="006E78CB">
      <w:pPr>
        <w:ind w:firstLine="720"/>
        <w:rPr>
          <w:rFonts w:cs="Arial"/>
          <w:b/>
          <w:bCs/>
          <w:szCs w:val="24"/>
        </w:rPr>
      </w:pPr>
    </w:p>
    <w:p w14:paraId="3971FDAB" w14:textId="5E118CB8" w:rsidR="001E1BE8" w:rsidRPr="00215CF4" w:rsidRDefault="003214DA" w:rsidP="003214DA">
      <w:pPr>
        <w:ind w:left="360"/>
        <w:rPr>
          <w:rFonts w:cs="Arial"/>
          <w:b/>
          <w:bCs/>
          <w:szCs w:val="24"/>
        </w:rPr>
      </w:pPr>
      <w:r>
        <w:rPr>
          <w:rFonts w:cs="Arial"/>
          <w:b/>
          <w:bCs/>
          <w:szCs w:val="24"/>
        </w:rPr>
        <w:t xml:space="preserve">6. </w:t>
      </w:r>
      <w:r w:rsidR="001E1BE8" w:rsidRPr="00215CF4">
        <w:rPr>
          <w:rFonts w:cs="Arial"/>
          <w:b/>
          <w:bCs/>
          <w:szCs w:val="24"/>
        </w:rPr>
        <w:t>Do you agree with the</w:t>
      </w:r>
      <w:r w:rsidR="00A87364" w:rsidRPr="00215CF4">
        <w:rPr>
          <w:rFonts w:cs="Arial"/>
          <w:b/>
          <w:bCs/>
          <w:szCs w:val="24"/>
        </w:rPr>
        <w:t xml:space="preserve"> findings</w:t>
      </w:r>
      <w:r w:rsidR="001E1BE8" w:rsidRPr="00215CF4">
        <w:rPr>
          <w:rFonts w:cs="Arial"/>
          <w:b/>
          <w:bCs/>
          <w:szCs w:val="24"/>
        </w:rPr>
        <w:t xml:space="preserve"> of the independent technical evaluation in support of this proposal</w:t>
      </w:r>
    </w:p>
    <w:p w14:paraId="54378D07" w14:textId="0745E3CE" w:rsidR="001E1BE8" w:rsidRDefault="001E1BE8" w:rsidP="006E78CB">
      <w:pPr>
        <w:ind w:firstLine="720"/>
        <w:rPr>
          <w:rFonts w:cs="Arial"/>
          <w:b/>
          <w:bCs/>
          <w:szCs w:val="24"/>
        </w:rPr>
      </w:pPr>
      <w:r>
        <w:rPr>
          <w:rFonts w:cs="Arial"/>
          <w:b/>
          <w:bCs/>
          <w:szCs w:val="24"/>
        </w:rPr>
        <w:t xml:space="preserve">Yes </w:t>
      </w:r>
    </w:p>
    <w:p w14:paraId="1F410A96" w14:textId="4BFC22E6" w:rsidR="001E1BE8" w:rsidRDefault="001E1BE8" w:rsidP="006E78CB">
      <w:pPr>
        <w:ind w:firstLine="720"/>
        <w:rPr>
          <w:rFonts w:cs="Arial"/>
          <w:b/>
          <w:bCs/>
          <w:szCs w:val="24"/>
        </w:rPr>
      </w:pPr>
      <w:r>
        <w:rPr>
          <w:rFonts w:cs="Arial"/>
          <w:b/>
          <w:bCs/>
          <w:szCs w:val="24"/>
        </w:rPr>
        <w:t>No</w:t>
      </w:r>
    </w:p>
    <w:p w14:paraId="22D3BA15" w14:textId="5B39B299" w:rsidR="001E1BE8" w:rsidRDefault="001E1BE8" w:rsidP="006E78CB">
      <w:pPr>
        <w:ind w:firstLine="720"/>
        <w:rPr>
          <w:rFonts w:cs="Arial"/>
          <w:b/>
          <w:bCs/>
          <w:szCs w:val="24"/>
        </w:rPr>
      </w:pPr>
      <w:r>
        <w:rPr>
          <w:rFonts w:cs="Arial"/>
          <w:b/>
          <w:bCs/>
          <w:szCs w:val="24"/>
        </w:rPr>
        <w:t>Don’t know</w:t>
      </w:r>
    </w:p>
    <w:p w14:paraId="4F856BCD" w14:textId="11489522" w:rsidR="001E1BE8" w:rsidRDefault="001E1BE8" w:rsidP="006E78CB">
      <w:pPr>
        <w:ind w:left="720"/>
        <w:rPr>
          <w:rFonts w:cs="Arial"/>
          <w:b/>
          <w:bCs/>
          <w:szCs w:val="24"/>
        </w:rPr>
      </w:pPr>
      <w:r>
        <w:rPr>
          <w:rFonts w:cs="Arial"/>
          <w:b/>
          <w:bCs/>
          <w:szCs w:val="24"/>
        </w:rPr>
        <w:t>Please provide relevant information or evidence in support of your answer</w:t>
      </w:r>
    </w:p>
    <w:p w14:paraId="0622D264" w14:textId="77777777" w:rsidR="002436FE" w:rsidRDefault="002436FE" w:rsidP="003214DA">
      <w:pPr>
        <w:ind w:left="360"/>
        <w:rPr>
          <w:rFonts w:cs="Arial"/>
          <w:b/>
          <w:bCs/>
          <w:szCs w:val="24"/>
        </w:rPr>
      </w:pPr>
    </w:p>
    <w:p w14:paraId="1B41369C" w14:textId="2181A850" w:rsidR="001E1BE8" w:rsidRPr="003214DA" w:rsidRDefault="003214DA" w:rsidP="003214DA">
      <w:pPr>
        <w:ind w:left="360"/>
        <w:rPr>
          <w:rFonts w:cs="Arial"/>
          <w:b/>
          <w:bCs/>
          <w:szCs w:val="24"/>
        </w:rPr>
      </w:pPr>
      <w:r>
        <w:rPr>
          <w:rFonts w:cs="Arial"/>
          <w:b/>
          <w:bCs/>
          <w:szCs w:val="24"/>
        </w:rPr>
        <w:t xml:space="preserve">7.  </w:t>
      </w:r>
      <w:r w:rsidR="001E1BE8" w:rsidRPr="003214DA">
        <w:rPr>
          <w:rFonts w:cs="Arial"/>
          <w:b/>
          <w:bCs/>
          <w:szCs w:val="24"/>
        </w:rPr>
        <w:t>Do you agree with our assessment of business impacts</w:t>
      </w:r>
    </w:p>
    <w:p w14:paraId="44146AE5" w14:textId="0509AA26" w:rsidR="001E1BE8" w:rsidRDefault="001E1BE8" w:rsidP="006E78CB">
      <w:pPr>
        <w:ind w:firstLine="720"/>
        <w:rPr>
          <w:rFonts w:cs="Arial"/>
          <w:b/>
          <w:bCs/>
          <w:szCs w:val="24"/>
        </w:rPr>
      </w:pPr>
      <w:r>
        <w:rPr>
          <w:rFonts w:cs="Arial"/>
          <w:b/>
          <w:bCs/>
          <w:szCs w:val="24"/>
        </w:rPr>
        <w:t>Yes</w:t>
      </w:r>
    </w:p>
    <w:p w14:paraId="5ED1269B" w14:textId="413BC629" w:rsidR="001E1BE8" w:rsidRDefault="001E1BE8" w:rsidP="006E78CB">
      <w:pPr>
        <w:ind w:firstLine="720"/>
        <w:rPr>
          <w:rFonts w:cs="Arial"/>
          <w:b/>
          <w:bCs/>
          <w:szCs w:val="24"/>
        </w:rPr>
      </w:pPr>
      <w:r>
        <w:rPr>
          <w:rFonts w:cs="Arial"/>
          <w:b/>
          <w:bCs/>
          <w:szCs w:val="24"/>
        </w:rPr>
        <w:t xml:space="preserve">No </w:t>
      </w:r>
    </w:p>
    <w:p w14:paraId="2D2DD881" w14:textId="10FE3E4D" w:rsidR="001E1BE8" w:rsidRDefault="001E1BE8" w:rsidP="006E78CB">
      <w:pPr>
        <w:ind w:firstLine="720"/>
        <w:rPr>
          <w:rFonts w:cs="Arial"/>
          <w:b/>
          <w:bCs/>
          <w:szCs w:val="24"/>
        </w:rPr>
      </w:pPr>
      <w:r>
        <w:rPr>
          <w:rFonts w:cs="Arial"/>
          <w:b/>
          <w:bCs/>
          <w:szCs w:val="24"/>
        </w:rPr>
        <w:t>Don’t know</w:t>
      </w:r>
    </w:p>
    <w:p w14:paraId="04A8C972" w14:textId="62505F02" w:rsidR="001E1BE8" w:rsidRDefault="001E1BE8" w:rsidP="006E78CB">
      <w:pPr>
        <w:ind w:left="720"/>
        <w:rPr>
          <w:rFonts w:cs="Arial"/>
          <w:b/>
          <w:bCs/>
          <w:szCs w:val="24"/>
        </w:rPr>
      </w:pPr>
      <w:r>
        <w:rPr>
          <w:rFonts w:cs="Arial"/>
          <w:b/>
          <w:bCs/>
          <w:szCs w:val="24"/>
        </w:rPr>
        <w:lastRenderedPageBreak/>
        <w:t>Please provide evidence available to quantify new costs on business arising from this proposal</w:t>
      </w:r>
      <w:r w:rsidR="00BC0FA4">
        <w:rPr>
          <w:rFonts w:cs="Arial"/>
          <w:b/>
          <w:bCs/>
          <w:szCs w:val="24"/>
        </w:rPr>
        <w:t xml:space="preserve"> that could be used </w:t>
      </w:r>
      <w:r w:rsidR="001A55C3">
        <w:rPr>
          <w:rFonts w:cs="Arial"/>
          <w:b/>
          <w:bCs/>
          <w:szCs w:val="24"/>
        </w:rPr>
        <w:t>t</w:t>
      </w:r>
      <w:r w:rsidR="00BC0FA4">
        <w:rPr>
          <w:rFonts w:cs="Arial"/>
          <w:b/>
          <w:bCs/>
          <w:szCs w:val="24"/>
        </w:rPr>
        <w:t>o strengthen our assessment</w:t>
      </w:r>
      <w:r>
        <w:rPr>
          <w:rFonts w:cs="Arial"/>
          <w:b/>
          <w:bCs/>
          <w:szCs w:val="24"/>
        </w:rPr>
        <w:t>.</w:t>
      </w:r>
    </w:p>
    <w:p w14:paraId="2A8FC6F0" w14:textId="77777777" w:rsidR="001E1BE8" w:rsidRDefault="001E1BE8" w:rsidP="007E42CC">
      <w:pPr>
        <w:rPr>
          <w:rFonts w:cs="Arial"/>
          <w:b/>
          <w:bCs/>
          <w:szCs w:val="24"/>
        </w:rPr>
      </w:pPr>
    </w:p>
    <w:bookmarkEnd w:id="1"/>
    <w:p w14:paraId="001E9BBA" w14:textId="7DEAA523" w:rsidR="00566F6F" w:rsidRPr="00F6274F" w:rsidRDefault="00566F6F" w:rsidP="00654C24"/>
    <w:sectPr w:rsidR="00566F6F" w:rsidRPr="00F6274F" w:rsidSect="00A1296C">
      <w:footerReference w:type="default" r:id="rId26"/>
      <w:type w:val="continuous"/>
      <w:pgSz w:w="11899" w:h="16838" w:code="9"/>
      <w:pgMar w:top="1134" w:right="1134" w:bottom="1134" w:left="1134" w:header="340"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0DF25" w14:textId="77777777" w:rsidR="006240DF" w:rsidRDefault="006240DF" w:rsidP="002F321C">
      <w:r>
        <w:separator/>
      </w:r>
    </w:p>
    <w:p w14:paraId="52DD7099" w14:textId="77777777" w:rsidR="006240DF" w:rsidRDefault="006240DF"/>
  </w:endnote>
  <w:endnote w:type="continuationSeparator" w:id="0">
    <w:p w14:paraId="61E87F44" w14:textId="77777777" w:rsidR="006240DF" w:rsidRDefault="006240DF" w:rsidP="002F321C">
      <w:r>
        <w:continuationSeparator/>
      </w:r>
    </w:p>
    <w:p w14:paraId="2F674B84" w14:textId="77777777" w:rsidR="006240DF" w:rsidRDefault="006240DF"/>
  </w:endnote>
  <w:endnote w:type="continuationNotice" w:id="1">
    <w:p w14:paraId="3A316247" w14:textId="77777777" w:rsidR="006240DF" w:rsidRDefault="006240D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ABAE" w14:textId="77777777" w:rsidR="002C71D8" w:rsidRDefault="002C71D8" w:rsidP="006A0B36">
    <w:pPr>
      <w:pStyle w:val="Footer"/>
      <w:jc w:val="right"/>
    </w:pPr>
    <w:r w:rsidRPr="00F6274F">
      <w:fldChar w:fldCharType="begin"/>
    </w:r>
    <w:r w:rsidRPr="00F6274F">
      <w:instrText xml:space="preserve"> PAGE </w:instrText>
    </w:r>
    <w:r w:rsidRPr="00F6274F">
      <w:fldChar w:fldCharType="separate"/>
    </w:r>
    <w:r>
      <w:rPr>
        <w:noProof/>
      </w:rPr>
      <w:t>2</w:t>
    </w:r>
    <w:r w:rsidRPr="00F6274F">
      <w:fldChar w:fldCharType="end"/>
    </w:r>
    <w:r w:rsidRPr="00F6274F">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A79A1" w14:textId="77777777" w:rsidR="006240DF" w:rsidRDefault="006240DF" w:rsidP="002F321C">
      <w:r>
        <w:separator/>
      </w:r>
    </w:p>
    <w:p w14:paraId="3448F579" w14:textId="77777777" w:rsidR="006240DF" w:rsidRDefault="006240DF"/>
  </w:footnote>
  <w:footnote w:type="continuationSeparator" w:id="0">
    <w:p w14:paraId="420644BB" w14:textId="77777777" w:rsidR="006240DF" w:rsidRDefault="006240DF" w:rsidP="002F321C">
      <w:r>
        <w:continuationSeparator/>
      </w:r>
    </w:p>
    <w:p w14:paraId="0587A2C3" w14:textId="77777777" w:rsidR="006240DF" w:rsidRDefault="006240DF"/>
  </w:footnote>
  <w:footnote w:type="continuationNotice" w:id="1">
    <w:p w14:paraId="0B1D7B79" w14:textId="77777777" w:rsidR="006240DF" w:rsidRDefault="006240DF">
      <w:pPr>
        <w:spacing w:before="0" w:after="0" w:line="240" w:lineRule="auto"/>
      </w:pPr>
    </w:p>
  </w:footnote>
  <w:footnote w:id="2">
    <w:p w14:paraId="319A9C26" w14:textId="4D9D2942" w:rsidR="002C71D8" w:rsidRPr="00B92D96" w:rsidRDefault="002C71D8">
      <w:pPr>
        <w:pStyle w:val="FootnoteText"/>
        <w:rPr>
          <w:lang w:val="en-GB"/>
        </w:rPr>
      </w:pPr>
      <w:r>
        <w:rPr>
          <w:rStyle w:val="FootnoteReference"/>
        </w:rPr>
        <w:footnoteRef/>
      </w:r>
      <w:r>
        <w:t xml:space="preserve"> </w:t>
      </w:r>
      <w:r>
        <w:rPr>
          <w:lang w:val="en-GB"/>
        </w:rPr>
        <w:t xml:space="preserve">Referenced on page 16 of Review of the inclusion of phthalates in the RoHS Regulations in medical devices in monitoring and control instruments.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70EA"/>
    <w:multiLevelType w:val="hybridMultilevel"/>
    <w:tmpl w:val="32AEA69C"/>
    <w:lvl w:ilvl="0" w:tplc="BBFA0ED4">
      <w:start w:val="2"/>
      <w:numFmt w:val="bullet"/>
      <w:lvlText w:val="-"/>
      <w:lvlJc w:val="left"/>
      <w:pPr>
        <w:ind w:left="720" w:hanging="360"/>
      </w:pPr>
      <w:rPr>
        <w:rFonts w:ascii="Calibri" w:eastAsiaTheme="minorHAnsi" w:hAnsi="Calibri"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C2091"/>
    <w:multiLevelType w:val="hybridMultilevel"/>
    <w:tmpl w:val="1FF6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267B0051"/>
    <w:multiLevelType w:val="hybridMultilevel"/>
    <w:tmpl w:val="0350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A2F33"/>
    <w:multiLevelType w:val="hybridMultilevel"/>
    <w:tmpl w:val="10C6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B7187"/>
    <w:multiLevelType w:val="hybridMultilevel"/>
    <w:tmpl w:val="46B2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23355"/>
    <w:multiLevelType w:val="hybridMultilevel"/>
    <w:tmpl w:val="B3D43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7A1796"/>
    <w:multiLevelType w:val="hybridMultilevel"/>
    <w:tmpl w:val="0F40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33029"/>
    <w:multiLevelType w:val="hybridMultilevel"/>
    <w:tmpl w:val="C16A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E42E1"/>
    <w:multiLevelType w:val="multilevel"/>
    <w:tmpl w:val="51EA154E"/>
    <w:name w:val="seq1"/>
    <w:lvl w:ilvl="0">
      <w:start w:val="1"/>
      <w:numFmt w:val="decimal"/>
      <w:lvlRestart w:val="0"/>
      <w:pStyle w:val="N1"/>
      <w:suff w:val="nothing"/>
      <w:lvlText w:val="%1."/>
      <w:lvlJc w:val="left"/>
      <w:pPr>
        <w:tabs>
          <w:tab w:val="num" w:pos="615"/>
        </w:tabs>
        <w:ind w:left="255"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A5F107C"/>
    <w:multiLevelType w:val="hybridMultilevel"/>
    <w:tmpl w:val="180E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12C3D"/>
    <w:multiLevelType w:val="hybridMultilevel"/>
    <w:tmpl w:val="C7383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8"/>
  </w:num>
  <w:num w:numId="4">
    <w:abstractNumId w:val="6"/>
  </w:num>
  <w:num w:numId="5">
    <w:abstractNumId w:val="15"/>
  </w:num>
  <w:num w:numId="6">
    <w:abstractNumId w:val="16"/>
  </w:num>
  <w:num w:numId="7">
    <w:abstractNumId w:val="2"/>
  </w:num>
  <w:num w:numId="8">
    <w:abstractNumId w:val="5"/>
  </w:num>
  <w:num w:numId="9">
    <w:abstractNumId w:val="9"/>
  </w:num>
  <w:num w:numId="10">
    <w:abstractNumId w:val="13"/>
  </w:num>
  <w:num w:numId="11">
    <w:abstractNumId w:val="17"/>
  </w:num>
  <w:num w:numId="12">
    <w:abstractNumId w:val="4"/>
  </w:num>
  <w:num w:numId="13">
    <w:abstractNumId w:val="11"/>
  </w:num>
  <w:num w:numId="14">
    <w:abstractNumId w:val="1"/>
  </w:num>
  <w:num w:numId="15">
    <w:abstractNumId w:val="3"/>
  </w:num>
  <w:num w:numId="16">
    <w:abstractNumId w:val="12"/>
  </w:num>
  <w:num w:numId="17">
    <w:abstractNumId w:val="0"/>
  </w:num>
  <w:num w:numId="1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9F"/>
    <w:rsid w:val="00001BE5"/>
    <w:rsid w:val="0000580B"/>
    <w:rsid w:val="00005C05"/>
    <w:rsid w:val="00012923"/>
    <w:rsid w:val="00017076"/>
    <w:rsid w:val="00017A20"/>
    <w:rsid w:val="00020AFD"/>
    <w:rsid w:val="00023358"/>
    <w:rsid w:val="00023883"/>
    <w:rsid w:val="000239B6"/>
    <w:rsid w:val="00023D80"/>
    <w:rsid w:val="0002721F"/>
    <w:rsid w:val="000278C7"/>
    <w:rsid w:val="00027BCA"/>
    <w:rsid w:val="00031608"/>
    <w:rsid w:val="00031742"/>
    <w:rsid w:val="00033813"/>
    <w:rsid w:val="00034787"/>
    <w:rsid w:val="0003556F"/>
    <w:rsid w:val="00035BA7"/>
    <w:rsid w:val="00037E1D"/>
    <w:rsid w:val="00042473"/>
    <w:rsid w:val="000449DD"/>
    <w:rsid w:val="00047AB1"/>
    <w:rsid w:val="000535F5"/>
    <w:rsid w:val="00053C0B"/>
    <w:rsid w:val="00054693"/>
    <w:rsid w:val="00056175"/>
    <w:rsid w:val="00056EB2"/>
    <w:rsid w:val="00057683"/>
    <w:rsid w:val="00057F7B"/>
    <w:rsid w:val="00064D71"/>
    <w:rsid w:val="00066C0C"/>
    <w:rsid w:val="00067B63"/>
    <w:rsid w:val="00076540"/>
    <w:rsid w:val="0007721B"/>
    <w:rsid w:val="00081981"/>
    <w:rsid w:val="00082618"/>
    <w:rsid w:val="000837E3"/>
    <w:rsid w:val="000910A2"/>
    <w:rsid w:val="000953CE"/>
    <w:rsid w:val="000A04D6"/>
    <w:rsid w:val="000A57E8"/>
    <w:rsid w:val="000A6A1B"/>
    <w:rsid w:val="000A797C"/>
    <w:rsid w:val="000A7D0D"/>
    <w:rsid w:val="000B18C3"/>
    <w:rsid w:val="000B4A2A"/>
    <w:rsid w:val="000B5C95"/>
    <w:rsid w:val="000C3664"/>
    <w:rsid w:val="000C46CD"/>
    <w:rsid w:val="000D0521"/>
    <w:rsid w:val="000D3164"/>
    <w:rsid w:val="000D387C"/>
    <w:rsid w:val="000D3F72"/>
    <w:rsid w:val="000D7062"/>
    <w:rsid w:val="000D74E7"/>
    <w:rsid w:val="000E2A89"/>
    <w:rsid w:val="000E33FA"/>
    <w:rsid w:val="000E370B"/>
    <w:rsid w:val="000E577D"/>
    <w:rsid w:val="000E6415"/>
    <w:rsid w:val="000E7891"/>
    <w:rsid w:val="000F14BB"/>
    <w:rsid w:val="000F1F6E"/>
    <w:rsid w:val="000F3113"/>
    <w:rsid w:val="000F533C"/>
    <w:rsid w:val="001045C3"/>
    <w:rsid w:val="001045F1"/>
    <w:rsid w:val="00113634"/>
    <w:rsid w:val="00114C3A"/>
    <w:rsid w:val="00121143"/>
    <w:rsid w:val="00121659"/>
    <w:rsid w:val="00122DE0"/>
    <w:rsid w:val="00123C0E"/>
    <w:rsid w:val="00125AC6"/>
    <w:rsid w:val="00135B94"/>
    <w:rsid w:val="00137265"/>
    <w:rsid w:val="00137E49"/>
    <w:rsid w:val="00141011"/>
    <w:rsid w:val="0014735F"/>
    <w:rsid w:val="00150C9D"/>
    <w:rsid w:val="001537B0"/>
    <w:rsid w:val="00155E89"/>
    <w:rsid w:val="001560C9"/>
    <w:rsid w:val="001564B7"/>
    <w:rsid w:val="00156E0F"/>
    <w:rsid w:val="001600A2"/>
    <w:rsid w:val="00171774"/>
    <w:rsid w:val="001728CC"/>
    <w:rsid w:val="00172DDE"/>
    <w:rsid w:val="00174DA4"/>
    <w:rsid w:val="0017501C"/>
    <w:rsid w:val="0017532D"/>
    <w:rsid w:val="00175CF2"/>
    <w:rsid w:val="00176F57"/>
    <w:rsid w:val="001834D0"/>
    <w:rsid w:val="00194644"/>
    <w:rsid w:val="001957AF"/>
    <w:rsid w:val="001A55C3"/>
    <w:rsid w:val="001A56F5"/>
    <w:rsid w:val="001A7B8D"/>
    <w:rsid w:val="001B0B68"/>
    <w:rsid w:val="001C0BD5"/>
    <w:rsid w:val="001C4430"/>
    <w:rsid w:val="001C4F7D"/>
    <w:rsid w:val="001C518B"/>
    <w:rsid w:val="001D5C9D"/>
    <w:rsid w:val="001E1BE8"/>
    <w:rsid w:val="001E291D"/>
    <w:rsid w:val="001E299F"/>
    <w:rsid w:val="001E2FC4"/>
    <w:rsid w:val="001F1CD2"/>
    <w:rsid w:val="002017EF"/>
    <w:rsid w:val="0020229D"/>
    <w:rsid w:val="0020540F"/>
    <w:rsid w:val="002061EF"/>
    <w:rsid w:val="0020794C"/>
    <w:rsid w:val="002122AD"/>
    <w:rsid w:val="00215CF4"/>
    <w:rsid w:val="00217226"/>
    <w:rsid w:val="00220C44"/>
    <w:rsid w:val="002263A5"/>
    <w:rsid w:val="00227618"/>
    <w:rsid w:val="00227951"/>
    <w:rsid w:val="00234080"/>
    <w:rsid w:val="00236283"/>
    <w:rsid w:val="00236DE2"/>
    <w:rsid w:val="002371BC"/>
    <w:rsid w:val="0023788D"/>
    <w:rsid w:val="002436FE"/>
    <w:rsid w:val="002439A0"/>
    <w:rsid w:val="00243A8F"/>
    <w:rsid w:val="002447AB"/>
    <w:rsid w:val="00245D7F"/>
    <w:rsid w:val="0024691A"/>
    <w:rsid w:val="00251647"/>
    <w:rsid w:val="00253B6D"/>
    <w:rsid w:val="00257719"/>
    <w:rsid w:val="00261CCA"/>
    <w:rsid w:val="00262AF7"/>
    <w:rsid w:val="00263C73"/>
    <w:rsid w:val="00271CAD"/>
    <w:rsid w:val="002752E2"/>
    <w:rsid w:val="00275D20"/>
    <w:rsid w:val="00276CA6"/>
    <w:rsid w:val="0027724A"/>
    <w:rsid w:val="0028203C"/>
    <w:rsid w:val="00282A16"/>
    <w:rsid w:val="00284523"/>
    <w:rsid w:val="0028699A"/>
    <w:rsid w:val="00290F90"/>
    <w:rsid w:val="00293B38"/>
    <w:rsid w:val="00293D6C"/>
    <w:rsid w:val="00296432"/>
    <w:rsid w:val="002A0F3B"/>
    <w:rsid w:val="002A67C9"/>
    <w:rsid w:val="002A70C1"/>
    <w:rsid w:val="002B5E40"/>
    <w:rsid w:val="002C0BB7"/>
    <w:rsid w:val="002C0E21"/>
    <w:rsid w:val="002C677A"/>
    <w:rsid w:val="002C70E8"/>
    <w:rsid w:val="002C7102"/>
    <w:rsid w:val="002C71D8"/>
    <w:rsid w:val="002D2206"/>
    <w:rsid w:val="002E4745"/>
    <w:rsid w:val="002E4A67"/>
    <w:rsid w:val="002E52A4"/>
    <w:rsid w:val="002E7327"/>
    <w:rsid w:val="002F0452"/>
    <w:rsid w:val="002F0F00"/>
    <w:rsid w:val="002F1E81"/>
    <w:rsid w:val="002F321C"/>
    <w:rsid w:val="002F7CAD"/>
    <w:rsid w:val="00301AD5"/>
    <w:rsid w:val="00302574"/>
    <w:rsid w:val="003028B8"/>
    <w:rsid w:val="00302D24"/>
    <w:rsid w:val="00306A7D"/>
    <w:rsid w:val="00311B07"/>
    <w:rsid w:val="003140D5"/>
    <w:rsid w:val="00314427"/>
    <w:rsid w:val="00315F62"/>
    <w:rsid w:val="00317CAA"/>
    <w:rsid w:val="00320FAE"/>
    <w:rsid w:val="003214DA"/>
    <w:rsid w:val="00323CD7"/>
    <w:rsid w:val="00326DAA"/>
    <w:rsid w:val="00332753"/>
    <w:rsid w:val="00335D04"/>
    <w:rsid w:val="003369F2"/>
    <w:rsid w:val="003400AC"/>
    <w:rsid w:val="00340AA3"/>
    <w:rsid w:val="0034105A"/>
    <w:rsid w:val="00346668"/>
    <w:rsid w:val="0034693C"/>
    <w:rsid w:val="00347AD3"/>
    <w:rsid w:val="0035072C"/>
    <w:rsid w:val="0035428C"/>
    <w:rsid w:val="00361154"/>
    <w:rsid w:val="00365BFA"/>
    <w:rsid w:val="00367E78"/>
    <w:rsid w:val="00370F57"/>
    <w:rsid w:val="00371037"/>
    <w:rsid w:val="00373628"/>
    <w:rsid w:val="003760C8"/>
    <w:rsid w:val="00377108"/>
    <w:rsid w:val="003779EB"/>
    <w:rsid w:val="0039710F"/>
    <w:rsid w:val="003A4A13"/>
    <w:rsid w:val="003A51AB"/>
    <w:rsid w:val="003A6259"/>
    <w:rsid w:val="003B4427"/>
    <w:rsid w:val="003B49DE"/>
    <w:rsid w:val="003B5131"/>
    <w:rsid w:val="003B634D"/>
    <w:rsid w:val="003B67DE"/>
    <w:rsid w:val="003C1564"/>
    <w:rsid w:val="003C1ACB"/>
    <w:rsid w:val="003C5084"/>
    <w:rsid w:val="003D31DF"/>
    <w:rsid w:val="003D466C"/>
    <w:rsid w:val="003E1D89"/>
    <w:rsid w:val="003E2662"/>
    <w:rsid w:val="003E38FD"/>
    <w:rsid w:val="003E4D1E"/>
    <w:rsid w:val="003E552B"/>
    <w:rsid w:val="003E5758"/>
    <w:rsid w:val="003E59D3"/>
    <w:rsid w:val="003E5A80"/>
    <w:rsid w:val="003E6DC9"/>
    <w:rsid w:val="003E7656"/>
    <w:rsid w:val="003F10B7"/>
    <w:rsid w:val="003F12DA"/>
    <w:rsid w:val="003F3567"/>
    <w:rsid w:val="003F4D14"/>
    <w:rsid w:val="003F5DD4"/>
    <w:rsid w:val="004004E6"/>
    <w:rsid w:val="00412674"/>
    <w:rsid w:val="00412D0A"/>
    <w:rsid w:val="004168B1"/>
    <w:rsid w:val="00421A16"/>
    <w:rsid w:val="0042287B"/>
    <w:rsid w:val="004233E0"/>
    <w:rsid w:val="004251E9"/>
    <w:rsid w:val="0043035A"/>
    <w:rsid w:val="00430FBB"/>
    <w:rsid w:val="004326BD"/>
    <w:rsid w:val="00435B44"/>
    <w:rsid w:val="00441990"/>
    <w:rsid w:val="00441E12"/>
    <w:rsid w:val="00442BC1"/>
    <w:rsid w:val="00443C04"/>
    <w:rsid w:val="00444785"/>
    <w:rsid w:val="00447175"/>
    <w:rsid w:val="0045114A"/>
    <w:rsid w:val="004516B6"/>
    <w:rsid w:val="004571EE"/>
    <w:rsid w:val="004625B9"/>
    <w:rsid w:val="00462EF5"/>
    <w:rsid w:val="00463919"/>
    <w:rsid w:val="004647DE"/>
    <w:rsid w:val="0047716E"/>
    <w:rsid w:val="00477471"/>
    <w:rsid w:val="00480E02"/>
    <w:rsid w:val="00482975"/>
    <w:rsid w:val="00483D57"/>
    <w:rsid w:val="00487F88"/>
    <w:rsid w:val="00496517"/>
    <w:rsid w:val="004A27D0"/>
    <w:rsid w:val="004A31B5"/>
    <w:rsid w:val="004B04C8"/>
    <w:rsid w:val="004B1FD0"/>
    <w:rsid w:val="004B2680"/>
    <w:rsid w:val="004B3A87"/>
    <w:rsid w:val="004B6AFF"/>
    <w:rsid w:val="004B6B14"/>
    <w:rsid w:val="004C0E12"/>
    <w:rsid w:val="004C1F8A"/>
    <w:rsid w:val="004C20FE"/>
    <w:rsid w:val="004C4A19"/>
    <w:rsid w:val="004C537D"/>
    <w:rsid w:val="004D14BE"/>
    <w:rsid w:val="004D1E4A"/>
    <w:rsid w:val="004D3732"/>
    <w:rsid w:val="004D517E"/>
    <w:rsid w:val="004D5B66"/>
    <w:rsid w:val="004D6307"/>
    <w:rsid w:val="004D73B8"/>
    <w:rsid w:val="004E4F0D"/>
    <w:rsid w:val="004F1654"/>
    <w:rsid w:val="004F2544"/>
    <w:rsid w:val="004F399C"/>
    <w:rsid w:val="004F6C6A"/>
    <w:rsid w:val="004F7D76"/>
    <w:rsid w:val="004F7E71"/>
    <w:rsid w:val="005008A4"/>
    <w:rsid w:val="005019EF"/>
    <w:rsid w:val="0050452D"/>
    <w:rsid w:val="00506832"/>
    <w:rsid w:val="00511429"/>
    <w:rsid w:val="0051501B"/>
    <w:rsid w:val="005153E5"/>
    <w:rsid w:val="005230E2"/>
    <w:rsid w:val="00523CE1"/>
    <w:rsid w:val="00525803"/>
    <w:rsid w:val="00526788"/>
    <w:rsid w:val="0053569D"/>
    <w:rsid w:val="00540537"/>
    <w:rsid w:val="005469F0"/>
    <w:rsid w:val="005470CD"/>
    <w:rsid w:val="00551AA9"/>
    <w:rsid w:val="00551FC2"/>
    <w:rsid w:val="00553F5A"/>
    <w:rsid w:val="005540FA"/>
    <w:rsid w:val="00561F29"/>
    <w:rsid w:val="00564DFF"/>
    <w:rsid w:val="005663EE"/>
    <w:rsid w:val="00566F6F"/>
    <w:rsid w:val="00567F6B"/>
    <w:rsid w:val="005745C1"/>
    <w:rsid w:val="005753E5"/>
    <w:rsid w:val="00575854"/>
    <w:rsid w:val="005759CA"/>
    <w:rsid w:val="005823AE"/>
    <w:rsid w:val="00582C4F"/>
    <w:rsid w:val="00583C8F"/>
    <w:rsid w:val="00585710"/>
    <w:rsid w:val="005864F6"/>
    <w:rsid w:val="005921B8"/>
    <w:rsid w:val="00593941"/>
    <w:rsid w:val="005A1084"/>
    <w:rsid w:val="005A49FB"/>
    <w:rsid w:val="005A6DA9"/>
    <w:rsid w:val="005A6F3A"/>
    <w:rsid w:val="005B0DE6"/>
    <w:rsid w:val="005C1237"/>
    <w:rsid w:val="005C2E10"/>
    <w:rsid w:val="005C3B50"/>
    <w:rsid w:val="005D6A28"/>
    <w:rsid w:val="005E22FA"/>
    <w:rsid w:val="005E2462"/>
    <w:rsid w:val="005E3BAF"/>
    <w:rsid w:val="005E67DB"/>
    <w:rsid w:val="005E791A"/>
    <w:rsid w:val="005F1E52"/>
    <w:rsid w:val="005F2D03"/>
    <w:rsid w:val="0060075F"/>
    <w:rsid w:val="00603AC6"/>
    <w:rsid w:val="006116F9"/>
    <w:rsid w:val="00614A9B"/>
    <w:rsid w:val="006176B6"/>
    <w:rsid w:val="006204EE"/>
    <w:rsid w:val="006240DF"/>
    <w:rsid w:val="00624575"/>
    <w:rsid w:val="00625411"/>
    <w:rsid w:val="0063049D"/>
    <w:rsid w:val="00635AFC"/>
    <w:rsid w:val="00640EF5"/>
    <w:rsid w:val="00642E9F"/>
    <w:rsid w:val="00644F41"/>
    <w:rsid w:val="00646B20"/>
    <w:rsid w:val="006515A4"/>
    <w:rsid w:val="00653031"/>
    <w:rsid w:val="00653254"/>
    <w:rsid w:val="00654C24"/>
    <w:rsid w:val="00655A30"/>
    <w:rsid w:val="006574FB"/>
    <w:rsid w:val="006578E1"/>
    <w:rsid w:val="0066196A"/>
    <w:rsid w:val="0066397F"/>
    <w:rsid w:val="0066626C"/>
    <w:rsid w:val="0068023D"/>
    <w:rsid w:val="0068165A"/>
    <w:rsid w:val="00687B10"/>
    <w:rsid w:val="00694855"/>
    <w:rsid w:val="006A0B36"/>
    <w:rsid w:val="006A373A"/>
    <w:rsid w:val="006A3777"/>
    <w:rsid w:val="006C5E79"/>
    <w:rsid w:val="006C66D0"/>
    <w:rsid w:val="006D681F"/>
    <w:rsid w:val="006D7832"/>
    <w:rsid w:val="006E4F4C"/>
    <w:rsid w:val="006E4FDF"/>
    <w:rsid w:val="006E78CB"/>
    <w:rsid w:val="006F0598"/>
    <w:rsid w:val="006F1522"/>
    <w:rsid w:val="006F39A5"/>
    <w:rsid w:val="006F78D3"/>
    <w:rsid w:val="00701800"/>
    <w:rsid w:val="00704394"/>
    <w:rsid w:val="0070441D"/>
    <w:rsid w:val="0070528D"/>
    <w:rsid w:val="00706BBA"/>
    <w:rsid w:val="007074C6"/>
    <w:rsid w:val="00710E6C"/>
    <w:rsid w:val="00714101"/>
    <w:rsid w:val="00716249"/>
    <w:rsid w:val="00724803"/>
    <w:rsid w:val="00725563"/>
    <w:rsid w:val="00727E8F"/>
    <w:rsid w:val="007376DD"/>
    <w:rsid w:val="00742965"/>
    <w:rsid w:val="00747098"/>
    <w:rsid w:val="007477B7"/>
    <w:rsid w:val="00747F80"/>
    <w:rsid w:val="007506D6"/>
    <w:rsid w:val="00751C27"/>
    <w:rsid w:val="00755ED6"/>
    <w:rsid w:val="00773EE1"/>
    <w:rsid w:val="00777F4B"/>
    <w:rsid w:val="00782A10"/>
    <w:rsid w:val="00783D75"/>
    <w:rsid w:val="007879C2"/>
    <w:rsid w:val="007977BB"/>
    <w:rsid w:val="007B52CA"/>
    <w:rsid w:val="007B581E"/>
    <w:rsid w:val="007B5ECA"/>
    <w:rsid w:val="007C264A"/>
    <w:rsid w:val="007C4A23"/>
    <w:rsid w:val="007C4E84"/>
    <w:rsid w:val="007D1E79"/>
    <w:rsid w:val="007D2AC7"/>
    <w:rsid w:val="007D3787"/>
    <w:rsid w:val="007D6195"/>
    <w:rsid w:val="007E2A6F"/>
    <w:rsid w:val="007E42CC"/>
    <w:rsid w:val="007E4526"/>
    <w:rsid w:val="007E762F"/>
    <w:rsid w:val="007F6885"/>
    <w:rsid w:val="007F77B9"/>
    <w:rsid w:val="00803194"/>
    <w:rsid w:val="0080455F"/>
    <w:rsid w:val="00806CFB"/>
    <w:rsid w:val="00812F8F"/>
    <w:rsid w:val="008167AE"/>
    <w:rsid w:val="0081716E"/>
    <w:rsid w:val="008203B7"/>
    <w:rsid w:val="00820468"/>
    <w:rsid w:val="00822133"/>
    <w:rsid w:val="00823DB0"/>
    <w:rsid w:val="00823F68"/>
    <w:rsid w:val="00827F87"/>
    <w:rsid w:val="0083163B"/>
    <w:rsid w:val="0084187E"/>
    <w:rsid w:val="00843C07"/>
    <w:rsid w:val="0084537A"/>
    <w:rsid w:val="00845AB8"/>
    <w:rsid w:val="008473AE"/>
    <w:rsid w:val="008553B5"/>
    <w:rsid w:val="00861DA0"/>
    <w:rsid w:val="0086407D"/>
    <w:rsid w:val="00865617"/>
    <w:rsid w:val="008704F3"/>
    <w:rsid w:val="00871730"/>
    <w:rsid w:val="0087559F"/>
    <w:rsid w:val="00881A6D"/>
    <w:rsid w:val="00883454"/>
    <w:rsid w:val="00886EEE"/>
    <w:rsid w:val="00893188"/>
    <w:rsid w:val="00894999"/>
    <w:rsid w:val="008A1437"/>
    <w:rsid w:val="008A1896"/>
    <w:rsid w:val="008A1EA3"/>
    <w:rsid w:val="008A535E"/>
    <w:rsid w:val="008A596B"/>
    <w:rsid w:val="008A5F4E"/>
    <w:rsid w:val="008B6D75"/>
    <w:rsid w:val="008B7085"/>
    <w:rsid w:val="008C0832"/>
    <w:rsid w:val="008C1A05"/>
    <w:rsid w:val="008C546C"/>
    <w:rsid w:val="008D50C3"/>
    <w:rsid w:val="008D6053"/>
    <w:rsid w:val="008E213E"/>
    <w:rsid w:val="008E4406"/>
    <w:rsid w:val="008E49ED"/>
    <w:rsid w:val="008E4E08"/>
    <w:rsid w:val="008E53C7"/>
    <w:rsid w:val="008F4631"/>
    <w:rsid w:val="009017B4"/>
    <w:rsid w:val="00901970"/>
    <w:rsid w:val="00902DD7"/>
    <w:rsid w:val="00910ABC"/>
    <w:rsid w:val="009118D4"/>
    <w:rsid w:val="009150A3"/>
    <w:rsid w:val="009162C1"/>
    <w:rsid w:val="0092171B"/>
    <w:rsid w:val="00921A67"/>
    <w:rsid w:val="00921FF6"/>
    <w:rsid w:val="009316D8"/>
    <w:rsid w:val="0093243D"/>
    <w:rsid w:val="00933DF2"/>
    <w:rsid w:val="00934181"/>
    <w:rsid w:val="009360A2"/>
    <w:rsid w:val="00941BC9"/>
    <w:rsid w:val="0095116B"/>
    <w:rsid w:val="0095191D"/>
    <w:rsid w:val="00953BCB"/>
    <w:rsid w:val="009554C2"/>
    <w:rsid w:val="0096116E"/>
    <w:rsid w:val="00973257"/>
    <w:rsid w:val="00974AE6"/>
    <w:rsid w:val="009766C5"/>
    <w:rsid w:val="00976E47"/>
    <w:rsid w:val="009808F8"/>
    <w:rsid w:val="00983CA5"/>
    <w:rsid w:val="0098402A"/>
    <w:rsid w:val="009841A2"/>
    <w:rsid w:val="00984E7B"/>
    <w:rsid w:val="0098785F"/>
    <w:rsid w:val="00993E11"/>
    <w:rsid w:val="00993E32"/>
    <w:rsid w:val="009943EA"/>
    <w:rsid w:val="00995445"/>
    <w:rsid w:val="009A0EC8"/>
    <w:rsid w:val="009A3BB5"/>
    <w:rsid w:val="009B2A2C"/>
    <w:rsid w:val="009B5FB2"/>
    <w:rsid w:val="009D035A"/>
    <w:rsid w:val="009D34F1"/>
    <w:rsid w:val="009D5238"/>
    <w:rsid w:val="009D7496"/>
    <w:rsid w:val="009E1CB6"/>
    <w:rsid w:val="009E3DB3"/>
    <w:rsid w:val="009E4191"/>
    <w:rsid w:val="009E55EA"/>
    <w:rsid w:val="009E5BAD"/>
    <w:rsid w:val="009F1733"/>
    <w:rsid w:val="009F2F0B"/>
    <w:rsid w:val="009F429E"/>
    <w:rsid w:val="009F57BD"/>
    <w:rsid w:val="00A00B5A"/>
    <w:rsid w:val="00A06FAB"/>
    <w:rsid w:val="00A10A62"/>
    <w:rsid w:val="00A123F7"/>
    <w:rsid w:val="00A1296C"/>
    <w:rsid w:val="00A14155"/>
    <w:rsid w:val="00A2133E"/>
    <w:rsid w:val="00A21AB4"/>
    <w:rsid w:val="00A21E8C"/>
    <w:rsid w:val="00A22595"/>
    <w:rsid w:val="00A24391"/>
    <w:rsid w:val="00A26596"/>
    <w:rsid w:val="00A30D2A"/>
    <w:rsid w:val="00A311FF"/>
    <w:rsid w:val="00A31C6F"/>
    <w:rsid w:val="00A31DE3"/>
    <w:rsid w:val="00A349CF"/>
    <w:rsid w:val="00A37CD3"/>
    <w:rsid w:val="00A421C4"/>
    <w:rsid w:val="00A50E19"/>
    <w:rsid w:val="00A52EAA"/>
    <w:rsid w:val="00A57065"/>
    <w:rsid w:val="00A60749"/>
    <w:rsid w:val="00A60B42"/>
    <w:rsid w:val="00A63E0D"/>
    <w:rsid w:val="00A70059"/>
    <w:rsid w:val="00A71AE5"/>
    <w:rsid w:val="00A742C4"/>
    <w:rsid w:val="00A84E54"/>
    <w:rsid w:val="00A87364"/>
    <w:rsid w:val="00A93C8E"/>
    <w:rsid w:val="00A97392"/>
    <w:rsid w:val="00AA441E"/>
    <w:rsid w:val="00AA6207"/>
    <w:rsid w:val="00AB0586"/>
    <w:rsid w:val="00AB1B71"/>
    <w:rsid w:val="00AB57B0"/>
    <w:rsid w:val="00AC3534"/>
    <w:rsid w:val="00AC7568"/>
    <w:rsid w:val="00AD054C"/>
    <w:rsid w:val="00AD27E5"/>
    <w:rsid w:val="00AD398B"/>
    <w:rsid w:val="00AD4565"/>
    <w:rsid w:val="00AD57CA"/>
    <w:rsid w:val="00AE2422"/>
    <w:rsid w:val="00AE5F7C"/>
    <w:rsid w:val="00AF0E8B"/>
    <w:rsid w:val="00AF11CE"/>
    <w:rsid w:val="00AF1878"/>
    <w:rsid w:val="00AF1C54"/>
    <w:rsid w:val="00AF2C95"/>
    <w:rsid w:val="00AF7CA0"/>
    <w:rsid w:val="00B002AF"/>
    <w:rsid w:val="00B003E8"/>
    <w:rsid w:val="00B00BA0"/>
    <w:rsid w:val="00B042F6"/>
    <w:rsid w:val="00B04CE0"/>
    <w:rsid w:val="00B05138"/>
    <w:rsid w:val="00B072C8"/>
    <w:rsid w:val="00B07E11"/>
    <w:rsid w:val="00B1022C"/>
    <w:rsid w:val="00B1157C"/>
    <w:rsid w:val="00B1317F"/>
    <w:rsid w:val="00B1433B"/>
    <w:rsid w:val="00B145D5"/>
    <w:rsid w:val="00B1490D"/>
    <w:rsid w:val="00B17BFE"/>
    <w:rsid w:val="00B20C55"/>
    <w:rsid w:val="00B24AE1"/>
    <w:rsid w:val="00B260AE"/>
    <w:rsid w:val="00B361AA"/>
    <w:rsid w:val="00B36BAD"/>
    <w:rsid w:val="00B44D73"/>
    <w:rsid w:val="00B45503"/>
    <w:rsid w:val="00B542F4"/>
    <w:rsid w:val="00B54BBA"/>
    <w:rsid w:val="00B57C41"/>
    <w:rsid w:val="00B61673"/>
    <w:rsid w:val="00B631F5"/>
    <w:rsid w:val="00B63D9E"/>
    <w:rsid w:val="00B70181"/>
    <w:rsid w:val="00B737A6"/>
    <w:rsid w:val="00B8039D"/>
    <w:rsid w:val="00B84BF7"/>
    <w:rsid w:val="00B8716F"/>
    <w:rsid w:val="00B87482"/>
    <w:rsid w:val="00B92D96"/>
    <w:rsid w:val="00B93267"/>
    <w:rsid w:val="00B97348"/>
    <w:rsid w:val="00B97422"/>
    <w:rsid w:val="00BA4610"/>
    <w:rsid w:val="00BC0FA4"/>
    <w:rsid w:val="00BC4D7F"/>
    <w:rsid w:val="00BE1081"/>
    <w:rsid w:val="00BE33E4"/>
    <w:rsid w:val="00BE345D"/>
    <w:rsid w:val="00BE439D"/>
    <w:rsid w:val="00BE619B"/>
    <w:rsid w:val="00BF021E"/>
    <w:rsid w:val="00BF2759"/>
    <w:rsid w:val="00BF3623"/>
    <w:rsid w:val="00BF44CD"/>
    <w:rsid w:val="00BF4D11"/>
    <w:rsid w:val="00BF515C"/>
    <w:rsid w:val="00BF5798"/>
    <w:rsid w:val="00C02AE5"/>
    <w:rsid w:val="00C049F5"/>
    <w:rsid w:val="00C05386"/>
    <w:rsid w:val="00C11879"/>
    <w:rsid w:val="00C11D5D"/>
    <w:rsid w:val="00C16B67"/>
    <w:rsid w:val="00C22872"/>
    <w:rsid w:val="00C23C23"/>
    <w:rsid w:val="00C248C9"/>
    <w:rsid w:val="00C34C5E"/>
    <w:rsid w:val="00C4621D"/>
    <w:rsid w:val="00C47F69"/>
    <w:rsid w:val="00C511FB"/>
    <w:rsid w:val="00C55246"/>
    <w:rsid w:val="00C55A2A"/>
    <w:rsid w:val="00C57CBA"/>
    <w:rsid w:val="00C61C64"/>
    <w:rsid w:val="00C62236"/>
    <w:rsid w:val="00C62418"/>
    <w:rsid w:val="00C63E61"/>
    <w:rsid w:val="00C65CBA"/>
    <w:rsid w:val="00C715CB"/>
    <w:rsid w:val="00C72027"/>
    <w:rsid w:val="00C7236F"/>
    <w:rsid w:val="00C75D4D"/>
    <w:rsid w:val="00C8174D"/>
    <w:rsid w:val="00C86057"/>
    <w:rsid w:val="00C876F1"/>
    <w:rsid w:val="00C92623"/>
    <w:rsid w:val="00C92821"/>
    <w:rsid w:val="00CA7374"/>
    <w:rsid w:val="00CB668B"/>
    <w:rsid w:val="00CB6E5A"/>
    <w:rsid w:val="00CC0680"/>
    <w:rsid w:val="00CC0862"/>
    <w:rsid w:val="00CC0B51"/>
    <w:rsid w:val="00CD3AC4"/>
    <w:rsid w:val="00CD4EA7"/>
    <w:rsid w:val="00CD56D6"/>
    <w:rsid w:val="00CE4A08"/>
    <w:rsid w:val="00CF06A7"/>
    <w:rsid w:val="00CF13BB"/>
    <w:rsid w:val="00CF213E"/>
    <w:rsid w:val="00CF3C05"/>
    <w:rsid w:val="00CF4E67"/>
    <w:rsid w:val="00CF5EB7"/>
    <w:rsid w:val="00CF7339"/>
    <w:rsid w:val="00D0094F"/>
    <w:rsid w:val="00D0153B"/>
    <w:rsid w:val="00D03F84"/>
    <w:rsid w:val="00D04662"/>
    <w:rsid w:val="00D121EF"/>
    <w:rsid w:val="00D13AD6"/>
    <w:rsid w:val="00D16DFB"/>
    <w:rsid w:val="00D1703E"/>
    <w:rsid w:val="00D22F91"/>
    <w:rsid w:val="00D23A53"/>
    <w:rsid w:val="00D26595"/>
    <w:rsid w:val="00D27B17"/>
    <w:rsid w:val="00D3371D"/>
    <w:rsid w:val="00D369EC"/>
    <w:rsid w:val="00D36E22"/>
    <w:rsid w:val="00D41F2A"/>
    <w:rsid w:val="00D4762F"/>
    <w:rsid w:val="00D52E15"/>
    <w:rsid w:val="00D61486"/>
    <w:rsid w:val="00D64F91"/>
    <w:rsid w:val="00D675D9"/>
    <w:rsid w:val="00D67BA3"/>
    <w:rsid w:val="00D70934"/>
    <w:rsid w:val="00D729CB"/>
    <w:rsid w:val="00D7699F"/>
    <w:rsid w:val="00D76F02"/>
    <w:rsid w:val="00D81D3E"/>
    <w:rsid w:val="00D8289C"/>
    <w:rsid w:val="00D84710"/>
    <w:rsid w:val="00D909C3"/>
    <w:rsid w:val="00D93641"/>
    <w:rsid w:val="00DA44C0"/>
    <w:rsid w:val="00DA5C93"/>
    <w:rsid w:val="00DB0170"/>
    <w:rsid w:val="00DB5C31"/>
    <w:rsid w:val="00DB61EF"/>
    <w:rsid w:val="00DB646E"/>
    <w:rsid w:val="00DC0B9F"/>
    <w:rsid w:val="00DC0C4C"/>
    <w:rsid w:val="00DC1180"/>
    <w:rsid w:val="00DC3D41"/>
    <w:rsid w:val="00DD09B2"/>
    <w:rsid w:val="00DD3428"/>
    <w:rsid w:val="00DE113B"/>
    <w:rsid w:val="00DE1E80"/>
    <w:rsid w:val="00DE2EF9"/>
    <w:rsid w:val="00DE7000"/>
    <w:rsid w:val="00DF0FC0"/>
    <w:rsid w:val="00DF12F5"/>
    <w:rsid w:val="00DF58F0"/>
    <w:rsid w:val="00E03B4E"/>
    <w:rsid w:val="00E12B84"/>
    <w:rsid w:val="00E132B4"/>
    <w:rsid w:val="00E13880"/>
    <w:rsid w:val="00E23151"/>
    <w:rsid w:val="00E26696"/>
    <w:rsid w:val="00E278EA"/>
    <w:rsid w:val="00E35245"/>
    <w:rsid w:val="00E427BE"/>
    <w:rsid w:val="00E42F2C"/>
    <w:rsid w:val="00E440DD"/>
    <w:rsid w:val="00E458B7"/>
    <w:rsid w:val="00E50F86"/>
    <w:rsid w:val="00E56B4E"/>
    <w:rsid w:val="00E57361"/>
    <w:rsid w:val="00E61CAD"/>
    <w:rsid w:val="00E62673"/>
    <w:rsid w:val="00E63A7E"/>
    <w:rsid w:val="00E673A7"/>
    <w:rsid w:val="00E700F6"/>
    <w:rsid w:val="00E72CC8"/>
    <w:rsid w:val="00E73FAD"/>
    <w:rsid w:val="00E81B44"/>
    <w:rsid w:val="00E82293"/>
    <w:rsid w:val="00E822A4"/>
    <w:rsid w:val="00E842F5"/>
    <w:rsid w:val="00E84765"/>
    <w:rsid w:val="00E85B8A"/>
    <w:rsid w:val="00E875A3"/>
    <w:rsid w:val="00E93EE0"/>
    <w:rsid w:val="00E941F8"/>
    <w:rsid w:val="00E95706"/>
    <w:rsid w:val="00EA0CCC"/>
    <w:rsid w:val="00EA1B93"/>
    <w:rsid w:val="00EA363B"/>
    <w:rsid w:val="00EA488E"/>
    <w:rsid w:val="00EC06AC"/>
    <w:rsid w:val="00EC31AE"/>
    <w:rsid w:val="00EC3B77"/>
    <w:rsid w:val="00EC5CC3"/>
    <w:rsid w:val="00ED01A0"/>
    <w:rsid w:val="00ED6061"/>
    <w:rsid w:val="00EE07A6"/>
    <w:rsid w:val="00EE32ED"/>
    <w:rsid w:val="00EE4746"/>
    <w:rsid w:val="00EE708B"/>
    <w:rsid w:val="00EE779E"/>
    <w:rsid w:val="00EF1469"/>
    <w:rsid w:val="00EF1683"/>
    <w:rsid w:val="00F0264C"/>
    <w:rsid w:val="00F045FF"/>
    <w:rsid w:val="00F054F3"/>
    <w:rsid w:val="00F05D8E"/>
    <w:rsid w:val="00F0621F"/>
    <w:rsid w:val="00F07CA8"/>
    <w:rsid w:val="00F11803"/>
    <w:rsid w:val="00F2080B"/>
    <w:rsid w:val="00F22060"/>
    <w:rsid w:val="00F23747"/>
    <w:rsid w:val="00F25416"/>
    <w:rsid w:val="00F33AAB"/>
    <w:rsid w:val="00F363BD"/>
    <w:rsid w:val="00F43936"/>
    <w:rsid w:val="00F461ED"/>
    <w:rsid w:val="00F4655A"/>
    <w:rsid w:val="00F46FF0"/>
    <w:rsid w:val="00F5194C"/>
    <w:rsid w:val="00F6274F"/>
    <w:rsid w:val="00F63472"/>
    <w:rsid w:val="00F70DBF"/>
    <w:rsid w:val="00F73B25"/>
    <w:rsid w:val="00F74860"/>
    <w:rsid w:val="00F85687"/>
    <w:rsid w:val="00F875BA"/>
    <w:rsid w:val="00F94C31"/>
    <w:rsid w:val="00FA1389"/>
    <w:rsid w:val="00FB16F7"/>
    <w:rsid w:val="00FB3F76"/>
    <w:rsid w:val="00FB57B1"/>
    <w:rsid w:val="00FB71E5"/>
    <w:rsid w:val="00FC10CD"/>
    <w:rsid w:val="00FC3D7B"/>
    <w:rsid w:val="00FC4772"/>
    <w:rsid w:val="00FC74D0"/>
    <w:rsid w:val="00FD0DBE"/>
    <w:rsid w:val="00FE2CE1"/>
    <w:rsid w:val="00FE5617"/>
    <w:rsid w:val="00FE7D7F"/>
    <w:rsid w:val="00FF7A69"/>
    <w:rsid w:val="59EC6A94"/>
    <w:rsid w:val="73F45B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BB70DA"/>
  <w15:docId w15:val="{D7DFA895-0608-4120-863B-E953D86B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F7D"/>
    <w:pPr>
      <w:spacing w:before="240" w:after="120" w:line="276" w:lineRule="auto"/>
    </w:pPr>
    <w:rPr>
      <w:sz w:val="24"/>
      <w:szCs w:val="22"/>
      <w:lang w:eastAsia="en-US"/>
    </w:rPr>
  </w:style>
  <w:style w:type="paragraph" w:styleId="Heading1">
    <w:name w:val="heading 1"/>
    <w:basedOn w:val="Normal"/>
    <w:next w:val="Normal"/>
    <w:link w:val="Heading1Char"/>
    <w:qFormat/>
    <w:rsid w:val="002F0452"/>
    <w:pPr>
      <w:keepNext/>
      <w:keepLines/>
      <w:spacing w:before="480"/>
      <w:outlineLvl w:val="0"/>
    </w:pPr>
    <w:rPr>
      <w:rFonts w:eastAsia="Times New Roman"/>
      <w:b/>
      <w:bCs/>
      <w:color w:val="008938"/>
      <w:sz w:val="36"/>
      <w:szCs w:val="28"/>
    </w:rPr>
  </w:style>
  <w:style w:type="paragraph" w:styleId="Heading2">
    <w:name w:val="heading 2"/>
    <w:next w:val="Normal"/>
    <w:link w:val="Heading2Char"/>
    <w:autoRedefine/>
    <w:qFormat/>
    <w:rsid w:val="005E791A"/>
    <w:pPr>
      <w:keepNext/>
      <w:spacing w:before="480" w:after="120"/>
      <w:outlineLvl w:val="1"/>
    </w:pPr>
    <w:rPr>
      <w:rFonts w:eastAsia="Times New Roman"/>
      <w:b/>
      <w:bCs/>
      <w:iCs/>
      <w:color w:val="008938"/>
      <w:sz w:val="36"/>
      <w:szCs w:val="28"/>
      <w:lang w:eastAsia="en-US"/>
    </w:rPr>
  </w:style>
  <w:style w:type="paragraph" w:styleId="Heading3">
    <w:name w:val="heading 3"/>
    <w:basedOn w:val="Normal"/>
    <w:next w:val="Normal"/>
    <w:link w:val="Heading3Char"/>
    <w:qFormat/>
    <w:rsid w:val="006A0B36"/>
    <w:pPr>
      <w:keepNext/>
      <w:keepLines/>
      <w:spacing w:before="360" w:after="0"/>
      <w:outlineLvl w:val="2"/>
    </w:pPr>
    <w:rPr>
      <w:rFonts w:eastAsia="Times New Roman"/>
      <w:b/>
      <w:bCs/>
      <w:sz w:val="28"/>
    </w:rPr>
  </w:style>
  <w:style w:type="paragraph" w:styleId="Heading4">
    <w:name w:val="heading 4"/>
    <w:basedOn w:val="Normal"/>
    <w:next w:val="Normal"/>
    <w:link w:val="Heading4Char"/>
    <w:qFormat/>
    <w:rsid w:val="00057683"/>
    <w:pPr>
      <w:keepNext/>
      <w:keepLines/>
      <w:spacing w:before="200"/>
      <w:outlineLvl w:val="3"/>
    </w:pPr>
    <w:rPr>
      <w:rFonts w:eastAsia="Times New Roman"/>
      <w:b/>
      <w:bCs/>
      <w:iCs/>
    </w:rPr>
  </w:style>
  <w:style w:type="paragraph" w:styleId="Heading5">
    <w:name w:val="heading 5"/>
    <w:basedOn w:val="Normal"/>
    <w:next w:val="Normal"/>
    <w:link w:val="Heading5Char"/>
    <w:rsid w:val="00AE2422"/>
    <w:pPr>
      <w:keepNext/>
      <w:keepLines/>
      <w:spacing w:before="20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791A"/>
    <w:rPr>
      <w:rFonts w:eastAsia="Times New Roman"/>
      <w:b/>
      <w:bCs/>
      <w:iCs/>
      <w:color w:val="008938"/>
      <w:sz w:val="36"/>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46B20"/>
    <w:pPr>
      <w:spacing w:after="200"/>
    </w:pPr>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A14155"/>
    <w:pPr>
      <w:spacing w:after="280"/>
    </w:pPr>
    <w:rPr>
      <w:color w:val="008938"/>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2F0452"/>
    <w:rPr>
      <w:rFonts w:eastAsia="Times New Roman"/>
      <w:b/>
      <w:bCs/>
      <w:color w:val="008938"/>
      <w:sz w:val="36"/>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6A0B36"/>
    <w:rPr>
      <w:rFonts w:eastAsia="Times New Roman"/>
      <w:b/>
      <w:bCs/>
      <w:sz w:val="28"/>
      <w:szCs w:val="22"/>
      <w:lang w:eastAsia="en-US"/>
    </w:rPr>
  </w:style>
  <w:style w:type="paragraph" w:styleId="TOC1">
    <w:name w:val="toc 1"/>
    <w:basedOn w:val="Normal"/>
    <w:next w:val="Normal"/>
    <w:autoRedefine/>
    <w:uiPriority w:val="39"/>
    <w:rsid w:val="00DF0FC0"/>
    <w:pPr>
      <w:tabs>
        <w:tab w:val="right" w:leader="dot" w:pos="9621"/>
      </w:tabs>
      <w:spacing w:after="100"/>
    </w:p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D8289C"/>
    <w:pPr>
      <w:spacing w:after="100"/>
      <w:ind w:left="220"/>
    </w:p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qFormat/>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semiHidden/>
    <w:unhideWhenUsed/>
    <w:rsid w:val="00582C4F"/>
    <w:rPr>
      <w:sz w:val="20"/>
      <w:szCs w:val="20"/>
    </w:rPr>
  </w:style>
  <w:style w:type="character" w:customStyle="1" w:styleId="CommentTextChar">
    <w:name w:val="Comment Text Char"/>
    <w:basedOn w:val="DefaultParagraphFont"/>
    <w:link w:val="CommentText"/>
    <w:semiHidden/>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uiPriority w:val="4"/>
    <w:qFormat/>
    <w:rsid w:val="005E791A"/>
    <w:pPr>
      <w:spacing w:before="360" w:after="0"/>
    </w:pPr>
    <w:rPr>
      <w:b/>
      <w:iCs/>
      <w:sz w:val="22"/>
      <w:szCs w:val="18"/>
    </w:rPr>
  </w:style>
  <w:style w:type="paragraph" w:customStyle="1" w:styleId="Contents">
    <w:name w:val="Contents"/>
    <w:basedOn w:val="Normal"/>
    <w:next w:val="Normal"/>
    <w:uiPriority w:val="2"/>
    <w:qFormat/>
    <w:rsid w:val="00482975"/>
    <w:rPr>
      <w:b/>
      <w:color w:val="008938"/>
      <w:sz w:val="28"/>
      <w:lang w:eastAsia="en-GB"/>
    </w:rPr>
  </w:style>
  <w:style w:type="paragraph" w:styleId="ListParagraph">
    <w:name w:val="List Paragraph"/>
    <w:aliases w:val="Dot pt,No Spacing1,List Paragraph Char Char Char,Indicator Text,List Paragraph1,Numbered Para 1,Bullet 1,List Paragraph12,Bullet Style,F5 List Paragraph,Bullet Points,MAIN CONTENT,Colorful List - Accent 11,Normal numbered,List Paragraph2"/>
    <w:basedOn w:val="Normal"/>
    <w:link w:val="ListParagraphChar"/>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character" w:styleId="FootnoteReference">
    <w:name w:val="footnote reference"/>
    <w:basedOn w:val="DefaultParagraphFont"/>
    <w:semiHidden/>
    <w:unhideWhenUsed/>
    <w:rsid w:val="007E42CC"/>
    <w:rPr>
      <w:vertAlign w:val="superscript"/>
    </w:rPr>
  </w:style>
  <w:style w:type="paragraph" w:customStyle="1" w:styleId="H1">
    <w:name w:val="H1"/>
    <w:basedOn w:val="Normal"/>
    <w:next w:val="N1"/>
    <w:rsid w:val="007E42CC"/>
    <w:pPr>
      <w:keepNext/>
      <w:spacing w:before="320" w:after="0" w:line="220" w:lineRule="atLeast"/>
      <w:jc w:val="both"/>
    </w:pPr>
    <w:rPr>
      <w:rFonts w:ascii="Times New Roman" w:eastAsia="Times New Roman" w:hAnsi="Times New Roman"/>
      <w:b/>
      <w:sz w:val="21"/>
      <w:szCs w:val="20"/>
    </w:rPr>
  </w:style>
  <w:style w:type="paragraph" w:customStyle="1" w:styleId="N1">
    <w:name w:val="N1"/>
    <w:basedOn w:val="Normal"/>
    <w:rsid w:val="007E42CC"/>
    <w:pPr>
      <w:numPr>
        <w:numId w:val="16"/>
      </w:numPr>
      <w:spacing w:before="160" w:after="0" w:line="220" w:lineRule="atLeast"/>
      <w:jc w:val="both"/>
    </w:pPr>
    <w:rPr>
      <w:rFonts w:ascii="Times New Roman" w:eastAsia="Times New Roman" w:hAnsi="Times New Roman"/>
      <w:sz w:val="21"/>
      <w:szCs w:val="20"/>
    </w:rPr>
  </w:style>
  <w:style w:type="paragraph" w:customStyle="1" w:styleId="N2">
    <w:name w:val="N2"/>
    <w:basedOn w:val="N1"/>
    <w:rsid w:val="007E42CC"/>
    <w:pPr>
      <w:numPr>
        <w:ilvl w:val="1"/>
      </w:numPr>
      <w:spacing w:before="80"/>
    </w:pPr>
  </w:style>
  <w:style w:type="paragraph" w:customStyle="1" w:styleId="N3">
    <w:name w:val="N3"/>
    <w:basedOn w:val="N2"/>
    <w:rsid w:val="007E42CC"/>
    <w:pPr>
      <w:numPr>
        <w:ilvl w:val="2"/>
      </w:numPr>
    </w:pPr>
  </w:style>
  <w:style w:type="paragraph" w:customStyle="1" w:styleId="N4">
    <w:name w:val="N4"/>
    <w:basedOn w:val="N3"/>
    <w:rsid w:val="007E42CC"/>
    <w:pPr>
      <w:numPr>
        <w:ilvl w:val="3"/>
      </w:numPr>
    </w:pPr>
  </w:style>
  <w:style w:type="paragraph" w:customStyle="1" w:styleId="N5">
    <w:name w:val="N5"/>
    <w:basedOn w:val="N4"/>
    <w:rsid w:val="007E42CC"/>
    <w:pPr>
      <w:numPr>
        <w:ilvl w:val="4"/>
      </w:numPr>
    </w:pPr>
  </w:style>
  <w:style w:type="character" w:customStyle="1" w:styleId="ListParagraphChar">
    <w:name w:val="List Paragraph Char"/>
    <w:aliases w:val="Dot pt Char,No Spacing1 Char,List Paragraph Char Char Char Char,Indicator Text Char,List Paragraph1 Char,Numbered Para 1 Char,Bullet 1 Char,List Paragraph12 Char,Bullet Style Char,F5 List Paragraph Char,Bullet Points Char"/>
    <w:link w:val="ListParagraph"/>
    <w:uiPriority w:val="34"/>
    <w:qFormat/>
    <w:locked/>
    <w:rsid w:val="007E42CC"/>
    <w:rPr>
      <w:sz w:val="24"/>
      <w:szCs w:val="22"/>
      <w:lang w:eastAsia="en-US"/>
    </w:rPr>
  </w:style>
  <w:style w:type="character" w:styleId="UnresolvedMention">
    <w:name w:val="Unresolved Mention"/>
    <w:basedOn w:val="DefaultParagraphFont"/>
    <w:uiPriority w:val="99"/>
    <w:semiHidden/>
    <w:unhideWhenUsed/>
    <w:rsid w:val="0084187E"/>
    <w:rPr>
      <w:color w:val="605E5C"/>
      <w:shd w:val="clear" w:color="auto" w:fill="E1DFDD"/>
    </w:rPr>
  </w:style>
  <w:style w:type="paragraph" w:styleId="Revision">
    <w:name w:val="Revision"/>
    <w:hidden/>
    <w:uiPriority w:val="99"/>
    <w:semiHidden/>
    <w:rsid w:val="00E61CAD"/>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468479850">
      <w:bodyDiv w:val="1"/>
      <w:marLeft w:val="0"/>
      <w:marRight w:val="0"/>
      <w:marTop w:val="0"/>
      <w:marBottom w:val="0"/>
      <w:divBdr>
        <w:top w:val="none" w:sz="0" w:space="0" w:color="auto"/>
        <w:left w:val="none" w:sz="0" w:space="0" w:color="auto"/>
        <w:bottom w:val="none" w:sz="0" w:space="0" w:color="auto"/>
        <w:right w:val="none" w:sz="0" w:space="0" w:color="auto"/>
      </w:divBdr>
    </w:div>
    <w:div w:id="479738076">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450977025">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245440">
      <w:bodyDiv w:val="1"/>
      <w:marLeft w:val="0"/>
      <w:marRight w:val="0"/>
      <w:marTop w:val="0"/>
      <w:marBottom w:val="0"/>
      <w:divBdr>
        <w:top w:val="none" w:sz="0" w:space="0" w:color="auto"/>
        <w:left w:val="none" w:sz="0" w:space="0" w:color="auto"/>
        <w:bottom w:val="none" w:sz="0" w:space="0" w:color="auto"/>
        <w:right w:val="none" w:sz="0" w:space="0" w:color="auto"/>
      </w:divBdr>
    </w:div>
    <w:div w:id="1825658392">
      <w:bodyDiv w:val="1"/>
      <w:marLeft w:val="0"/>
      <w:marRight w:val="0"/>
      <w:marTop w:val="0"/>
      <w:marBottom w:val="0"/>
      <w:divBdr>
        <w:top w:val="none" w:sz="0" w:space="0" w:color="auto"/>
        <w:left w:val="none" w:sz="0" w:space="0" w:color="auto"/>
        <w:bottom w:val="none" w:sz="0" w:space="0" w:color="auto"/>
        <w:right w:val="none" w:sz="0" w:space="0" w:color="auto"/>
      </w:divBdr>
    </w:div>
    <w:div w:id="20915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consult.defra.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organisations/department-for-environment-foodrural-affairs/about/personal-information-charter"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gov.uk/defra" TargetMode="External"/><Relationship Id="rId25" Type="http://schemas.openxmlformats.org/officeDocument/2006/relationships/hyperlink" Target="mailto:consultation.coordinator@defra.gov.uk" TargetMode="External"/><Relationship Id="rId2" Type="http://schemas.openxmlformats.org/officeDocument/2006/relationships/customXml" Target="../customXml/item2.xml"/><Relationship Id="rId16" Type="http://schemas.openxmlformats.org/officeDocument/2006/relationships/hyperlink" Target="mailto:rohs@defra.gov.uk" TargetMode="External"/><Relationship Id="rId20" Type="http://schemas.openxmlformats.org/officeDocument/2006/relationships/hyperlink" Target="mailto:consultation.coordinator@defra.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consultation-principles-guidance" TargetMode="External"/><Relationship Id="rId5" Type="http://schemas.openxmlformats.org/officeDocument/2006/relationships/customXml" Target="../customXml/item5.xml"/><Relationship Id="rId15" Type="http://schemas.openxmlformats.org/officeDocument/2006/relationships/hyperlink" Target="http://www.gov.uk/government/publications" TargetMode="External"/><Relationship Id="rId23" Type="http://schemas.openxmlformats.org/officeDocument/2006/relationships/hyperlink" Target="http://www.gov.uk/defra"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rohs@defra.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tionalarchives.gov.uk/doc/open-government-licence/" TargetMode="External"/><Relationship Id="rId22" Type="http://schemas.openxmlformats.org/officeDocument/2006/relationships/hyperlink" Target="mailto:consultation.coordinator@defra.gov.uk"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The212</b:Tag>
    <b:SourceType>DocumentFromInternetSite</b:SourceType>
    <b:Guid>{6DDB4030-1A02-4841-9B1E-E6FF7F3FDC95}</b:Guid>
    <b:Title>The Restriction of the Use of Certain Hazardous Substances in Electrical and Electronic Equipment Regulations 2012</b:Title>
    <b:YearAccessed>2021</b:YearAccessed>
    <b:MonthAccessed>March</b:MonthAccessed>
    <b:DayAccessed>26</b:DayAccessed>
    <b:URL>https://www.legislation.gov.uk/uksi/2012/3032/contents</b:URL>
    <b:StandardNumber>SI 2012 No. 3032</b:StandardNumber>
    <b:RefOrder>2</b:RefOrder>
  </b:Source>
</b:Sources>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F4DA97ED4AC6904E8E39CDDC8BBE9411" ma:contentTypeVersion="68" ma:contentTypeDescription="new Document or upload" ma:contentTypeScope="" ma:versionID="d1a4b0b99469711f84c2d8615bdcd99e">
  <xsd:schema xmlns:xsd="http://www.w3.org/2001/XMLSchema" xmlns:xs="http://www.w3.org/2001/XMLSchema" xmlns:p="http://schemas.microsoft.com/office/2006/metadata/properties" xmlns:ns2="0f50e317-d97a-4d4b-be23-be7479f90fa5" xmlns:ns3="662745e8-e224-48e8-a2e3-254862b8c2f5" targetNamespace="http://schemas.microsoft.com/office/2006/metadata/properties" ma:root="true" ma:fieldsID="8acd7212eb135fe213424cc032bbf0ce" ns2:_="" ns3:_="">
    <xsd:import namespace="0f50e317-d97a-4d4b-be23-be7479f90fa5"/>
    <xsd:import namespace="662745e8-e224-48e8-a2e3-254862b8c2f5"/>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0e317-d97a-4d4b-be23-be7479f90fa5"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Product Regulation  Producer Responsibility" ma:internalName="Team">
      <xsd:simpleType>
        <xsd:restriction base="dms:Text"/>
      </xsd:simpleType>
    </xsd:element>
    <xsd:element name="Topic" ma:index="18" nillable="true" ma:displayName="Topic" ma:default="RoH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fe687922-7f58-4d89-b0e5-5b659cfa404b}" ma:internalName="TaxCatchAllLabel" ma:readOnly="false" ma:showField="CatchAllDataLabel" ma:web="0f50e317-d97a-4d4b-be23-be7479f90fa5">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fe687922-7f58-4d89-b0e5-5b659cfa404b}" ma:internalName="TaxCatchAll" ma:readOnly="false" ma:showField="CatchAllData" ma:web="0f50e317-d97a-4d4b-be23-be7479f90f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Artwork</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14</Value>
      <Value>10</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Digital Products and Design Artwork</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lc_EmailFrom xmlns="0f50e317-d97a-4d4b-be23-be7479f90fa5" xsi:nil="true"/>
    <TaxCatchAllLabel xmlns="662745e8-e224-48e8-a2e3-254862b8c2f5"/>
    <dlc_EmailTo xmlns="0f50e317-d97a-4d4b-be23-be7479f90fa5" xsi:nil="true"/>
    <dlc_EmailSubject xmlns="0f50e317-d97a-4d4b-be23-be7479f90fa5" xsi:nil="true"/>
    <dlc_EmailReceivedUTC xmlns="0f50e317-d97a-4d4b-be23-be7479f90fa5" xsi:nil="true"/>
    <dlc_EmailCC xmlns="0f50e317-d97a-4d4b-be23-be7479f90fa5" xsi:nil="true"/>
    <bcb1675984d34ae3a1ed6b6e433c98de xmlns="0f50e317-d97a-4d4b-be23-be7479f90fa5">
      <Terms xmlns="http://schemas.microsoft.com/office/infopath/2007/PartnerControls"/>
    </bcb1675984d34ae3a1ed6b6e433c98de>
    <dlc_EmailSentUTC xmlns="0f50e317-d97a-4d4b-be23-be7479f90fa5" xsi:nil="true"/>
    <peb8f3fab875401ca34a9f28cac46400 xmlns="0f50e317-d97a-4d4b-be23-be7479f90fa5">
      <Terms xmlns="http://schemas.microsoft.com/office/infopath/2007/PartnerControls"/>
    </peb8f3fab875401ca34a9f28cac46400>
  </documentManagement>
</p:properties>
</file>

<file path=customXml/itemProps1.xml><?xml version="1.0" encoding="utf-8"?>
<ds:datastoreItem xmlns:ds="http://schemas.openxmlformats.org/officeDocument/2006/customXml" ds:itemID="{A04A2553-A992-4BEE-B4DA-BCFB6E30752A}">
  <ds:schemaRefs>
    <ds:schemaRef ds:uri="Microsoft.SharePoint.Taxonomy.ContentTypeSync"/>
  </ds:schemaRefs>
</ds:datastoreItem>
</file>

<file path=customXml/itemProps2.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3.xml><?xml version="1.0" encoding="utf-8"?>
<ds:datastoreItem xmlns:ds="http://schemas.openxmlformats.org/officeDocument/2006/customXml" ds:itemID="{F77F2A13-CA49-48EC-85A2-44C17E3AEFE6}">
  <ds:schemaRefs>
    <ds:schemaRef ds:uri="http://schemas.openxmlformats.org/officeDocument/2006/bibliography"/>
  </ds:schemaRefs>
</ds:datastoreItem>
</file>

<file path=customXml/itemProps4.xml><?xml version="1.0" encoding="utf-8"?>
<ds:datastoreItem xmlns:ds="http://schemas.openxmlformats.org/officeDocument/2006/customXml" ds:itemID="{F1DEF9DA-8B61-4B04-9238-54BF0DBB2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0e317-d97a-4d4b-be23-be7479f90fa5"/>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662745e8-e224-48e8-a2e3-254862b8c2f5"/>
    <ds:schemaRef ds:uri="0f50e317-d97a-4d4b-be23-be7479f90fa5"/>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1</TotalTime>
  <Pages>13</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Manager/>
  <Company>Environment Agency</Company>
  <LinksUpToDate>false</LinksUpToDate>
  <CharactersWithSpaces>21986</CharactersWithSpaces>
  <SharedDoc>false</SharedDoc>
  <HyperlinkBase/>
  <HLinks>
    <vt:vector size="138" baseType="variant">
      <vt:variant>
        <vt:i4>7471195</vt:i4>
      </vt:variant>
      <vt:variant>
        <vt:i4>108</vt:i4>
      </vt:variant>
      <vt:variant>
        <vt:i4>0</vt:i4>
      </vt:variant>
      <vt:variant>
        <vt:i4>5</vt:i4>
      </vt:variant>
      <vt:variant>
        <vt:lpwstr>mailto:consultation.coordinator@defra.gov.uk</vt:lpwstr>
      </vt:variant>
      <vt:variant>
        <vt:lpwstr/>
      </vt:variant>
      <vt:variant>
        <vt:i4>6488167</vt:i4>
      </vt:variant>
      <vt:variant>
        <vt:i4>105</vt:i4>
      </vt:variant>
      <vt:variant>
        <vt:i4>0</vt:i4>
      </vt:variant>
      <vt:variant>
        <vt:i4>5</vt:i4>
      </vt:variant>
      <vt:variant>
        <vt:lpwstr>https://www.gov.uk/government/publications/consultation-principles-guidance</vt:lpwstr>
      </vt:variant>
      <vt:variant>
        <vt:lpwstr/>
      </vt:variant>
      <vt:variant>
        <vt:i4>7798904</vt:i4>
      </vt:variant>
      <vt:variant>
        <vt:i4>102</vt:i4>
      </vt:variant>
      <vt:variant>
        <vt:i4>0</vt:i4>
      </vt:variant>
      <vt:variant>
        <vt:i4>5</vt:i4>
      </vt:variant>
      <vt:variant>
        <vt:lpwstr>http://www.gov.uk/defra</vt:lpwstr>
      </vt:variant>
      <vt:variant>
        <vt:lpwstr/>
      </vt:variant>
      <vt:variant>
        <vt:i4>7471195</vt:i4>
      </vt:variant>
      <vt:variant>
        <vt:i4>99</vt:i4>
      </vt:variant>
      <vt:variant>
        <vt:i4>0</vt:i4>
      </vt:variant>
      <vt:variant>
        <vt:i4>5</vt:i4>
      </vt:variant>
      <vt:variant>
        <vt:lpwstr>mailto:consultation.coordinator@defra.gov.uk</vt:lpwstr>
      </vt:variant>
      <vt:variant>
        <vt:lpwstr/>
      </vt:variant>
      <vt:variant>
        <vt:i4>7471195</vt:i4>
      </vt:variant>
      <vt:variant>
        <vt:i4>93</vt:i4>
      </vt:variant>
      <vt:variant>
        <vt:i4>0</vt:i4>
      </vt:variant>
      <vt:variant>
        <vt:i4>5</vt:i4>
      </vt:variant>
      <vt:variant>
        <vt:lpwstr>mailto:consultation.coordinator@defra.gov.uk</vt:lpwstr>
      </vt:variant>
      <vt:variant>
        <vt:lpwstr/>
      </vt:variant>
      <vt:variant>
        <vt:i4>2818129</vt:i4>
      </vt:variant>
      <vt:variant>
        <vt:i4>90</vt:i4>
      </vt:variant>
      <vt:variant>
        <vt:i4>0</vt:i4>
      </vt:variant>
      <vt:variant>
        <vt:i4>5</vt:i4>
      </vt:variant>
      <vt:variant>
        <vt:lpwstr>mailto:rohs@defra.gov.uk</vt:lpwstr>
      </vt:variant>
      <vt:variant>
        <vt:lpwstr/>
      </vt:variant>
      <vt:variant>
        <vt:i4>6029387</vt:i4>
      </vt:variant>
      <vt:variant>
        <vt:i4>87</vt:i4>
      </vt:variant>
      <vt:variant>
        <vt:i4>0</vt:i4>
      </vt:variant>
      <vt:variant>
        <vt:i4>5</vt:i4>
      </vt:variant>
      <vt:variant>
        <vt:lpwstr>https://consult.defra.gov.uk/</vt:lpwstr>
      </vt:variant>
      <vt:variant>
        <vt:lpwstr/>
      </vt:variant>
      <vt:variant>
        <vt:i4>1900603</vt:i4>
      </vt:variant>
      <vt:variant>
        <vt:i4>80</vt:i4>
      </vt:variant>
      <vt:variant>
        <vt:i4>0</vt:i4>
      </vt:variant>
      <vt:variant>
        <vt:i4>5</vt:i4>
      </vt:variant>
      <vt:variant>
        <vt:lpwstr/>
      </vt:variant>
      <vt:variant>
        <vt:lpwstr>_Toc81386063</vt:lpwstr>
      </vt:variant>
      <vt:variant>
        <vt:i4>1835067</vt:i4>
      </vt:variant>
      <vt:variant>
        <vt:i4>74</vt:i4>
      </vt:variant>
      <vt:variant>
        <vt:i4>0</vt:i4>
      </vt:variant>
      <vt:variant>
        <vt:i4>5</vt:i4>
      </vt:variant>
      <vt:variant>
        <vt:lpwstr/>
      </vt:variant>
      <vt:variant>
        <vt:lpwstr>_Toc81386062</vt:lpwstr>
      </vt:variant>
      <vt:variant>
        <vt:i4>2031675</vt:i4>
      </vt:variant>
      <vt:variant>
        <vt:i4>68</vt:i4>
      </vt:variant>
      <vt:variant>
        <vt:i4>0</vt:i4>
      </vt:variant>
      <vt:variant>
        <vt:i4>5</vt:i4>
      </vt:variant>
      <vt:variant>
        <vt:lpwstr/>
      </vt:variant>
      <vt:variant>
        <vt:lpwstr>_Toc81386061</vt:lpwstr>
      </vt:variant>
      <vt:variant>
        <vt:i4>1966139</vt:i4>
      </vt:variant>
      <vt:variant>
        <vt:i4>62</vt:i4>
      </vt:variant>
      <vt:variant>
        <vt:i4>0</vt:i4>
      </vt:variant>
      <vt:variant>
        <vt:i4>5</vt:i4>
      </vt:variant>
      <vt:variant>
        <vt:lpwstr/>
      </vt:variant>
      <vt:variant>
        <vt:lpwstr>_Toc81386060</vt:lpwstr>
      </vt:variant>
      <vt:variant>
        <vt:i4>1507384</vt:i4>
      </vt:variant>
      <vt:variant>
        <vt:i4>56</vt:i4>
      </vt:variant>
      <vt:variant>
        <vt:i4>0</vt:i4>
      </vt:variant>
      <vt:variant>
        <vt:i4>5</vt:i4>
      </vt:variant>
      <vt:variant>
        <vt:lpwstr/>
      </vt:variant>
      <vt:variant>
        <vt:lpwstr>_Toc81386059</vt:lpwstr>
      </vt:variant>
      <vt:variant>
        <vt:i4>1441848</vt:i4>
      </vt:variant>
      <vt:variant>
        <vt:i4>50</vt:i4>
      </vt:variant>
      <vt:variant>
        <vt:i4>0</vt:i4>
      </vt:variant>
      <vt:variant>
        <vt:i4>5</vt:i4>
      </vt:variant>
      <vt:variant>
        <vt:lpwstr/>
      </vt:variant>
      <vt:variant>
        <vt:lpwstr>_Toc81386058</vt:lpwstr>
      </vt:variant>
      <vt:variant>
        <vt:i4>1638456</vt:i4>
      </vt:variant>
      <vt:variant>
        <vt:i4>44</vt:i4>
      </vt:variant>
      <vt:variant>
        <vt:i4>0</vt:i4>
      </vt:variant>
      <vt:variant>
        <vt:i4>5</vt:i4>
      </vt:variant>
      <vt:variant>
        <vt:lpwstr/>
      </vt:variant>
      <vt:variant>
        <vt:lpwstr>_Toc81386057</vt:lpwstr>
      </vt:variant>
      <vt:variant>
        <vt:i4>1572920</vt:i4>
      </vt:variant>
      <vt:variant>
        <vt:i4>38</vt:i4>
      </vt:variant>
      <vt:variant>
        <vt:i4>0</vt:i4>
      </vt:variant>
      <vt:variant>
        <vt:i4>5</vt:i4>
      </vt:variant>
      <vt:variant>
        <vt:lpwstr/>
      </vt:variant>
      <vt:variant>
        <vt:lpwstr>_Toc81386056</vt:lpwstr>
      </vt:variant>
      <vt:variant>
        <vt:i4>1769528</vt:i4>
      </vt:variant>
      <vt:variant>
        <vt:i4>32</vt:i4>
      </vt:variant>
      <vt:variant>
        <vt:i4>0</vt:i4>
      </vt:variant>
      <vt:variant>
        <vt:i4>5</vt:i4>
      </vt:variant>
      <vt:variant>
        <vt:lpwstr/>
      </vt:variant>
      <vt:variant>
        <vt:lpwstr>_Toc81386055</vt:lpwstr>
      </vt:variant>
      <vt:variant>
        <vt:i4>1703992</vt:i4>
      </vt:variant>
      <vt:variant>
        <vt:i4>26</vt:i4>
      </vt:variant>
      <vt:variant>
        <vt:i4>0</vt:i4>
      </vt:variant>
      <vt:variant>
        <vt:i4>5</vt:i4>
      </vt:variant>
      <vt:variant>
        <vt:lpwstr/>
      </vt:variant>
      <vt:variant>
        <vt:lpwstr>_Toc81386054</vt:lpwstr>
      </vt:variant>
      <vt:variant>
        <vt:i4>1900600</vt:i4>
      </vt:variant>
      <vt:variant>
        <vt:i4>20</vt:i4>
      </vt:variant>
      <vt:variant>
        <vt:i4>0</vt:i4>
      </vt:variant>
      <vt:variant>
        <vt:i4>5</vt:i4>
      </vt:variant>
      <vt:variant>
        <vt:lpwstr/>
      </vt:variant>
      <vt:variant>
        <vt:lpwstr>_Toc81386053</vt:lpwstr>
      </vt:variant>
      <vt:variant>
        <vt:i4>1835064</vt:i4>
      </vt:variant>
      <vt:variant>
        <vt:i4>14</vt:i4>
      </vt:variant>
      <vt:variant>
        <vt:i4>0</vt:i4>
      </vt:variant>
      <vt:variant>
        <vt:i4>5</vt:i4>
      </vt:variant>
      <vt:variant>
        <vt:lpwstr/>
      </vt:variant>
      <vt:variant>
        <vt:lpwstr>_Toc81386052</vt:lpwstr>
      </vt:variant>
      <vt:variant>
        <vt:i4>7798904</vt:i4>
      </vt:variant>
      <vt:variant>
        <vt:i4>9</vt:i4>
      </vt:variant>
      <vt:variant>
        <vt:i4>0</vt:i4>
      </vt:variant>
      <vt:variant>
        <vt:i4>5</vt:i4>
      </vt:variant>
      <vt:variant>
        <vt:lpwstr>http://www.gov.uk/defra</vt:lpwstr>
      </vt:variant>
      <vt:variant>
        <vt:lpwstr/>
      </vt:variant>
      <vt:variant>
        <vt:i4>2818129</vt:i4>
      </vt:variant>
      <vt:variant>
        <vt:i4>6</vt:i4>
      </vt:variant>
      <vt:variant>
        <vt:i4>0</vt:i4>
      </vt:variant>
      <vt:variant>
        <vt:i4>5</vt:i4>
      </vt:variant>
      <vt:variant>
        <vt:lpwstr>mailto:rohs@defra.gov.uk</vt:lpwstr>
      </vt:variant>
      <vt:variant>
        <vt:lpwstr/>
      </vt:variant>
      <vt:variant>
        <vt:i4>524372</vt:i4>
      </vt:variant>
      <vt:variant>
        <vt:i4>3</vt:i4>
      </vt:variant>
      <vt:variant>
        <vt:i4>0</vt:i4>
      </vt:variant>
      <vt:variant>
        <vt:i4>5</vt:i4>
      </vt:variant>
      <vt:variant>
        <vt:lpwstr>http://www.gov.uk/government/publications</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Mathew (Defra)</dc:creator>
  <cp:keywords/>
  <cp:lastModifiedBy>Moorman, Liz</cp:lastModifiedBy>
  <cp:revision>2</cp:revision>
  <cp:lastPrinted>2021-09-09T13:24:00Z</cp:lastPrinted>
  <dcterms:created xsi:type="dcterms:W3CDTF">2021-09-14T08:05:00Z</dcterms:created>
  <dcterms:modified xsi:type="dcterms:W3CDTF">2021-09-14T08:05:00Z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0x010100A5BF1C78D9F64B679A5EBDE1C6598EBC0100F4DA97ED4AC6904E8E39CDDC8BBE9411</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14;#Internal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SecurityClassification">
    <vt:lpwstr/>
  </property>
  <property fmtid="{D5CDD505-2E9C-101B-9397-08002B2CF9AE}" pid="13" name="Directorate">
    <vt:lpwstr/>
  </property>
</Properties>
</file>