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A39C8" w14:textId="77777777" w:rsidR="00DF0568" w:rsidRDefault="00DF0568" w:rsidP="006D4B3D">
      <w:pPr>
        <w:spacing w:after="0" w:line="259" w:lineRule="auto"/>
        <w:ind w:left="18" w:firstLine="0"/>
        <w:jc w:val="both"/>
      </w:pPr>
      <w:r>
        <w:rPr>
          <w:noProof/>
        </w:rPr>
        <w:drawing>
          <wp:inline distT="0" distB="0" distL="0" distR="0" wp14:anchorId="05E5ECB6" wp14:editId="60B6ACAD">
            <wp:extent cx="2178685" cy="1117600"/>
            <wp:effectExtent l="0" t="0" r="0" b="0"/>
            <wp:docPr id="28" name="Picture 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78685" cy="1117600"/>
                    </a:xfrm>
                    <a:prstGeom prst="rect">
                      <a:avLst/>
                    </a:prstGeom>
                  </pic:spPr>
                </pic:pic>
              </a:graphicData>
            </a:graphic>
          </wp:inline>
        </w:drawing>
      </w:r>
      <w:r>
        <w:t xml:space="preserve"> </w:t>
      </w:r>
    </w:p>
    <w:p w14:paraId="49F770F1" w14:textId="77777777" w:rsidR="00DF0568" w:rsidRDefault="00DF0568" w:rsidP="006D4B3D">
      <w:pPr>
        <w:spacing w:after="2908" w:line="259" w:lineRule="auto"/>
        <w:ind w:left="3445" w:firstLine="0"/>
        <w:jc w:val="both"/>
      </w:pPr>
      <w:r>
        <w:t xml:space="preserve">  </w:t>
      </w:r>
    </w:p>
    <w:p w14:paraId="34B4ABBD" w14:textId="77777777" w:rsidR="00DF0568" w:rsidRDefault="00DF0568" w:rsidP="006D4B3D">
      <w:pPr>
        <w:spacing w:after="61" w:line="259" w:lineRule="auto"/>
        <w:ind w:left="9"/>
        <w:jc w:val="both"/>
      </w:pPr>
      <w:r>
        <w:rPr>
          <w:color w:val="00AD41"/>
          <w:sz w:val="72"/>
        </w:rPr>
        <w:t xml:space="preserve">Waste Electrical and  </w:t>
      </w:r>
    </w:p>
    <w:p w14:paraId="122D3181" w14:textId="77777777" w:rsidR="00DF0568" w:rsidRDefault="00DF0568" w:rsidP="006D4B3D">
      <w:pPr>
        <w:spacing w:after="61" w:line="259" w:lineRule="auto"/>
        <w:ind w:left="9"/>
        <w:jc w:val="both"/>
      </w:pPr>
      <w:r>
        <w:rPr>
          <w:color w:val="00AD41"/>
          <w:sz w:val="72"/>
        </w:rPr>
        <w:t>Electronic Equipment (WEEE)</w:t>
      </w:r>
      <w:r>
        <w:t xml:space="preserve"> </w:t>
      </w:r>
    </w:p>
    <w:p w14:paraId="6AD0CC0C" w14:textId="77777777" w:rsidR="00DF0568" w:rsidRDefault="00DF0568" w:rsidP="006D4B3D">
      <w:pPr>
        <w:spacing w:after="0" w:line="259" w:lineRule="auto"/>
        <w:ind w:left="9"/>
        <w:jc w:val="both"/>
      </w:pPr>
      <w:r>
        <w:rPr>
          <w:color w:val="00AD41"/>
          <w:sz w:val="72"/>
        </w:rPr>
        <w:t xml:space="preserve">Regulations 2013 </w:t>
      </w:r>
      <w:r>
        <w:t xml:space="preserve"> </w:t>
      </w:r>
    </w:p>
    <w:p w14:paraId="6730CC50" w14:textId="77777777" w:rsidR="00DF0568" w:rsidRDefault="00DF0568" w:rsidP="006D4B3D">
      <w:pPr>
        <w:spacing w:after="0" w:line="276" w:lineRule="auto"/>
        <w:ind w:left="14" w:firstLine="1"/>
        <w:jc w:val="both"/>
      </w:pPr>
      <w:r>
        <w:rPr>
          <w:b/>
          <w:color w:val="00AD41"/>
          <w:sz w:val="56"/>
        </w:rPr>
        <w:t xml:space="preserve">Guidance on submitting proposals for a WEEE Compliance Fee Methodology  </w:t>
      </w:r>
    </w:p>
    <w:p w14:paraId="561AFEE4" w14:textId="6BC4D75A" w:rsidR="00DF0568" w:rsidRDefault="006D4B3D" w:rsidP="006D4B3D">
      <w:pPr>
        <w:spacing w:after="0" w:line="259" w:lineRule="auto"/>
        <w:ind w:left="16" w:firstLine="0"/>
        <w:jc w:val="both"/>
        <w:rPr>
          <w:b/>
          <w:bCs/>
          <w:color w:val="00AD41"/>
          <w:sz w:val="32"/>
          <w:szCs w:val="32"/>
        </w:rPr>
      </w:pPr>
      <w:r>
        <w:rPr>
          <w:b/>
          <w:bCs/>
          <w:color w:val="00AD41"/>
          <w:sz w:val="32"/>
          <w:szCs w:val="32"/>
        </w:rPr>
        <w:t>202</w:t>
      </w:r>
      <w:r w:rsidR="00660375">
        <w:rPr>
          <w:b/>
          <w:bCs/>
          <w:color w:val="00AD41"/>
          <w:sz w:val="32"/>
          <w:szCs w:val="32"/>
        </w:rPr>
        <w:t>3</w:t>
      </w:r>
      <w:r>
        <w:rPr>
          <w:b/>
          <w:bCs/>
          <w:color w:val="00AD41"/>
          <w:sz w:val="32"/>
          <w:szCs w:val="32"/>
        </w:rPr>
        <w:t xml:space="preserve"> Guidance</w:t>
      </w:r>
    </w:p>
    <w:p w14:paraId="64B144E5" w14:textId="77777777" w:rsidR="00DF0568" w:rsidRDefault="00DF0568" w:rsidP="006D4B3D">
      <w:pPr>
        <w:spacing w:after="207" w:line="259" w:lineRule="auto"/>
        <w:ind w:left="23" w:firstLine="0"/>
        <w:jc w:val="both"/>
      </w:pPr>
      <w:r>
        <w:t xml:space="preserve"> </w:t>
      </w:r>
    </w:p>
    <w:p w14:paraId="7FACFDBF" w14:textId="77777777" w:rsidR="00DF0568" w:rsidRDefault="00DF0568" w:rsidP="006D4B3D">
      <w:pPr>
        <w:spacing w:after="206" w:line="259" w:lineRule="auto"/>
        <w:ind w:left="23" w:firstLine="0"/>
        <w:jc w:val="both"/>
      </w:pPr>
      <w:r>
        <w:t xml:space="preserve"> </w:t>
      </w:r>
    </w:p>
    <w:p w14:paraId="2A8F928E" w14:textId="77777777" w:rsidR="00DF0568" w:rsidRDefault="00DF0568" w:rsidP="006D4B3D">
      <w:pPr>
        <w:spacing w:after="207" w:line="259" w:lineRule="auto"/>
        <w:ind w:left="23" w:firstLine="0"/>
        <w:jc w:val="both"/>
      </w:pPr>
      <w:r>
        <w:t xml:space="preserve"> </w:t>
      </w:r>
    </w:p>
    <w:p w14:paraId="60F62953" w14:textId="77777777" w:rsidR="00DF0568" w:rsidRDefault="00DF0568" w:rsidP="006D4B3D">
      <w:pPr>
        <w:spacing w:after="207" w:line="259" w:lineRule="auto"/>
        <w:ind w:left="23" w:firstLine="0"/>
        <w:jc w:val="both"/>
      </w:pPr>
      <w:r>
        <w:t xml:space="preserve"> </w:t>
      </w:r>
    </w:p>
    <w:p w14:paraId="5E9C49E4" w14:textId="77777777" w:rsidR="00DF0568" w:rsidRDefault="00DF0568" w:rsidP="006D4B3D">
      <w:pPr>
        <w:spacing w:after="206" w:line="259" w:lineRule="auto"/>
        <w:ind w:left="23" w:firstLine="0"/>
        <w:jc w:val="both"/>
      </w:pPr>
      <w:r>
        <w:t xml:space="preserve"> </w:t>
      </w:r>
    </w:p>
    <w:p w14:paraId="2CCB8985" w14:textId="77777777" w:rsidR="00DF0568" w:rsidRDefault="00DF0568" w:rsidP="006D4B3D">
      <w:pPr>
        <w:spacing w:after="207" w:line="259" w:lineRule="auto"/>
        <w:ind w:left="23" w:firstLine="0"/>
        <w:jc w:val="both"/>
      </w:pPr>
      <w:r>
        <w:t xml:space="preserve"> </w:t>
      </w:r>
    </w:p>
    <w:p w14:paraId="1767770E" w14:textId="77777777" w:rsidR="00DF0568" w:rsidRDefault="00DF0568" w:rsidP="006D4B3D">
      <w:pPr>
        <w:spacing w:after="207" w:line="259" w:lineRule="auto"/>
        <w:ind w:left="23" w:firstLine="0"/>
        <w:jc w:val="both"/>
      </w:pPr>
      <w:r>
        <w:t xml:space="preserve"> </w:t>
      </w:r>
    </w:p>
    <w:p w14:paraId="774F0F5A" w14:textId="77777777" w:rsidR="00DF0568" w:rsidRDefault="00DF0568" w:rsidP="006D4B3D">
      <w:pPr>
        <w:spacing w:after="597" w:line="259" w:lineRule="auto"/>
        <w:ind w:left="23" w:firstLine="0"/>
        <w:jc w:val="both"/>
      </w:pPr>
      <w:r>
        <w:lastRenderedPageBreak/>
        <w:t xml:space="preserve"> </w:t>
      </w:r>
    </w:p>
    <w:p w14:paraId="2F0CE389" w14:textId="77777777" w:rsidR="00DF0568" w:rsidRDefault="00DF0568" w:rsidP="006D4B3D">
      <w:pPr>
        <w:spacing w:after="0" w:line="259" w:lineRule="auto"/>
        <w:ind w:left="14" w:firstLine="0"/>
        <w:jc w:val="both"/>
      </w:pPr>
      <w:r>
        <w:t xml:space="preserve"> </w:t>
      </w:r>
    </w:p>
    <w:p w14:paraId="1C81D1B8" w14:textId="77777777" w:rsidR="00DF0568" w:rsidRDefault="00DF0568" w:rsidP="006D4B3D">
      <w:pPr>
        <w:spacing w:after="154" w:line="259" w:lineRule="auto"/>
        <w:ind w:left="23" w:firstLine="0"/>
        <w:jc w:val="both"/>
      </w:pPr>
      <w:r>
        <w:rPr>
          <w:noProof/>
        </w:rPr>
        <w:drawing>
          <wp:inline distT="0" distB="0" distL="0" distR="0" wp14:anchorId="5B0B4947" wp14:editId="5B07203A">
            <wp:extent cx="768096" cy="316992"/>
            <wp:effectExtent l="0" t="0" r="0" b="0"/>
            <wp:docPr id="4669" name="Picture 46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669"/>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8096" cy="316992"/>
                    </a:xfrm>
                    <a:prstGeom prst="rect">
                      <a:avLst/>
                    </a:prstGeom>
                  </pic:spPr>
                </pic:pic>
              </a:graphicData>
            </a:graphic>
          </wp:inline>
        </w:drawing>
      </w:r>
      <w:r>
        <w:t xml:space="preserve">  </w:t>
      </w:r>
    </w:p>
    <w:p w14:paraId="3B57363E" w14:textId="77777777" w:rsidR="00DF0568" w:rsidRDefault="00DF0568" w:rsidP="006D4B3D">
      <w:pPr>
        <w:spacing w:after="257"/>
        <w:ind w:left="11"/>
        <w:jc w:val="both"/>
      </w:pPr>
      <w:r>
        <w:t xml:space="preserve">© Crown copyright 2016  </w:t>
      </w:r>
    </w:p>
    <w:p w14:paraId="1BC8BD6B" w14:textId="77777777" w:rsidR="00DF0568" w:rsidRDefault="00DF0568" w:rsidP="006D4B3D">
      <w:pPr>
        <w:spacing w:after="258"/>
        <w:ind w:left="11" w:right="94"/>
        <w:jc w:val="both"/>
      </w:pPr>
      <w:r>
        <w:t xml:space="preserve">You may re-use this information (excluding logos) free of charge in any format or medium, under the terms of the Open Government Licence v.3. To view this licence visit </w:t>
      </w:r>
      <w:hyperlink r:id="rId9">
        <w:r>
          <w:rPr>
            <w:color w:val="0000FF"/>
            <w:u w:val="single" w:color="0000FF"/>
          </w:rPr>
          <w:t>www.nationalarchives.gov.uk/doc/open-government-licence/version/3</w:t>
        </w:r>
      </w:hyperlink>
      <w:hyperlink r:id="rId10">
        <w:r>
          <w:rPr>
            <w:color w:val="0000FF"/>
            <w:u w:val="single" w:color="0000FF"/>
          </w:rPr>
          <w:t>/</w:t>
        </w:r>
      </w:hyperlink>
      <w:hyperlink r:id="rId11">
        <w:r>
          <w:t xml:space="preserve"> </w:t>
        </w:r>
      </w:hyperlink>
      <w:hyperlink r:id="rId12">
        <w:r>
          <w:t>o</w:t>
        </w:r>
      </w:hyperlink>
      <w:r>
        <w:t xml:space="preserve">r email </w:t>
      </w:r>
      <w:r>
        <w:rPr>
          <w:color w:val="0000FF"/>
          <w:u w:val="single" w:color="0000FF"/>
        </w:rPr>
        <w:t>PSI@nationalarchives.gsi.gov.uk</w:t>
      </w:r>
      <w:r>
        <w:t xml:space="preserve">    </w:t>
      </w:r>
    </w:p>
    <w:p w14:paraId="7F1783FD" w14:textId="77777777" w:rsidR="00DF0568" w:rsidRDefault="00DF0568" w:rsidP="006D4B3D">
      <w:pPr>
        <w:spacing w:after="258" w:line="259" w:lineRule="auto"/>
        <w:ind w:left="11"/>
        <w:jc w:val="both"/>
      </w:pPr>
      <w:r>
        <w:t xml:space="preserve">This publication is available at </w:t>
      </w:r>
      <w:hyperlink r:id="rId13">
        <w:r>
          <w:rPr>
            <w:color w:val="0000FF"/>
            <w:u w:val="single" w:color="0000FF"/>
          </w:rPr>
          <w:t>www.gov.uk/government/publication</w:t>
        </w:r>
      </w:hyperlink>
      <w:hyperlink r:id="rId14">
        <w:r>
          <w:rPr>
            <w:color w:val="0000FF"/>
            <w:u w:val="single" w:color="0000FF"/>
          </w:rPr>
          <w:t>s</w:t>
        </w:r>
      </w:hyperlink>
      <w:hyperlink r:id="rId15">
        <w:r>
          <w:t xml:space="preserve">  </w:t>
        </w:r>
      </w:hyperlink>
      <w:r>
        <w:t xml:space="preserve">  </w:t>
      </w:r>
    </w:p>
    <w:p w14:paraId="442F841C" w14:textId="77777777" w:rsidR="00DF0568" w:rsidRDefault="00DF0568" w:rsidP="006D4B3D">
      <w:pPr>
        <w:spacing w:after="257"/>
        <w:ind w:left="11"/>
        <w:jc w:val="both"/>
      </w:pPr>
      <w:r>
        <w:t xml:space="preserve">Any enquiries regarding this publication should be sent to us at  </w:t>
      </w:r>
    </w:p>
    <w:p w14:paraId="6DEC021B" w14:textId="77777777" w:rsidR="00DF0568" w:rsidRDefault="00DF0568" w:rsidP="006D4B3D">
      <w:pPr>
        <w:spacing w:after="256"/>
        <w:ind w:left="11"/>
        <w:jc w:val="both"/>
      </w:pPr>
      <w:r>
        <w:t xml:space="preserve">Department of Environment Food and Rural Affairs  </w:t>
      </w:r>
    </w:p>
    <w:p w14:paraId="1219C125" w14:textId="77777777" w:rsidR="00DF0568" w:rsidRDefault="00DF0568" w:rsidP="006D4B3D">
      <w:pPr>
        <w:spacing w:after="259"/>
        <w:ind w:left="11"/>
        <w:jc w:val="both"/>
      </w:pPr>
      <w:r>
        <w:t xml:space="preserve">Seacole Building  </w:t>
      </w:r>
    </w:p>
    <w:p w14:paraId="01135B52" w14:textId="77777777" w:rsidR="00DF0568" w:rsidRDefault="00DF0568" w:rsidP="006D4B3D">
      <w:pPr>
        <w:spacing w:after="256"/>
        <w:ind w:left="11"/>
        <w:jc w:val="both"/>
      </w:pPr>
      <w:r>
        <w:t xml:space="preserve">Ground floor </w:t>
      </w:r>
    </w:p>
    <w:p w14:paraId="5EA31913" w14:textId="77777777" w:rsidR="00DF0568" w:rsidRDefault="00DF0568" w:rsidP="006D4B3D">
      <w:pPr>
        <w:spacing w:after="256"/>
        <w:ind w:left="11"/>
        <w:jc w:val="both"/>
      </w:pPr>
      <w:r>
        <w:t xml:space="preserve">2 Marsham Street </w:t>
      </w:r>
    </w:p>
    <w:p w14:paraId="3205E843" w14:textId="77777777" w:rsidR="00DF0568" w:rsidRDefault="00DF0568" w:rsidP="006D4B3D">
      <w:pPr>
        <w:spacing w:after="258"/>
        <w:ind w:left="11"/>
        <w:jc w:val="both"/>
      </w:pPr>
      <w:r>
        <w:t xml:space="preserve">London SW1P 4DF </w:t>
      </w:r>
    </w:p>
    <w:p w14:paraId="27AC2909" w14:textId="77777777" w:rsidR="00DF0568" w:rsidRDefault="00000000" w:rsidP="006D4B3D">
      <w:pPr>
        <w:spacing w:after="258" w:line="259" w:lineRule="auto"/>
        <w:ind w:left="11"/>
        <w:jc w:val="both"/>
      </w:pPr>
      <w:hyperlink r:id="rId16">
        <w:r w:rsidR="00DF0568">
          <w:rPr>
            <w:color w:val="0000FF"/>
            <w:u w:val="single" w:color="0000FF"/>
          </w:rPr>
          <w:t>www.gov.uk/defr</w:t>
        </w:r>
      </w:hyperlink>
      <w:hyperlink r:id="rId17">
        <w:r w:rsidR="00DF0568">
          <w:rPr>
            <w:color w:val="0000FF"/>
            <w:u w:val="single" w:color="0000FF"/>
          </w:rPr>
          <w:t>a</w:t>
        </w:r>
      </w:hyperlink>
      <w:hyperlink r:id="rId18">
        <w:r w:rsidR="00DF0568">
          <w:t xml:space="preserve">  </w:t>
        </w:r>
      </w:hyperlink>
      <w:r w:rsidR="00DF0568">
        <w:rPr>
          <w:sz w:val="20"/>
        </w:rPr>
        <w:t xml:space="preserve"> </w:t>
      </w:r>
      <w:r w:rsidR="00DF0568">
        <w:t xml:space="preserve"> </w:t>
      </w:r>
      <w:r w:rsidR="00DF0568">
        <w:br w:type="page"/>
      </w:r>
    </w:p>
    <w:p w14:paraId="3B3DABD7" w14:textId="288F5253" w:rsidR="006D4B3D" w:rsidRPr="006D4B3D" w:rsidRDefault="006D4B3D" w:rsidP="006D4B3D">
      <w:pPr>
        <w:pStyle w:val="NormalWeb"/>
        <w:shd w:val="clear" w:color="auto" w:fill="FFFFFF"/>
        <w:spacing w:before="0" w:beforeAutospacing="0" w:after="300" w:afterAutospacing="0"/>
        <w:jc w:val="both"/>
        <w:rPr>
          <w:rFonts w:ascii="Arial" w:hAnsi="Arial" w:cs="Arial"/>
          <w:color w:val="0B0C0C"/>
          <w:sz w:val="29"/>
          <w:szCs w:val="29"/>
        </w:rPr>
      </w:pPr>
      <w:r w:rsidRPr="006D4B3D">
        <w:rPr>
          <w:rFonts w:ascii="Arial" w:hAnsi="Arial" w:cs="Arial"/>
          <w:color w:val="0B0C0C"/>
          <w:sz w:val="29"/>
          <w:szCs w:val="29"/>
        </w:rPr>
        <w:lastRenderedPageBreak/>
        <w:t>The </w:t>
      </w:r>
      <w:hyperlink r:id="rId19" w:history="1">
        <w:r w:rsidRPr="006D4B3D">
          <w:rPr>
            <w:rStyle w:val="Hyperlink"/>
            <w:rFonts w:ascii="Arial" w:eastAsia="Arial" w:hAnsi="Arial" w:cs="Arial"/>
            <w:color w:val="1D70B8"/>
            <w:sz w:val="29"/>
            <w:szCs w:val="29"/>
          </w:rPr>
          <w:t>2013 Waste Electrical and Electronic Equipment (WEEE) regulations</w:t>
        </w:r>
      </w:hyperlink>
      <w:r w:rsidRPr="006D4B3D">
        <w:rPr>
          <w:rFonts w:ascii="Arial" w:hAnsi="Arial" w:cs="Arial"/>
          <w:color w:val="0B0C0C"/>
          <w:sz w:val="29"/>
          <w:szCs w:val="29"/>
        </w:rPr>
        <w:t> established a system of household WEEE collection targets for producer compliance schemes (PCSs).</w:t>
      </w:r>
    </w:p>
    <w:p w14:paraId="47F61F56" w14:textId="77777777" w:rsidR="006D4B3D" w:rsidRPr="006D4B3D" w:rsidRDefault="006D4B3D" w:rsidP="006D4B3D">
      <w:pPr>
        <w:pStyle w:val="NormalWeb"/>
        <w:shd w:val="clear" w:color="auto" w:fill="FFFFFF"/>
        <w:spacing w:before="300" w:beforeAutospacing="0" w:after="300" w:afterAutospacing="0"/>
        <w:jc w:val="both"/>
        <w:rPr>
          <w:rFonts w:ascii="Arial" w:hAnsi="Arial" w:cs="Arial"/>
          <w:color w:val="0B0C0C"/>
          <w:sz w:val="29"/>
          <w:szCs w:val="29"/>
        </w:rPr>
      </w:pPr>
      <w:r w:rsidRPr="006D4B3D">
        <w:rPr>
          <w:rFonts w:ascii="Arial" w:hAnsi="Arial" w:cs="Arial"/>
          <w:color w:val="0B0C0C"/>
          <w:sz w:val="29"/>
          <w:szCs w:val="29"/>
        </w:rPr>
        <w:t xml:space="preserve">Where a PCS has failed to achieve its collection targets, the PCS can pay a compliance fee </w:t>
      </w:r>
      <w:proofErr w:type="gramStart"/>
      <w:r w:rsidRPr="006D4B3D">
        <w:rPr>
          <w:rFonts w:ascii="Arial" w:hAnsi="Arial" w:cs="Arial"/>
          <w:color w:val="0B0C0C"/>
          <w:sz w:val="29"/>
          <w:szCs w:val="29"/>
        </w:rPr>
        <w:t>in order to</w:t>
      </w:r>
      <w:proofErr w:type="gramEnd"/>
      <w:r w:rsidRPr="006D4B3D">
        <w:rPr>
          <w:rFonts w:ascii="Arial" w:hAnsi="Arial" w:cs="Arial"/>
          <w:color w:val="0B0C0C"/>
          <w:sz w:val="29"/>
          <w:szCs w:val="29"/>
        </w:rPr>
        <w:t xml:space="preserve"> meet its obligations.</w:t>
      </w:r>
    </w:p>
    <w:p w14:paraId="481D03FA" w14:textId="77777777" w:rsidR="006D4B3D" w:rsidRPr="006D4B3D" w:rsidRDefault="006D4B3D" w:rsidP="006D4B3D">
      <w:pPr>
        <w:pStyle w:val="NormalWeb"/>
        <w:shd w:val="clear" w:color="auto" w:fill="FFFFFF"/>
        <w:spacing w:before="300" w:beforeAutospacing="0" w:after="300" w:afterAutospacing="0"/>
        <w:jc w:val="both"/>
        <w:rPr>
          <w:rFonts w:ascii="Arial" w:hAnsi="Arial" w:cs="Arial"/>
          <w:color w:val="0B0C0C"/>
          <w:sz w:val="29"/>
          <w:szCs w:val="29"/>
        </w:rPr>
      </w:pPr>
      <w:r w:rsidRPr="006D4B3D">
        <w:rPr>
          <w:rFonts w:ascii="Arial" w:hAnsi="Arial" w:cs="Arial"/>
          <w:color w:val="0B0C0C"/>
          <w:sz w:val="29"/>
          <w:szCs w:val="29"/>
        </w:rPr>
        <w:t>Defra approves one compliance fee methodology and the administrator to run it for one compliance year only.</w:t>
      </w:r>
    </w:p>
    <w:p w14:paraId="1C2E7094" w14:textId="77777777" w:rsidR="006D4B3D" w:rsidRPr="006D4B3D" w:rsidRDefault="006D4B3D" w:rsidP="006D4B3D">
      <w:pPr>
        <w:pStyle w:val="NormalWeb"/>
        <w:shd w:val="clear" w:color="auto" w:fill="FFFFFF"/>
        <w:spacing w:before="300" w:beforeAutospacing="0" w:after="300" w:afterAutospacing="0"/>
        <w:jc w:val="both"/>
        <w:rPr>
          <w:rFonts w:ascii="Arial" w:hAnsi="Arial" w:cs="Arial"/>
          <w:color w:val="0B0C0C"/>
          <w:sz w:val="29"/>
          <w:szCs w:val="29"/>
        </w:rPr>
      </w:pPr>
      <w:r w:rsidRPr="006D4B3D">
        <w:rPr>
          <w:rFonts w:ascii="Arial" w:hAnsi="Arial" w:cs="Arial"/>
          <w:color w:val="0B0C0C"/>
          <w:sz w:val="29"/>
          <w:szCs w:val="29"/>
        </w:rPr>
        <w:t>This guidance helps organisations consider submitting a proposal for a compliance fee methodology. It explains the 6 areas to cover in your proposal and how it will be evaluated.</w:t>
      </w:r>
    </w:p>
    <w:p w14:paraId="3CA1A0AD" w14:textId="77777777" w:rsidR="006D4B3D" w:rsidRDefault="006D4B3D" w:rsidP="006D4B3D">
      <w:pPr>
        <w:pStyle w:val="Heading2"/>
        <w:shd w:val="clear" w:color="auto" w:fill="FFFFFF"/>
        <w:spacing w:before="1200" w:after="0"/>
        <w:jc w:val="both"/>
        <w:rPr>
          <w:color w:val="0B0C0C"/>
          <w:sz w:val="54"/>
          <w:szCs w:val="54"/>
        </w:rPr>
      </w:pPr>
      <w:r>
        <w:rPr>
          <w:color w:val="0B0C0C"/>
          <w:sz w:val="54"/>
          <w:szCs w:val="54"/>
        </w:rPr>
        <w:t>Timings</w:t>
      </w:r>
    </w:p>
    <w:p w14:paraId="1F9DEE8E" w14:textId="77777777" w:rsidR="006D4B3D" w:rsidRDefault="006D4B3D" w:rsidP="006D4B3D">
      <w:pPr>
        <w:pStyle w:val="NormalWeb"/>
        <w:shd w:val="clear" w:color="auto" w:fill="FFFFFF"/>
        <w:spacing w:before="300" w:beforeAutospacing="0" w:after="300" w:afterAutospacing="0"/>
        <w:jc w:val="both"/>
        <w:rPr>
          <w:rFonts w:ascii="Arial" w:hAnsi="Arial" w:cs="Arial"/>
          <w:color w:val="0B0C0C"/>
          <w:sz w:val="29"/>
          <w:szCs w:val="29"/>
        </w:rPr>
      </w:pPr>
      <w:r>
        <w:rPr>
          <w:rFonts w:ascii="Arial" w:hAnsi="Arial" w:cs="Arial"/>
          <w:color w:val="0B0C0C"/>
          <w:sz w:val="29"/>
          <w:szCs w:val="29"/>
        </w:rPr>
        <w:t>You must submit your proposal by 30 September for a compliance period. Defra will not consider proposals received after that date. You can propose a methodology and an organisation to run it.</w:t>
      </w:r>
    </w:p>
    <w:p w14:paraId="08D59209" w14:textId="77777777" w:rsidR="006D4B3D" w:rsidRDefault="006D4B3D" w:rsidP="006D4B3D">
      <w:pPr>
        <w:pStyle w:val="NormalWeb"/>
        <w:shd w:val="clear" w:color="auto" w:fill="FFFFFF"/>
        <w:spacing w:before="300" w:beforeAutospacing="0" w:after="300" w:afterAutospacing="0"/>
        <w:jc w:val="both"/>
        <w:rPr>
          <w:rFonts w:ascii="Arial" w:hAnsi="Arial" w:cs="Arial"/>
          <w:color w:val="0B0C0C"/>
          <w:sz w:val="29"/>
          <w:szCs w:val="29"/>
        </w:rPr>
      </w:pPr>
      <w:r>
        <w:rPr>
          <w:rFonts w:ascii="Arial" w:hAnsi="Arial" w:cs="Arial"/>
          <w:color w:val="0B0C0C"/>
          <w:sz w:val="29"/>
          <w:szCs w:val="29"/>
        </w:rPr>
        <w:t>You should consult stakeholder groups before you submit your proposal.</w:t>
      </w:r>
    </w:p>
    <w:p w14:paraId="04500B96" w14:textId="77777777" w:rsidR="006D4B3D" w:rsidRDefault="006D4B3D" w:rsidP="006D4B3D">
      <w:pPr>
        <w:pStyle w:val="NormalWeb"/>
        <w:shd w:val="clear" w:color="auto" w:fill="FFFFFF"/>
        <w:spacing w:before="300" w:beforeAutospacing="0" w:after="300" w:afterAutospacing="0"/>
        <w:jc w:val="both"/>
        <w:rPr>
          <w:rFonts w:ascii="Arial" w:hAnsi="Arial" w:cs="Arial"/>
          <w:color w:val="0B0C0C"/>
          <w:sz w:val="29"/>
          <w:szCs w:val="29"/>
        </w:rPr>
      </w:pPr>
      <w:r>
        <w:rPr>
          <w:rFonts w:ascii="Arial" w:hAnsi="Arial" w:cs="Arial"/>
          <w:color w:val="0B0C0C"/>
          <w:sz w:val="29"/>
          <w:szCs w:val="29"/>
        </w:rPr>
        <w:t>Defra will publish all proposals and consult with interested parties including:</w:t>
      </w:r>
    </w:p>
    <w:p w14:paraId="0DD92255" w14:textId="77777777" w:rsidR="006D4B3D" w:rsidRDefault="006D4B3D" w:rsidP="006D4B3D">
      <w:pPr>
        <w:numPr>
          <w:ilvl w:val="0"/>
          <w:numId w:val="10"/>
        </w:numPr>
        <w:shd w:val="clear" w:color="auto" w:fill="FFFFFF"/>
        <w:spacing w:after="75" w:line="240" w:lineRule="auto"/>
        <w:ind w:left="1020"/>
        <w:jc w:val="both"/>
        <w:rPr>
          <w:color w:val="0B0C0C"/>
          <w:sz w:val="29"/>
          <w:szCs w:val="29"/>
        </w:rPr>
      </w:pPr>
      <w:r>
        <w:rPr>
          <w:color w:val="0B0C0C"/>
          <w:sz w:val="29"/>
          <w:szCs w:val="29"/>
        </w:rPr>
        <w:t>producers of electrical equipment</w:t>
      </w:r>
    </w:p>
    <w:p w14:paraId="5E06CA21" w14:textId="77777777" w:rsidR="006D4B3D" w:rsidRDefault="006D4B3D" w:rsidP="006D4B3D">
      <w:pPr>
        <w:numPr>
          <w:ilvl w:val="0"/>
          <w:numId w:val="10"/>
        </w:numPr>
        <w:shd w:val="clear" w:color="auto" w:fill="FFFFFF"/>
        <w:spacing w:after="75" w:line="240" w:lineRule="auto"/>
        <w:ind w:left="1020"/>
        <w:jc w:val="both"/>
        <w:rPr>
          <w:color w:val="0B0C0C"/>
          <w:sz w:val="29"/>
          <w:szCs w:val="29"/>
        </w:rPr>
      </w:pPr>
      <w:r>
        <w:rPr>
          <w:color w:val="0B0C0C"/>
          <w:sz w:val="29"/>
          <w:szCs w:val="29"/>
        </w:rPr>
        <w:t>WEEE treatment companies</w:t>
      </w:r>
    </w:p>
    <w:p w14:paraId="4585371E" w14:textId="77777777" w:rsidR="006D4B3D" w:rsidRDefault="006D4B3D" w:rsidP="006D4B3D">
      <w:pPr>
        <w:numPr>
          <w:ilvl w:val="0"/>
          <w:numId w:val="10"/>
        </w:numPr>
        <w:shd w:val="clear" w:color="auto" w:fill="FFFFFF"/>
        <w:spacing w:after="75" w:line="240" w:lineRule="auto"/>
        <w:ind w:left="1020"/>
        <w:jc w:val="both"/>
        <w:rPr>
          <w:color w:val="0B0C0C"/>
          <w:sz w:val="29"/>
          <w:szCs w:val="29"/>
        </w:rPr>
      </w:pPr>
      <w:r>
        <w:rPr>
          <w:color w:val="0B0C0C"/>
          <w:sz w:val="29"/>
          <w:szCs w:val="29"/>
        </w:rPr>
        <w:t>PCSs</w:t>
      </w:r>
    </w:p>
    <w:p w14:paraId="22A05FA7" w14:textId="77777777" w:rsidR="006D4B3D" w:rsidRDefault="006D4B3D" w:rsidP="006D4B3D">
      <w:pPr>
        <w:numPr>
          <w:ilvl w:val="0"/>
          <w:numId w:val="10"/>
        </w:numPr>
        <w:shd w:val="clear" w:color="auto" w:fill="FFFFFF"/>
        <w:spacing w:after="75" w:line="240" w:lineRule="auto"/>
        <w:ind w:left="1020"/>
        <w:jc w:val="both"/>
        <w:rPr>
          <w:color w:val="0B0C0C"/>
          <w:sz w:val="29"/>
          <w:szCs w:val="29"/>
        </w:rPr>
      </w:pPr>
      <w:r>
        <w:rPr>
          <w:color w:val="0B0C0C"/>
          <w:sz w:val="29"/>
          <w:szCs w:val="29"/>
        </w:rPr>
        <w:t>local authorities</w:t>
      </w:r>
    </w:p>
    <w:p w14:paraId="7D8256C4" w14:textId="77777777" w:rsidR="006D4B3D" w:rsidRDefault="006D4B3D" w:rsidP="006D4B3D">
      <w:pPr>
        <w:numPr>
          <w:ilvl w:val="0"/>
          <w:numId w:val="10"/>
        </w:numPr>
        <w:shd w:val="clear" w:color="auto" w:fill="FFFFFF"/>
        <w:spacing w:after="75" w:line="240" w:lineRule="auto"/>
        <w:ind w:left="1020"/>
        <w:jc w:val="both"/>
        <w:rPr>
          <w:color w:val="0B0C0C"/>
          <w:sz w:val="29"/>
          <w:szCs w:val="29"/>
        </w:rPr>
      </w:pPr>
      <w:r>
        <w:rPr>
          <w:color w:val="0B0C0C"/>
          <w:sz w:val="29"/>
          <w:szCs w:val="29"/>
        </w:rPr>
        <w:t>waste management and reuse companies</w:t>
      </w:r>
    </w:p>
    <w:p w14:paraId="0C4799E3" w14:textId="77777777" w:rsidR="006D4B3D" w:rsidRDefault="006D4B3D" w:rsidP="006D4B3D">
      <w:pPr>
        <w:pStyle w:val="NormalWeb"/>
        <w:shd w:val="clear" w:color="auto" w:fill="FFFFFF"/>
        <w:spacing w:before="300" w:beforeAutospacing="0" w:after="300" w:afterAutospacing="0"/>
        <w:jc w:val="both"/>
        <w:rPr>
          <w:rFonts w:ascii="Arial" w:hAnsi="Arial" w:cs="Arial"/>
          <w:color w:val="0B0C0C"/>
          <w:sz w:val="29"/>
          <w:szCs w:val="29"/>
        </w:rPr>
      </w:pPr>
      <w:r>
        <w:rPr>
          <w:rFonts w:ascii="Arial" w:hAnsi="Arial" w:cs="Arial"/>
          <w:color w:val="0B0C0C"/>
          <w:sz w:val="29"/>
          <w:szCs w:val="29"/>
        </w:rPr>
        <w:t>The timing of the consultation will depend on the number of proposals received. The consultation period will be a minimum of 4 weeks.</w:t>
      </w:r>
    </w:p>
    <w:p w14:paraId="31E75688" w14:textId="77777777" w:rsidR="006D4B3D" w:rsidRDefault="006D4B3D" w:rsidP="006D4B3D">
      <w:pPr>
        <w:pStyle w:val="NormalWeb"/>
        <w:shd w:val="clear" w:color="auto" w:fill="FFFFFF"/>
        <w:spacing w:before="300" w:beforeAutospacing="0" w:after="300" w:afterAutospacing="0"/>
        <w:jc w:val="both"/>
        <w:rPr>
          <w:rFonts w:ascii="Arial" w:hAnsi="Arial" w:cs="Arial"/>
          <w:color w:val="0B0C0C"/>
          <w:sz w:val="29"/>
          <w:szCs w:val="29"/>
        </w:rPr>
      </w:pPr>
      <w:r>
        <w:rPr>
          <w:rFonts w:ascii="Arial" w:hAnsi="Arial" w:cs="Arial"/>
          <w:color w:val="0B0C0C"/>
          <w:sz w:val="29"/>
          <w:szCs w:val="29"/>
        </w:rPr>
        <w:t>Defra will announce the results by mid-February following the compliance period to which the compliance fees will apply.</w:t>
      </w:r>
    </w:p>
    <w:p w14:paraId="12EF7AAC" w14:textId="77777777" w:rsidR="006D4B3D" w:rsidRDefault="006D4B3D" w:rsidP="006D4B3D">
      <w:pPr>
        <w:pStyle w:val="NormalWeb"/>
        <w:shd w:val="clear" w:color="auto" w:fill="FFFFFF"/>
        <w:spacing w:before="300" w:beforeAutospacing="0" w:after="300" w:afterAutospacing="0"/>
        <w:jc w:val="both"/>
        <w:rPr>
          <w:rFonts w:ascii="Arial" w:hAnsi="Arial" w:cs="Arial"/>
          <w:color w:val="0B0C0C"/>
          <w:sz w:val="29"/>
          <w:szCs w:val="29"/>
        </w:rPr>
      </w:pPr>
      <w:r>
        <w:rPr>
          <w:rFonts w:ascii="Arial" w:hAnsi="Arial" w:cs="Arial"/>
          <w:color w:val="0B0C0C"/>
          <w:sz w:val="29"/>
          <w:szCs w:val="29"/>
        </w:rPr>
        <w:lastRenderedPageBreak/>
        <w:t>This will allow time for PCSs to pay a compliance fee and include evidence of payment with their ‘Declaration of Compliance’ by the deadline of 31 March.</w:t>
      </w:r>
    </w:p>
    <w:p w14:paraId="0841D51B" w14:textId="77777777" w:rsidR="006D4B3D" w:rsidRDefault="006D4B3D" w:rsidP="006D4B3D">
      <w:pPr>
        <w:pStyle w:val="Heading2"/>
        <w:shd w:val="clear" w:color="auto" w:fill="FFFFFF"/>
        <w:spacing w:before="1200" w:after="0"/>
        <w:jc w:val="both"/>
        <w:rPr>
          <w:color w:val="0B0C0C"/>
          <w:sz w:val="54"/>
          <w:szCs w:val="54"/>
        </w:rPr>
      </w:pPr>
      <w:r>
        <w:rPr>
          <w:color w:val="0B0C0C"/>
          <w:sz w:val="54"/>
          <w:szCs w:val="54"/>
        </w:rPr>
        <w:t>Use of information in proposal</w:t>
      </w:r>
    </w:p>
    <w:p w14:paraId="60991E42" w14:textId="77777777" w:rsidR="006D4B3D" w:rsidRDefault="006D4B3D" w:rsidP="006D4B3D">
      <w:pPr>
        <w:pStyle w:val="NormalWeb"/>
        <w:shd w:val="clear" w:color="auto" w:fill="FFFFFF"/>
        <w:spacing w:before="300" w:beforeAutospacing="0" w:after="300" w:afterAutospacing="0"/>
        <w:jc w:val="both"/>
        <w:rPr>
          <w:rFonts w:ascii="Arial" w:hAnsi="Arial" w:cs="Arial"/>
          <w:color w:val="0B0C0C"/>
          <w:sz w:val="29"/>
          <w:szCs w:val="29"/>
        </w:rPr>
      </w:pPr>
      <w:r>
        <w:rPr>
          <w:rFonts w:ascii="Arial" w:hAnsi="Arial" w:cs="Arial"/>
          <w:color w:val="0B0C0C"/>
          <w:sz w:val="29"/>
          <w:szCs w:val="29"/>
        </w:rPr>
        <w:t>The information you provide in your proposal may be subject to publication or release to other parties or to disclosure in accordance with </w:t>
      </w:r>
      <w:hyperlink r:id="rId20" w:anchor="freedom-of-information" w:history="1">
        <w:r>
          <w:rPr>
            <w:rStyle w:val="Hyperlink"/>
            <w:rFonts w:eastAsia="Arial"/>
            <w:color w:val="1D70B8"/>
            <w:sz w:val="29"/>
            <w:szCs w:val="29"/>
          </w:rPr>
          <w:t>access to information</w:t>
        </w:r>
      </w:hyperlink>
      <w:r>
        <w:rPr>
          <w:rFonts w:ascii="Arial" w:hAnsi="Arial" w:cs="Arial"/>
          <w:color w:val="0B0C0C"/>
          <w:sz w:val="29"/>
          <w:szCs w:val="29"/>
        </w:rPr>
        <w:t>.</w:t>
      </w:r>
    </w:p>
    <w:p w14:paraId="6D2AC5AE" w14:textId="77777777" w:rsidR="006D4B3D" w:rsidRDefault="006D4B3D" w:rsidP="006D4B3D">
      <w:pPr>
        <w:pStyle w:val="NormalWeb"/>
        <w:shd w:val="clear" w:color="auto" w:fill="FFFFFF"/>
        <w:spacing w:before="300" w:beforeAutospacing="0" w:after="300" w:afterAutospacing="0"/>
        <w:jc w:val="both"/>
        <w:rPr>
          <w:rFonts w:ascii="Arial" w:hAnsi="Arial" w:cs="Arial"/>
          <w:color w:val="0B0C0C"/>
          <w:sz w:val="29"/>
          <w:szCs w:val="29"/>
        </w:rPr>
      </w:pPr>
      <w:r>
        <w:rPr>
          <w:rFonts w:ascii="Arial" w:hAnsi="Arial" w:cs="Arial"/>
          <w:color w:val="0B0C0C"/>
          <w:sz w:val="29"/>
          <w:szCs w:val="29"/>
        </w:rPr>
        <w:t>If you want any information to be treated as confidential, including personal data, explain in your proposal why the information is confidential or commercially sensitive. We will take this into account, but we cannot give assurance that confidentiality can be maintained in all circumstances. An automatic confidentiality disclaimer generated by your IT system will not, of itself, be considered binding on the department.</w:t>
      </w:r>
    </w:p>
    <w:p w14:paraId="1CEEA025" w14:textId="77777777" w:rsidR="006D4B3D" w:rsidRDefault="006D4B3D" w:rsidP="006D4B3D">
      <w:pPr>
        <w:pStyle w:val="Heading2"/>
        <w:shd w:val="clear" w:color="auto" w:fill="FFFFFF"/>
        <w:spacing w:before="1200" w:after="0"/>
        <w:jc w:val="both"/>
        <w:rPr>
          <w:color w:val="0B0C0C"/>
          <w:sz w:val="54"/>
          <w:szCs w:val="54"/>
        </w:rPr>
      </w:pPr>
      <w:r>
        <w:rPr>
          <w:color w:val="0B0C0C"/>
          <w:sz w:val="54"/>
          <w:szCs w:val="54"/>
        </w:rPr>
        <w:t>Submit your proposal</w:t>
      </w:r>
    </w:p>
    <w:p w14:paraId="09826FB4" w14:textId="77777777" w:rsidR="006D4B3D" w:rsidRDefault="006D4B3D" w:rsidP="00B67526">
      <w:pPr>
        <w:pStyle w:val="NormalWeb"/>
        <w:shd w:val="clear" w:color="auto" w:fill="FFFFFF"/>
        <w:spacing w:before="300" w:beforeAutospacing="0" w:after="300" w:afterAutospacing="0"/>
        <w:rPr>
          <w:rFonts w:ascii="Arial" w:hAnsi="Arial" w:cs="Arial"/>
          <w:color w:val="0B0C0C"/>
          <w:sz w:val="29"/>
          <w:szCs w:val="29"/>
        </w:rPr>
      </w:pPr>
      <w:r>
        <w:rPr>
          <w:rFonts w:ascii="Arial" w:hAnsi="Arial" w:cs="Arial"/>
          <w:color w:val="0B0C0C"/>
          <w:sz w:val="29"/>
          <w:szCs w:val="29"/>
        </w:rPr>
        <w:t>Submit your proposal to:</w:t>
      </w:r>
    </w:p>
    <w:p w14:paraId="6C041212" w14:textId="77777777" w:rsidR="006D4B3D" w:rsidRDefault="006D4B3D" w:rsidP="00B67526">
      <w:pPr>
        <w:pStyle w:val="NormalWeb"/>
        <w:shd w:val="clear" w:color="auto" w:fill="FFFFFF"/>
        <w:spacing w:before="0" w:beforeAutospacing="0" w:after="300" w:afterAutospacing="0"/>
        <w:rPr>
          <w:rFonts w:ascii="Arial" w:hAnsi="Arial" w:cs="Arial"/>
          <w:color w:val="0B0C0C"/>
          <w:sz w:val="29"/>
          <w:szCs w:val="29"/>
        </w:rPr>
      </w:pPr>
      <w:r>
        <w:rPr>
          <w:rFonts w:ascii="Arial" w:hAnsi="Arial" w:cs="Arial"/>
          <w:color w:val="0B0C0C"/>
          <w:sz w:val="29"/>
          <w:szCs w:val="29"/>
        </w:rPr>
        <w:t>Department for Environment, Food and Rural Affairs</w:t>
      </w:r>
      <w:r>
        <w:rPr>
          <w:rFonts w:ascii="Arial" w:hAnsi="Arial" w:cs="Arial"/>
          <w:color w:val="0B0C0C"/>
          <w:sz w:val="29"/>
          <w:szCs w:val="29"/>
        </w:rPr>
        <w:br/>
        <w:t>Resources and Waste Team</w:t>
      </w:r>
      <w:r>
        <w:rPr>
          <w:rFonts w:ascii="Arial" w:hAnsi="Arial" w:cs="Arial"/>
          <w:color w:val="0B0C0C"/>
          <w:sz w:val="29"/>
          <w:szCs w:val="29"/>
        </w:rPr>
        <w:br/>
        <w:t>Seacole Building</w:t>
      </w:r>
      <w:r>
        <w:rPr>
          <w:rFonts w:ascii="Arial" w:hAnsi="Arial" w:cs="Arial"/>
          <w:color w:val="0B0C0C"/>
          <w:sz w:val="29"/>
          <w:szCs w:val="29"/>
        </w:rPr>
        <w:br/>
        <w:t>Ground floor</w:t>
      </w:r>
      <w:r>
        <w:rPr>
          <w:rFonts w:ascii="Arial" w:hAnsi="Arial" w:cs="Arial"/>
          <w:color w:val="0B0C0C"/>
          <w:sz w:val="29"/>
          <w:szCs w:val="29"/>
        </w:rPr>
        <w:br/>
        <w:t>2 Marsham Street</w:t>
      </w:r>
      <w:r>
        <w:rPr>
          <w:rFonts w:ascii="Arial" w:hAnsi="Arial" w:cs="Arial"/>
          <w:color w:val="0B0C0C"/>
          <w:sz w:val="29"/>
          <w:szCs w:val="29"/>
        </w:rPr>
        <w:br/>
        <w:t>London</w:t>
      </w:r>
      <w:r>
        <w:rPr>
          <w:rFonts w:ascii="Arial" w:hAnsi="Arial" w:cs="Arial"/>
          <w:color w:val="0B0C0C"/>
          <w:sz w:val="29"/>
          <w:szCs w:val="29"/>
        </w:rPr>
        <w:br/>
        <w:t>SW1P 4DF</w:t>
      </w:r>
      <w:r>
        <w:rPr>
          <w:rFonts w:ascii="Arial" w:hAnsi="Arial" w:cs="Arial"/>
          <w:color w:val="0B0C0C"/>
          <w:sz w:val="29"/>
          <w:szCs w:val="29"/>
        </w:rPr>
        <w:br/>
      </w:r>
      <w:r>
        <w:rPr>
          <w:rFonts w:ascii="Arial" w:hAnsi="Arial" w:cs="Arial"/>
          <w:color w:val="0B0C0C"/>
          <w:sz w:val="29"/>
          <w:szCs w:val="29"/>
        </w:rPr>
        <w:br/>
        <w:t>Telephone: 020 8225 6700</w:t>
      </w:r>
    </w:p>
    <w:p w14:paraId="733639E4" w14:textId="77777777" w:rsidR="006D4B3D" w:rsidRDefault="006D4B3D" w:rsidP="00B67526">
      <w:pPr>
        <w:pStyle w:val="NormalWeb"/>
        <w:shd w:val="clear" w:color="auto" w:fill="FFFFFF"/>
        <w:spacing w:before="300" w:beforeAutospacing="0" w:after="300" w:afterAutospacing="0"/>
        <w:rPr>
          <w:rFonts w:ascii="Arial" w:hAnsi="Arial" w:cs="Arial"/>
          <w:color w:val="0B0C0C"/>
          <w:sz w:val="29"/>
          <w:szCs w:val="29"/>
        </w:rPr>
      </w:pPr>
      <w:r>
        <w:rPr>
          <w:rFonts w:ascii="Arial" w:hAnsi="Arial" w:cs="Arial"/>
          <w:color w:val="0B0C0C"/>
          <w:sz w:val="29"/>
          <w:szCs w:val="29"/>
        </w:rPr>
        <w:t>Email: </w:t>
      </w:r>
      <w:hyperlink r:id="rId21" w:history="1">
        <w:r>
          <w:rPr>
            <w:rStyle w:val="Hyperlink"/>
            <w:rFonts w:eastAsia="Arial"/>
            <w:color w:val="1D70B8"/>
            <w:sz w:val="29"/>
            <w:szCs w:val="29"/>
          </w:rPr>
          <w:t>weee@defra.gov.uk</w:t>
        </w:r>
      </w:hyperlink>
    </w:p>
    <w:p w14:paraId="0257DBB0" w14:textId="77777777" w:rsidR="006D4B3D" w:rsidRDefault="006D4B3D" w:rsidP="006D4B3D">
      <w:pPr>
        <w:pStyle w:val="Heading2"/>
        <w:shd w:val="clear" w:color="auto" w:fill="FFFFFF"/>
        <w:spacing w:before="1200" w:after="0"/>
        <w:jc w:val="both"/>
        <w:rPr>
          <w:color w:val="0B0C0C"/>
          <w:sz w:val="54"/>
          <w:szCs w:val="54"/>
        </w:rPr>
      </w:pPr>
      <w:r>
        <w:rPr>
          <w:color w:val="0B0C0C"/>
          <w:sz w:val="54"/>
          <w:szCs w:val="54"/>
        </w:rPr>
        <w:lastRenderedPageBreak/>
        <w:t>Evaluation criteria and scoring</w:t>
      </w:r>
    </w:p>
    <w:p w14:paraId="7F93AC26" w14:textId="77777777" w:rsidR="006D4B3D" w:rsidRDefault="006D4B3D" w:rsidP="006D4B3D">
      <w:pPr>
        <w:pStyle w:val="NormalWeb"/>
        <w:shd w:val="clear" w:color="auto" w:fill="FFFFFF"/>
        <w:spacing w:before="300" w:beforeAutospacing="0" w:after="300" w:afterAutospacing="0"/>
        <w:jc w:val="both"/>
        <w:rPr>
          <w:rFonts w:ascii="Arial" w:hAnsi="Arial" w:cs="Arial"/>
          <w:color w:val="0B0C0C"/>
          <w:sz w:val="29"/>
          <w:szCs w:val="29"/>
        </w:rPr>
      </w:pPr>
      <w:r>
        <w:rPr>
          <w:rFonts w:ascii="Arial" w:hAnsi="Arial" w:cs="Arial"/>
          <w:color w:val="0B0C0C"/>
          <w:sz w:val="29"/>
          <w:szCs w:val="29"/>
        </w:rPr>
        <w:t>Your proposal needs to cover all 6 areas.</w:t>
      </w:r>
    </w:p>
    <w:p w14:paraId="5F403D5E" w14:textId="77777777" w:rsidR="006D4B3D" w:rsidRDefault="006D4B3D" w:rsidP="006D4B3D">
      <w:pPr>
        <w:pStyle w:val="NormalWeb"/>
        <w:shd w:val="clear" w:color="auto" w:fill="FFFFFF"/>
        <w:spacing w:before="300" w:beforeAutospacing="0" w:after="300" w:afterAutospacing="0"/>
        <w:jc w:val="both"/>
        <w:rPr>
          <w:rFonts w:ascii="Arial" w:hAnsi="Arial" w:cs="Arial"/>
          <w:color w:val="0B0C0C"/>
          <w:sz w:val="29"/>
          <w:szCs w:val="29"/>
        </w:rPr>
      </w:pPr>
      <w:r>
        <w:rPr>
          <w:rFonts w:ascii="Arial" w:hAnsi="Arial" w:cs="Arial"/>
          <w:color w:val="0B0C0C"/>
          <w:sz w:val="29"/>
          <w:szCs w:val="29"/>
        </w:rPr>
        <w:t xml:space="preserve">Defra will score each area, </w:t>
      </w:r>
      <w:proofErr w:type="gramStart"/>
      <w:r>
        <w:rPr>
          <w:rFonts w:ascii="Arial" w:hAnsi="Arial" w:cs="Arial"/>
          <w:color w:val="0B0C0C"/>
          <w:sz w:val="29"/>
          <w:szCs w:val="29"/>
        </w:rPr>
        <w:t>taking into account</w:t>
      </w:r>
      <w:proofErr w:type="gramEnd"/>
      <w:r>
        <w:rPr>
          <w:rFonts w:ascii="Arial" w:hAnsi="Arial" w:cs="Arial"/>
          <w:color w:val="0B0C0C"/>
          <w:sz w:val="29"/>
          <w:szCs w:val="29"/>
        </w:rPr>
        <w:t xml:space="preserve"> comments received from the consultation and using these descriptors:</w:t>
      </w:r>
    </w:p>
    <w:p w14:paraId="3E7F30F7" w14:textId="77777777" w:rsidR="006D4B3D" w:rsidRDefault="006D4B3D" w:rsidP="006D4B3D">
      <w:pPr>
        <w:pStyle w:val="NormalWeb"/>
        <w:shd w:val="clear" w:color="auto" w:fill="FFFFFF"/>
        <w:spacing w:before="300" w:beforeAutospacing="0" w:after="300" w:afterAutospacing="0"/>
        <w:jc w:val="both"/>
        <w:rPr>
          <w:rFonts w:ascii="Arial" w:hAnsi="Arial" w:cs="Arial"/>
          <w:color w:val="0B0C0C"/>
          <w:sz w:val="29"/>
          <w:szCs w:val="29"/>
        </w:rPr>
      </w:pPr>
      <w:r>
        <w:rPr>
          <w:rFonts w:ascii="Arial" w:hAnsi="Arial" w:cs="Arial"/>
          <w:color w:val="0B0C0C"/>
          <w:sz w:val="29"/>
          <w:szCs w:val="29"/>
        </w:rPr>
        <w:t>0: Unacceptable – Nil or inadequate response. Fails to demonstrate an ability to meet the requirement.</w:t>
      </w:r>
    </w:p>
    <w:p w14:paraId="30864A33" w14:textId="77777777" w:rsidR="006D4B3D" w:rsidRDefault="006D4B3D" w:rsidP="006D4B3D">
      <w:pPr>
        <w:pStyle w:val="NormalWeb"/>
        <w:shd w:val="clear" w:color="auto" w:fill="FFFFFF"/>
        <w:spacing w:before="300" w:beforeAutospacing="0" w:after="300" w:afterAutospacing="0"/>
        <w:jc w:val="both"/>
        <w:rPr>
          <w:rFonts w:ascii="Arial" w:hAnsi="Arial" w:cs="Arial"/>
          <w:color w:val="0B0C0C"/>
          <w:sz w:val="29"/>
          <w:szCs w:val="29"/>
        </w:rPr>
      </w:pPr>
      <w:r>
        <w:rPr>
          <w:rFonts w:ascii="Arial" w:hAnsi="Arial" w:cs="Arial"/>
          <w:color w:val="0B0C0C"/>
          <w:sz w:val="29"/>
          <w:szCs w:val="29"/>
        </w:rPr>
        <w:t>1: Poor – Response is partially relevant and poor. The response addresses some elements of the requirement but contains insufficient or limited detail or explanation to demonstrate how the requirement will be fulfilled.</w:t>
      </w:r>
    </w:p>
    <w:p w14:paraId="2AD95188" w14:textId="77777777" w:rsidR="006D4B3D" w:rsidRDefault="006D4B3D" w:rsidP="006D4B3D">
      <w:pPr>
        <w:pStyle w:val="NormalWeb"/>
        <w:shd w:val="clear" w:color="auto" w:fill="FFFFFF"/>
        <w:spacing w:before="300" w:beforeAutospacing="0" w:after="300" w:afterAutospacing="0"/>
        <w:jc w:val="both"/>
        <w:rPr>
          <w:rFonts w:ascii="Arial" w:hAnsi="Arial" w:cs="Arial"/>
          <w:color w:val="0B0C0C"/>
          <w:sz w:val="29"/>
          <w:szCs w:val="29"/>
        </w:rPr>
      </w:pPr>
      <w:r>
        <w:rPr>
          <w:rFonts w:ascii="Arial" w:hAnsi="Arial" w:cs="Arial"/>
          <w:color w:val="0B0C0C"/>
          <w:sz w:val="29"/>
          <w:szCs w:val="29"/>
        </w:rPr>
        <w:t>2: Acceptable – Response is relevant and acceptable. The response demonstrates a broad understanding of the requirement but may lack details on how the requirement will be fulfilled in certain areas.</w:t>
      </w:r>
    </w:p>
    <w:p w14:paraId="6E19A16D" w14:textId="77777777" w:rsidR="006D4B3D" w:rsidRDefault="006D4B3D" w:rsidP="006D4B3D">
      <w:pPr>
        <w:pStyle w:val="NormalWeb"/>
        <w:shd w:val="clear" w:color="auto" w:fill="FFFFFF"/>
        <w:spacing w:before="300" w:beforeAutospacing="0" w:after="300" w:afterAutospacing="0"/>
        <w:jc w:val="both"/>
        <w:rPr>
          <w:rFonts w:ascii="Arial" w:hAnsi="Arial" w:cs="Arial"/>
          <w:color w:val="0B0C0C"/>
          <w:sz w:val="29"/>
          <w:szCs w:val="29"/>
        </w:rPr>
      </w:pPr>
      <w:r>
        <w:rPr>
          <w:rFonts w:ascii="Arial" w:hAnsi="Arial" w:cs="Arial"/>
          <w:color w:val="0B0C0C"/>
          <w:sz w:val="29"/>
          <w:szCs w:val="29"/>
        </w:rPr>
        <w:t>3: Good – Response is relevant and good. The response demonstrates a good understanding of the requirement and provides sufficient details on how the requirement will be fulfilled.</w:t>
      </w:r>
    </w:p>
    <w:p w14:paraId="6852B653" w14:textId="77777777" w:rsidR="006D4B3D" w:rsidRDefault="006D4B3D" w:rsidP="006D4B3D">
      <w:pPr>
        <w:pStyle w:val="NormalWeb"/>
        <w:shd w:val="clear" w:color="auto" w:fill="FFFFFF"/>
        <w:spacing w:before="300" w:beforeAutospacing="0" w:after="300" w:afterAutospacing="0"/>
        <w:jc w:val="both"/>
        <w:rPr>
          <w:rFonts w:ascii="Arial" w:hAnsi="Arial" w:cs="Arial"/>
          <w:color w:val="0B0C0C"/>
          <w:sz w:val="29"/>
          <w:szCs w:val="29"/>
        </w:rPr>
      </w:pPr>
      <w:r>
        <w:rPr>
          <w:rFonts w:ascii="Arial" w:hAnsi="Arial" w:cs="Arial"/>
          <w:color w:val="0B0C0C"/>
          <w:sz w:val="29"/>
          <w:szCs w:val="29"/>
        </w:rPr>
        <w:t>4: Excellent – Response is relevant and excellent overall. The response is comprehensive, unambiguous and demonstrates a thorough understanding of the requirement, and provides details of how the requirement will be met in full.</w:t>
      </w:r>
    </w:p>
    <w:p w14:paraId="4829855D" w14:textId="77777777" w:rsidR="006D4B3D" w:rsidRDefault="006D4B3D" w:rsidP="006D4B3D">
      <w:pPr>
        <w:pStyle w:val="NormalWeb"/>
        <w:shd w:val="clear" w:color="auto" w:fill="FFFFFF"/>
        <w:spacing w:before="300" w:beforeAutospacing="0" w:after="300" w:afterAutospacing="0"/>
        <w:jc w:val="both"/>
        <w:rPr>
          <w:rFonts w:ascii="Arial" w:hAnsi="Arial" w:cs="Arial"/>
          <w:color w:val="0B0C0C"/>
          <w:sz w:val="29"/>
          <w:szCs w:val="29"/>
        </w:rPr>
      </w:pPr>
      <w:r>
        <w:rPr>
          <w:rFonts w:ascii="Arial" w:hAnsi="Arial" w:cs="Arial"/>
          <w:color w:val="0B0C0C"/>
          <w:sz w:val="29"/>
          <w:szCs w:val="29"/>
        </w:rPr>
        <w:t>The scores will be multiplied by the weighting for each area.</w:t>
      </w:r>
    </w:p>
    <w:p w14:paraId="7BEE1A3F" w14:textId="77777777" w:rsidR="006D4B3D" w:rsidRDefault="006D4B3D" w:rsidP="006D4B3D">
      <w:pPr>
        <w:pStyle w:val="NormalWeb"/>
        <w:shd w:val="clear" w:color="auto" w:fill="FFFFFF"/>
        <w:spacing w:before="300" w:beforeAutospacing="0" w:after="300" w:afterAutospacing="0"/>
        <w:jc w:val="both"/>
        <w:rPr>
          <w:rFonts w:ascii="Arial" w:hAnsi="Arial" w:cs="Arial"/>
          <w:color w:val="0B0C0C"/>
          <w:sz w:val="29"/>
          <w:szCs w:val="29"/>
        </w:rPr>
      </w:pPr>
      <w:r>
        <w:rPr>
          <w:rFonts w:ascii="Arial" w:hAnsi="Arial" w:cs="Arial"/>
          <w:color w:val="0B0C0C"/>
          <w:sz w:val="29"/>
          <w:szCs w:val="29"/>
        </w:rPr>
        <w:t>There is a maximum score of 60 marks available.</w:t>
      </w:r>
    </w:p>
    <w:p w14:paraId="7871DE71" w14:textId="77777777" w:rsidR="006D4B3D" w:rsidRDefault="006D4B3D" w:rsidP="006D4B3D">
      <w:pPr>
        <w:pStyle w:val="NormalWeb"/>
        <w:shd w:val="clear" w:color="auto" w:fill="FFFFFF"/>
        <w:spacing w:before="300" w:beforeAutospacing="0" w:after="300" w:afterAutospacing="0"/>
        <w:jc w:val="both"/>
        <w:rPr>
          <w:rFonts w:ascii="Arial" w:hAnsi="Arial" w:cs="Arial"/>
          <w:color w:val="0B0C0C"/>
          <w:sz w:val="29"/>
          <w:szCs w:val="29"/>
        </w:rPr>
      </w:pPr>
      <w:r>
        <w:rPr>
          <w:rFonts w:ascii="Arial" w:hAnsi="Arial" w:cs="Arial"/>
          <w:color w:val="0B0C0C"/>
          <w:sz w:val="29"/>
          <w:szCs w:val="29"/>
        </w:rPr>
        <w:t>Defra will select the highest scoring proposal.</w:t>
      </w:r>
    </w:p>
    <w:p w14:paraId="436F831F" w14:textId="77777777" w:rsidR="006D4B3D" w:rsidRDefault="006D4B3D" w:rsidP="006D4B3D">
      <w:pPr>
        <w:pStyle w:val="Heading3"/>
        <w:shd w:val="clear" w:color="auto" w:fill="FFFFFF"/>
        <w:spacing w:before="1200" w:after="0"/>
        <w:jc w:val="both"/>
        <w:rPr>
          <w:color w:val="0B0C0C"/>
          <w:sz w:val="41"/>
          <w:szCs w:val="41"/>
        </w:rPr>
      </w:pPr>
      <w:r>
        <w:rPr>
          <w:rStyle w:val="number"/>
          <w:color w:val="0B0C0C"/>
          <w:sz w:val="41"/>
          <w:szCs w:val="41"/>
        </w:rPr>
        <w:t>1: </w:t>
      </w:r>
      <w:r>
        <w:rPr>
          <w:color w:val="0B0C0C"/>
          <w:sz w:val="41"/>
          <w:szCs w:val="41"/>
        </w:rPr>
        <w:t>Proposed methodology for the calculation of the fee</w:t>
      </w:r>
    </w:p>
    <w:p w14:paraId="28060FA9" w14:textId="77777777" w:rsidR="006D4B3D" w:rsidRDefault="006D4B3D" w:rsidP="006D4B3D">
      <w:pPr>
        <w:pStyle w:val="NormalWeb"/>
        <w:shd w:val="clear" w:color="auto" w:fill="FFFFFF"/>
        <w:spacing w:before="300" w:beforeAutospacing="0" w:after="300" w:afterAutospacing="0"/>
        <w:jc w:val="both"/>
        <w:rPr>
          <w:rFonts w:ascii="Arial" w:hAnsi="Arial" w:cs="Arial"/>
          <w:color w:val="0B0C0C"/>
          <w:sz w:val="29"/>
          <w:szCs w:val="29"/>
        </w:rPr>
      </w:pPr>
      <w:r>
        <w:rPr>
          <w:rFonts w:ascii="Arial" w:hAnsi="Arial" w:cs="Arial"/>
          <w:color w:val="0B0C0C"/>
          <w:sz w:val="29"/>
          <w:szCs w:val="29"/>
        </w:rPr>
        <w:t>Weighting: 5</w:t>
      </w:r>
      <w:r>
        <w:rPr>
          <w:rFonts w:ascii="Arial" w:hAnsi="Arial" w:cs="Arial"/>
          <w:color w:val="0B0C0C"/>
          <w:sz w:val="29"/>
          <w:szCs w:val="29"/>
        </w:rPr>
        <w:br/>
        <w:t>Marks available: 20</w:t>
      </w:r>
    </w:p>
    <w:p w14:paraId="0B93803E" w14:textId="77777777" w:rsidR="006D4B3D" w:rsidRDefault="006D4B3D" w:rsidP="006D4B3D">
      <w:pPr>
        <w:pStyle w:val="NormalWeb"/>
        <w:shd w:val="clear" w:color="auto" w:fill="FFFFFF"/>
        <w:spacing w:before="300" w:beforeAutospacing="0" w:after="300" w:afterAutospacing="0"/>
        <w:jc w:val="both"/>
        <w:rPr>
          <w:rFonts w:ascii="Arial" w:hAnsi="Arial" w:cs="Arial"/>
          <w:color w:val="0B0C0C"/>
          <w:sz w:val="29"/>
          <w:szCs w:val="29"/>
        </w:rPr>
      </w:pPr>
      <w:r>
        <w:rPr>
          <w:rFonts w:ascii="Arial" w:hAnsi="Arial" w:cs="Arial"/>
          <w:color w:val="0B0C0C"/>
          <w:sz w:val="29"/>
          <w:szCs w:val="29"/>
        </w:rPr>
        <w:lastRenderedPageBreak/>
        <w:t>Set out a methodology to calculate a compliance fee across each WEEE collection stream. The calculation should encourage schemes to take all reasonable steps to meet their collection target without recourse to the compliance fee.</w:t>
      </w:r>
    </w:p>
    <w:p w14:paraId="34AB86B1" w14:textId="77777777" w:rsidR="006D4B3D" w:rsidRDefault="006D4B3D" w:rsidP="006D4B3D">
      <w:pPr>
        <w:pStyle w:val="NormalWeb"/>
        <w:shd w:val="clear" w:color="auto" w:fill="FFFFFF"/>
        <w:spacing w:before="300" w:beforeAutospacing="0" w:after="300" w:afterAutospacing="0"/>
        <w:jc w:val="both"/>
        <w:rPr>
          <w:rFonts w:ascii="Arial" w:hAnsi="Arial" w:cs="Arial"/>
          <w:color w:val="0B0C0C"/>
          <w:sz w:val="29"/>
          <w:szCs w:val="29"/>
        </w:rPr>
      </w:pPr>
      <w:r>
        <w:rPr>
          <w:rFonts w:ascii="Arial" w:hAnsi="Arial" w:cs="Arial"/>
          <w:color w:val="0B0C0C"/>
          <w:sz w:val="29"/>
          <w:szCs w:val="29"/>
        </w:rPr>
        <w:t xml:space="preserve">Be stream specific by </w:t>
      </w:r>
      <w:proofErr w:type="gramStart"/>
      <w:r>
        <w:rPr>
          <w:rFonts w:ascii="Arial" w:hAnsi="Arial" w:cs="Arial"/>
          <w:color w:val="0B0C0C"/>
          <w:sz w:val="29"/>
          <w:szCs w:val="29"/>
        </w:rPr>
        <w:t>taking into account</w:t>
      </w:r>
      <w:proofErr w:type="gramEnd"/>
      <w:r>
        <w:rPr>
          <w:rFonts w:ascii="Arial" w:hAnsi="Arial" w:cs="Arial"/>
          <w:color w:val="0B0C0C"/>
          <w:sz w:val="29"/>
          <w:szCs w:val="29"/>
        </w:rPr>
        <w:t xml:space="preserve"> the different costs associated with the collection, treatment, recovery and environmentally sound disposal of each of the 6 WEEE collection streams. For example, a PCS short of their targets by 10 tonnes of Display Equipment and 15 tonnes of Cooling Equipment will pay a fee specific to their shortage in each stream rather than a generic fee for a shortage of 25 tonnes. You may consider circumstances where a negligible or zero fee might be appropriate.</w:t>
      </w:r>
    </w:p>
    <w:p w14:paraId="335B08AC" w14:textId="77777777" w:rsidR="006D4B3D" w:rsidRDefault="006D4B3D" w:rsidP="006D4B3D">
      <w:pPr>
        <w:pStyle w:val="NormalWeb"/>
        <w:shd w:val="clear" w:color="auto" w:fill="FFFFFF"/>
        <w:spacing w:before="300" w:beforeAutospacing="0" w:after="300" w:afterAutospacing="0"/>
        <w:jc w:val="both"/>
        <w:rPr>
          <w:rFonts w:ascii="Arial" w:hAnsi="Arial" w:cs="Arial"/>
          <w:color w:val="0B0C0C"/>
          <w:sz w:val="29"/>
          <w:szCs w:val="29"/>
        </w:rPr>
      </w:pPr>
      <w:r>
        <w:rPr>
          <w:rFonts w:ascii="Arial" w:hAnsi="Arial" w:cs="Arial"/>
          <w:color w:val="0B0C0C"/>
          <w:sz w:val="29"/>
          <w:szCs w:val="29"/>
        </w:rPr>
        <w:t>Provide robust economic analysis (including cost of living impacts) in support of the proposed methodology.</w:t>
      </w:r>
    </w:p>
    <w:p w14:paraId="46687631" w14:textId="77777777" w:rsidR="006D4B3D" w:rsidRDefault="006D4B3D" w:rsidP="006D4B3D">
      <w:pPr>
        <w:pStyle w:val="NormalWeb"/>
        <w:shd w:val="clear" w:color="auto" w:fill="FFFFFF"/>
        <w:spacing w:before="300" w:beforeAutospacing="0" w:after="300" w:afterAutospacing="0"/>
        <w:jc w:val="both"/>
        <w:rPr>
          <w:rFonts w:ascii="Arial" w:hAnsi="Arial" w:cs="Arial"/>
          <w:color w:val="0B0C0C"/>
          <w:sz w:val="29"/>
          <w:szCs w:val="29"/>
        </w:rPr>
      </w:pPr>
      <w:r>
        <w:rPr>
          <w:rFonts w:ascii="Arial" w:hAnsi="Arial" w:cs="Arial"/>
          <w:color w:val="0B0C0C"/>
          <w:sz w:val="29"/>
          <w:szCs w:val="29"/>
        </w:rPr>
        <w:t>Outline worked examples of the impact of the proposed methodology on PCSs required to pay the compliance fee in a range of different scenarios. These should include:</w:t>
      </w:r>
    </w:p>
    <w:p w14:paraId="308B091F" w14:textId="77777777" w:rsidR="006D4B3D" w:rsidRDefault="006D4B3D" w:rsidP="006D4B3D">
      <w:pPr>
        <w:numPr>
          <w:ilvl w:val="0"/>
          <w:numId w:val="11"/>
        </w:numPr>
        <w:shd w:val="clear" w:color="auto" w:fill="FFFFFF"/>
        <w:spacing w:after="75" w:line="240" w:lineRule="auto"/>
        <w:ind w:left="1020"/>
        <w:jc w:val="both"/>
        <w:rPr>
          <w:color w:val="0B0C0C"/>
          <w:sz w:val="29"/>
          <w:szCs w:val="29"/>
        </w:rPr>
      </w:pPr>
      <w:r>
        <w:rPr>
          <w:color w:val="0B0C0C"/>
          <w:sz w:val="29"/>
          <w:szCs w:val="29"/>
        </w:rPr>
        <w:t>differing impacts on PCSs with large and small obligations</w:t>
      </w:r>
    </w:p>
    <w:p w14:paraId="60E9C380" w14:textId="77777777" w:rsidR="006D4B3D" w:rsidRDefault="006D4B3D" w:rsidP="006D4B3D">
      <w:pPr>
        <w:numPr>
          <w:ilvl w:val="0"/>
          <w:numId w:val="11"/>
        </w:numPr>
        <w:shd w:val="clear" w:color="auto" w:fill="FFFFFF"/>
        <w:spacing w:after="75" w:line="240" w:lineRule="auto"/>
        <w:ind w:left="1020"/>
        <w:jc w:val="both"/>
        <w:rPr>
          <w:color w:val="0B0C0C"/>
          <w:sz w:val="29"/>
          <w:szCs w:val="29"/>
        </w:rPr>
      </w:pPr>
      <w:r>
        <w:rPr>
          <w:color w:val="0B0C0C"/>
          <w:sz w:val="29"/>
          <w:szCs w:val="29"/>
        </w:rPr>
        <w:t>national shortfalls or surpluses</w:t>
      </w:r>
    </w:p>
    <w:p w14:paraId="02FDEC28" w14:textId="77777777" w:rsidR="006D4B3D" w:rsidRDefault="006D4B3D" w:rsidP="006D4B3D">
      <w:pPr>
        <w:numPr>
          <w:ilvl w:val="0"/>
          <w:numId w:val="11"/>
        </w:numPr>
        <w:shd w:val="clear" w:color="auto" w:fill="FFFFFF"/>
        <w:spacing w:after="75" w:line="240" w:lineRule="auto"/>
        <w:ind w:left="1020"/>
        <w:jc w:val="both"/>
        <w:rPr>
          <w:color w:val="0B0C0C"/>
          <w:sz w:val="29"/>
          <w:szCs w:val="29"/>
        </w:rPr>
      </w:pPr>
      <w:r>
        <w:rPr>
          <w:color w:val="0B0C0C"/>
          <w:sz w:val="29"/>
          <w:szCs w:val="29"/>
        </w:rPr>
        <w:t>other factors in the methodology that might have a bearing on what PCSs are required to pay</w:t>
      </w:r>
    </w:p>
    <w:p w14:paraId="62596829" w14:textId="77777777" w:rsidR="006D4B3D" w:rsidRDefault="006D4B3D" w:rsidP="006D4B3D">
      <w:pPr>
        <w:pStyle w:val="Heading3"/>
        <w:shd w:val="clear" w:color="auto" w:fill="FFFFFF"/>
        <w:spacing w:before="1200" w:after="0"/>
        <w:jc w:val="both"/>
        <w:rPr>
          <w:color w:val="0B0C0C"/>
          <w:sz w:val="41"/>
          <w:szCs w:val="41"/>
        </w:rPr>
      </w:pPr>
      <w:r>
        <w:rPr>
          <w:rStyle w:val="number"/>
          <w:color w:val="0B0C0C"/>
          <w:sz w:val="41"/>
          <w:szCs w:val="41"/>
        </w:rPr>
        <w:t>2: </w:t>
      </w:r>
      <w:r>
        <w:rPr>
          <w:color w:val="0B0C0C"/>
          <w:sz w:val="41"/>
          <w:szCs w:val="41"/>
        </w:rPr>
        <w:t>Proposed administration of the fee</w:t>
      </w:r>
    </w:p>
    <w:p w14:paraId="1AFDDE7E" w14:textId="77777777" w:rsidR="006D4B3D" w:rsidRDefault="006D4B3D" w:rsidP="00B67526">
      <w:pPr>
        <w:pStyle w:val="NormalWeb"/>
        <w:shd w:val="clear" w:color="auto" w:fill="FFFFFF"/>
        <w:spacing w:before="300" w:beforeAutospacing="0" w:after="300" w:afterAutospacing="0"/>
        <w:rPr>
          <w:rFonts w:ascii="Arial" w:hAnsi="Arial" w:cs="Arial"/>
          <w:color w:val="0B0C0C"/>
          <w:sz w:val="29"/>
          <w:szCs w:val="29"/>
        </w:rPr>
      </w:pPr>
      <w:r>
        <w:rPr>
          <w:rFonts w:ascii="Arial" w:hAnsi="Arial" w:cs="Arial"/>
          <w:color w:val="0B0C0C"/>
          <w:sz w:val="29"/>
          <w:szCs w:val="29"/>
        </w:rPr>
        <w:t>Weighting: 3</w:t>
      </w:r>
      <w:r>
        <w:rPr>
          <w:rFonts w:ascii="Arial" w:hAnsi="Arial" w:cs="Arial"/>
          <w:color w:val="0B0C0C"/>
          <w:sz w:val="29"/>
          <w:szCs w:val="29"/>
        </w:rPr>
        <w:br/>
        <w:t>Marks available: 12</w:t>
      </w:r>
    </w:p>
    <w:p w14:paraId="184D39FA" w14:textId="77777777" w:rsidR="006D4B3D" w:rsidRDefault="006D4B3D" w:rsidP="006D4B3D">
      <w:pPr>
        <w:pStyle w:val="NormalWeb"/>
        <w:shd w:val="clear" w:color="auto" w:fill="FFFFFF"/>
        <w:spacing w:before="300" w:beforeAutospacing="0" w:after="300" w:afterAutospacing="0"/>
        <w:jc w:val="both"/>
        <w:rPr>
          <w:rFonts w:ascii="Arial" w:hAnsi="Arial" w:cs="Arial"/>
          <w:color w:val="0B0C0C"/>
          <w:sz w:val="29"/>
          <w:szCs w:val="29"/>
        </w:rPr>
      </w:pPr>
      <w:r>
        <w:rPr>
          <w:rFonts w:ascii="Arial" w:hAnsi="Arial" w:cs="Arial"/>
          <w:color w:val="0B0C0C"/>
          <w:sz w:val="29"/>
          <w:szCs w:val="29"/>
        </w:rPr>
        <w:t>Describe how you will meet the overhead costs of:</w:t>
      </w:r>
    </w:p>
    <w:p w14:paraId="65B5FA1E" w14:textId="77777777" w:rsidR="006D4B3D" w:rsidRDefault="006D4B3D" w:rsidP="006D4B3D">
      <w:pPr>
        <w:numPr>
          <w:ilvl w:val="0"/>
          <w:numId w:val="12"/>
        </w:numPr>
        <w:shd w:val="clear" w:color="auto" w:fill="FFFFFF"/>
        <w:spacing w:after="75" w:line="240" w:lineRule="auto"/>
        <w:ind w:left="1020"/>
        <w:jc w:val="both"/>
        <w:rPr>
          <w:color w:val="0B0C0C"/>
          <w:sz w:val="29"/>
          <w:szCs w:val="29"/>
        </w:rPr>
      </w:pPr>
      <w:r>
        <w:rPr>
          <w:color w:val="0B0C0C"/>
          <w:sz w:val="29"/>
          <w:szCs w:val="29"/>
        </w:rPr>
        <w:t>calculating the fee</w:t>
      </w:r>
    </w:p>
    <w:p w14:paraId="114949FC" w14:textId="77777777" w:rsidR="006D4B3D" w:rsidRDefault="006D4B3D" w:rsidP="006D4B3D">
      <w:pPr>
        <w:numPr>
          <w:ilvl w:val="0"/>
          <w:numId w:val="12"/>
        </w:numPr>
        <w:shd w:val="clear" w:color="auto" w:fill="FFFFFF"/>
        <w:spacing w:after="75" w:line="240" w:lineRule="auto"/>
        <w:ind w:left="1020"/>
        <w:jc w:val="both"/>
        <w:rPr>
          <w:color w:val="0B0C0C"/>
          <w:sz w:val="29"/>
          <w:szCs w:val="29"/>
        </w:rPr>
      </w:pPr>
      <w:r>
        <w:rPr>
          <w:color w:val="0B0C0C"/>
          <w:sz w:val="29"/>
          <w:szCs w:val="29"/>
        </w:rPr>
        <w:t>setting up and administering the compliance fee mechanism</w:t>
      </w:r>
    </w:p>
    <w:p w14:paraId="43A81067" w14:textId="77777777" w:rsidR="006D4B3D" w:rsidRDefault="006D4B3D" w:rsidP="006D4B3D">
      <w:pPr>
        <w:numPr>
          <w:ilvl w:val="0"/>
          <w:numId w:val="12"/>
        </w:numPr>
        <w:shd w:val="clear" w:color="auto" w:fill="FFFFFF"/>
        <w:spacing w:after="75" w:line="240" w:lineRule="auto"/>
        <w:ind w:left="1020"/>
        <w:jc w:val="both"/>
        <w:rPr>
          <w:color w:val="0B0C0C"/>
          <w:sz w:val="29"/>
          <w:szCs w:val="29"/>
        </w:rPr>
      </w:pPr>
      <w:r>
        <w:rPr>
          <w:color w:val="0B0C0C"/>
          <w:sz w:val="29"/>
          <w:szCs w:val="29"/>
        </w:rPr>
        <w:t>transferring funds</w:t>
      </w:r>
    </w:p>
    <w:p w14:paraId="218A20AD" w14:textId="77777777" w:rsidR="006D4B3D" w:rsidRDefault="006D4B3D" w:rsidP="006D4B3D">
      <w:pPr>
        <w:pStyle w:val="NormalWeb"/>
        <w:shd w:val="clear" w:color="auto" w:fill="FFFFFF"/>
        <w:spacing w:before="300" w:beforeAutospacing="0" w:after="300" w:afterAutospacing="0"/>
        <w:jc w:val="both"/>
        <w:rPr>
          <w:rFonts w:ascii="Arial" w:hAnsi="Arial" w:cs="Arial"/>
          <w:color w:val="0B0C0C"/>
          <w:sz w:val="29"/>
          <w:szCs w:val="29"/>
        </w:rPr>
      </w:pPr>
      <w:r>
        <w:rPr>
          <w:rFonts w:ascii="Arial" w:hAnsi="Arial" w:cs="Arial"/>
          <w:color w:val="0B0C0C"/>
          <w:sz w:val="29"/>
          <w:szCs w:val="29"/>
        </w:rPr>
        <w:t>Include contingencies for a situation of minimal or zero uptake amongst PCSs.</w:t>
      </w:r>
    </w:p>
    <w:p w14:paraId="4B145DD8" w14:textId="77777777" w:rsidR="006D4B3D" w:rsidRDefault="006D4B3D" w:rsidP="006D4B3D">
      <w:pPr>
        <w:pStyle w:val="NormalWeb"/>
        <w:shd w:val="clear" w:color="auto" w:fill="FFFFFF"/>
        <w:spacing w:before="300" w:beforeAutospacing="0" w:after="300" w:afterAutospacing="0"/>
        <w:jc w:val="both"/>
        <w:rPr>
          <w:rFonts w:ascii="Arial" w:hAnsi="Arial" w:cs="Arial"/>
          <w:color w:val="0B0C0C"/>
          <w:sz w:val="29"/>
          <w:szCs w:val="29"/>
        </w:rPr>
      </w:pPr>
      <w:r>
        <w:rPr>
          <w:rFonts w:ascii="Arial" w:hAnsi="Arial" w:cs="Arial"/>
          <w:color w:val="0B0C0C"/>
          <w:sz w:val="29"/>
          <w:szCs w:val="29"/>
        </w:rPr>
        <w:lastRenderedPageBreak/>
        <w:t>Describe how PCSs will submit information that the proposed operator will use to calculate the fee. Include what information must be provided and how the information will be shown to be reliable whilst maintaining commercial confidentiality.</w:t>
      </w:r>
    </w:p>
    <w:p w14:paraId="67610EDE" w14:textId="77777777" w:rsidR="006D4B3D" w:rsidRDefault="006D4B3D" w:rsidP="006D4B3D">
      <w:pPr>
        <w:pStyle w:val="NormalWeb"/>
        <w:shd w:val="clear" w:color="auto" w:fill="FFFFFF"/>
        <w:spacing w:before="300" w:beforeAutospacing="0" w:after="300" w:afterAutospacing="0"/>
        <w:jc w:val="both"/>
        <w:rPr>
          <w:rFonts w:ascii="Arial" w:hAnsi="Arial" w:cs="Arial"/>
          <w:color w:val="0B0C0C"/>
          <w:sz w:val="29"/>
          <w:szCs w:val="29"/>
        </w:rPr>
      </w:pPr>
      <w:r>
        <w:rPr>
          <w:rFonts w:ascii="Arial" w:hAnsi="Arial" w:cs="Arial"/>
          <w:color w:val="0B0C0C"/>
          <w:sz w:val="29"/>
          <w:szCs w:val="29"/>
        </w:rPr>
        <w:t>Describe how PCSs will pay the fee. Include evidence of robust auditing arrangements, to make sure declarations of payments by PCSs (if needed) are reliable, and how you will maintain commercial confidentiality.</w:t>
      </w:r>
    </w:p>
    <w:p w14:paraId="11844DF7" w14:textId="77777777" w:rsidR="006D4B3D" w:rsidRDefault="006D4B3D" w:rsidP="006D4B3D">
      <w:pPr>
        <w:pStyle w:val="NormalWeb"/>
        <w:shd w:val="clear" w:color="auto" w:fill="FFFFFF"/>
        <w:spacing w:before="300" w:beforeAutospacing="0" w:after="300" w:afterAutospacing="0"/>
        <w:jc w:val="both"/>
        <w:rPr>
          <w:rFonts w:ascii="Arial" w:hAnsi="Arial" w:cs="Arial"/>
          <w:color w:val="0B0C0C"/>
          <w:sz w:val="29"/>
          <w:szCs w:val="29"/>
        </w:rPr>
      </w:pPr>
      <w:r>
        <w:rPr>
          <w:rFonts w:ascii="Arial" w:hAnsi="Arial" w:cs="Arial"/>
          <w:color w:val="0B0C0C"/>
          <w:sz w:val="29"/>
          <w:szCs w:val="29"/>
        </w:rPr>
        <w:t>Describe the appropriate arrangements for process and financial auditing of the compliance fee fund.</w:t>
      </w:r>
    </w:p>
    <w:p w14:paraId="1BAFC51D" w14:textId="77777777" w:rsidR="006D4B3D" w:rsidRDefault="006D4B3D" w:rsidP="006D4B3D">
      <w:pPr>
        <w:pStyle w:val="NormalWeb"/>
        <w:shd w:val="clear" w:color="auto" w:fill="FFFFFF"/>
        <w:spacing w:before="300" w:beforeAutospacing="0" w:after="300" w:afterAutospacing="0"/>
        <w:jc w:val="both"/>
        <w:rPr>
          <w:rFonts w:ascii="Arial" w:hAnsi="Arial" w:cs="Arial"/>
          <w:color w:val="0B0C0C"/>
          <w:sz w:val="29"/>
          <w:szCs w:val="29"/>
        </w:rPr>
      </w:pPr>
      <w:r>
        <w:rPr>
          <w:rFonts w:ascii="Arial" w:hAnsi="Arial" w:cs="Arial"/>
          <w:color w:val="0B0C0C"/>
          <w:sz w:val="29"/>
          <w:szCs w:val="29"/>
        </w:rPr>
        <w:t>Describe how you will make sure the environment agencies receive necessary evidence that an appropriate compliance fee has been paid by PCSs. The agencies must be able to recognise, when accepting a Declaration of Compliance from a PCS, that it is comprised of WEEE evidence and payment of a compliance fee. Validation of payment of the compliance fee must not place significant additional burdens on the agencies.</w:t>
      </w:r>
    </w:p>
    <w:p w14:paraId="4129AED8" w14:textId="77777777" w:rsidR="006D4B3D" w:rsidRDefault="006D4B3D" w:rsidP="006D4B3D">
      <w:pPr>
        <w:pStyle w:val="NormalWeb"/>
        <w:shd w:val="clear" w:color="auto" w:fill="FFFFFF"/>
        <w:spacing w:before="300" w:beforeAutospacing="0" w:after="300" w:afterAutospacing="0"/>
        <w:jc w:val="both"/>
        <w:rPr>
          <w:rFonts w:ascii="Arial" w:hAnsi="Arial" w:cs="Arial"/>
          <w:color w:val="0B0C0C"/>
          <w:sz w:val="29"/>
          <w:szCs w:val="29"/>
        </w:rPr>
      </w:pPr>
      <w:r>
        <w:rPr>
          <w:rFonts w:ascii="Arial" w:hAnsi="Arial" w:cs="Arial"/>
          <w:color w:val="0B0C0C"/>
          <w:sz w:val="29"/>
          <w:szCs w:val="29"/>
        </w:rPr>
        <w:t>Consider:</w:t>
      </w:r>
    </w:p>
    <w:p w14:paraId="77256EFB" w14:textId="77777777" w:rsidR="006D4B3D" w:rsidRDefault="006D4B3D" w:rsidP="006D4B3D">
      <w:pPr>
        <w:numPr>
          <w:ilvl w:val="0"/>
          <w:numId w:val="13"/>
        </w:numPr>
        <w:shd w:val="clear" w:color="auto" w:fill="FFFFFF"/>
        <w:spacing w:after="75" w:line="240" w:lineRule="auto"/>
        <w:ind w:left="1020"/>
        <w:jc w:val="both"/>
        <w:rPr>
          <w:color w:val="0B0C0C"/>
          <w:sz w:val="29"/>
          <w:szCs w:val="29"/>
        </w:rPr>
      </w:pPr>
      <w:r>
        <w:rPr>
          <w:color w:val="0B0C0C"/>
          <w:sz w:val="29"/>
          <w:szCs w:val="29"/>
        </w:rPr>
        <w:t>the impact of, and comply with, other relevant law, for example competition law</w:t>
      </w:r>
    </w:p>
    <w:p w14:paraId="721F7D34" w14:textId="77777777" w:rsidR="006D4B3D" w:rsidRDefault="006D4B3D" w:rsidP="006D4B3D">
      <w:pPr>
        <w:numPr>
          <w:ilvl w:val="0"/>
          <w:numId w:val="13"/>
        </w:numPr>
        <w:shd w:val="clear" w:color="auto" w:fill="FFFFFF"/>
        <w:spacing w:after="75" w:line="240" w:lineRule="auto"/>
        <w:ind w:left="1020"/>
        <w:jc w:val="both"/>
        <w:rPr>
          <w:color w:val="0B0C0C"/>
          <w:sz w:val="29"/>
          <w:szCs w:val="29"/>
        </w:rPr>
      </w:pPr>
      <w:r>
        <w:rPr>
          <w:color w:val="0B0C0C"/>
          <w:sz w:val="29"/>
          <w:szCs w:val="29"/>
        </w:rPr>
        <w:t>sound contingency plans</w:t>
      </w:r>
    </w:p>
    <w:p w14:paraId="3D1334FE" w14:textId="77777777" w:rsidR="006D4B3D" w:rsidRDefault="006D4B3D" w:rsidP="006D4B3D">
      <w:pPr>
        <w:pStyle w:val="NormalWeb"/>
        <w:shd w:val="clear" w:color="auto" w:fill="FFFFFF"/>
        <w:spacing w:before="300" w:beforeAutospacing="0" w:after="300" w:afterAutospacing="0"/>
        <w:jc w:val="both"/>
        <w:rPr>
          <w:rFonts w:ascii="Arial" w:hAnsi="Arial" w:cs="Arial"/>
          <w:color w:val="0B0C0C"/>
          <w:sz w:val="29"/>
          <w:szCs w:val="29"/>
        </w:rPr>
      </w:pPr>
      <w:r>
        <w:rPr>
          <w:rFonts w:ascii="Arial" w:hAnsi="Arial" w:cs="Arial"/>
          <w:color w:val="0B0C0C"/>
          <w:sz w:val="29"/>
          <w:szCs w:val="29"/>
        </w:rPr>
        <w:t>Include an evaluation feedback form for PCSs to complete following the compliance fee process.</w:t>
      </w:r>
    </w:p>
    <w:p w14:paraId="24E4CCEA" w14:textId="77777777" w:rsidR="006D4B3D" w:rsidRDefault="006D4B3D" w:rsidP="006D4B3D">
      <w:pPr>
        <w:pStyle w:val="Heading3"/>
        <w:shd w:val="clear" w:color="auto" w:fill="FFFFFF"/>
        <w:spacing w:before="1200" w:after="0"/>
        <w:jc w:val="both"/>
        <w:rPr>
          <w:color w:val="0B0C0C"/>
          <w:sz w:val="41"/>
          <w:szCs w:val="41"/>
        </w:rPr>
      </w:pPr>
      <w:r>
        <w:rPr>
          <w:rStyle w:val="number"/>
          <w:color w:val="0B0C0C"/>
          <w:sz w:val="41"/>
          <w:szCs w:val="41"/>
        </w:rPr>
        <w:t>3: </w:t>
      </w:r>
      <w:r>
        <w:rPr>
          <w:color w:val="0B0C0C"/>
          <w:sz w:val="41"/>
          <w:szCs w:val="41"/>
        </w:rPr>
        <w:t>Proposed methodology for dispersal of funds</w:t>
      </w:r>
    </w:p>
    <w:p w14:paraId="78960246" w14:textId="77777777" w:rsidR="006D4B3D" w:rsidRDefault="006D4B3D" w:rsidP="00B67526">
      <w:pPr>
        <w:pStyle w:val="NormalWeb"/>
        <w:shd w:val="clear" w:color="auto" w:fill="FFFFFF"/>
        <w:spacing w:before="300" w:beforeAutospacing="0" w:after="300" w:afterAutospacing="0"/>
        <w:rPr>
          <w:rFonts w:ascii="Arial" w:hAnsi="Arial" w:cs="Arial"/>
          <w:color w:val="0B0C0C"/>
          <w:sz w:val="29"/>
          <w:szCs w:val="29"/>
        </w:rPr>
      </w:pPr>
      <w:r>
        <w:rPr>
          <w:rFonts w:ascii="Arial" w:hAnsi="Arial" w:cs="Arial"/>
          <w:color w:val="0B0C0C"/>
          <w:sz w:val="29"/>
          <w:szCs w:val="29"/>
        </w:rPr>
        <w:t>Weighting: 4</w:t>
      </w:r>
      <w:r>
        <w:rPr>
          <w:rFonts w:ascii="Arial" w:hAnsi="Arial" w:cs="Arial"/>
          <w:color w:val="0B0C0C"/>
          <w:sz w:val="29"/>
          <w:szCs w:val="29"/>
        </w:rPr>
        <w:br/>
        <w:t>Marks available: 16</w:t>
      </w:r>
    </w:p>
    <w:p w14:paraId="2DE22C65" w14:textId="77777777" w:rsidR="006D4B3D" w:rsidRDefault="006D4B3D" w:rsidP="006D4B3D">
      <w:pPr>
        <w:pStyle w:val="NormalWeb"/>
        <w:shd w:val="clear" w:color="auto" w:fill="FFFFFF"/>
        <w:spacing w:before="300" w:beforeAutospacing="0" w:after="300" w:afterAutospacing="0"/>
        <w:jc w:val="both"/>
        <w:rPr>
          <w:rFonts w:ascii="Arial" w:hAnsi="Arial" w:cs="Arial"/>
          <w:color w:val="0B0C0C"/>
          <w:sz w:val="29"/>
          <w:szCs w:val="29"/>
        </w:rPr>
      </w:pPr>
      <w:r>
        <w:rPr>
          <w:rFonts w:ascii="Arial" w:hAnsi="Arial" w:cs="Arial"/>
          <w:color w:val="0B0C0C"/>
          <w:sz w:val="29"/>
          <w:szCs w:val="29"/>
        </w:rPr>
        <w:t>Describe how payments received establish a fund from which disbursements will be made and recover the costs of administering the compliance fee process.</w:t>
      </w:r>
    </w:p>
    <w:p w14:paraId="58CDE6FF" w14:textId="77777777" w:rsidR="006D4B3D" w:rsidRDefault="006D4B3D" w:rsidP="006D4B3D">
      <w:pPr>
        <w:pStyle w:val="NormalWeb"/>
        <w:shd w:val="clear" w:color="auto" w:fill="FFFFFF"/>
        <w:spacing w:before="300" w:beforeAutospacing="0" w:after="300" w:afterAutospacing="0"/>
        <w:jc w:val="both"/>
        <w:rPr>
          <w:rFonts w:ascii="Arial" w:hAnsi="Arial" w:cs="Arial"/>
          <w:color w:val="0B0C0C"/>
          <w:sz w:val="29"/>
          <w:szCs w:val="29"/>
        </w:rPr>
      </w:pPr>
      <w:r>
        <w:rPr>
          <w:rFonts w:ascii="Arial" w:hAnsi="Arial" w:cs="Arial"/>
          <w:color w:val="0B0C0C"/>
          <w:sz w:val="29"/>
          <w:szCs w:val="29"/>
        </w:rPr>
        <w:lastRenderedPageBreak/>
        <w:t xml:space="preserve">Show details of the mechanism for the dispersal of funds collected for varying fund sizes. Include proposals of how the fund should be used. For example, these could support higher levels of collection, </w:t>
      </w:r>
      <w:proofErr w:type="gramStart"/>
      <w:r>
        <w:rPr>
          <w:rFonts w:ascii="Arial" w:hAnsi="Arial" w:cs="Arial"/>
          <w:color w:val="0B0C0C"/>
          <w:sz w:val="29"/>
          <w:szCs w:val="29"/>
        </w:rPr>
        <w:t>recycling</w:t>
      </w:r>
      <w:proofErr w:type="gramEnd"/>
      <w:r>
        <w:rPr>
          <w:rFonts w:ascii="Arial" w:hAnsi="Arial" w:cs="Arial"/>
          <w:color w:val="0B0C0C"/>
          <w:sz w:val="29"/>
          <w:szCs w:val="29"/>
        </w:rPr>
        <w:t xml:space="preserve"> and legitimate reuse of WEEE.</w:t>
      </w:r>
    </w:p>
    <w:p w14:paraId="6E23A956" w14:textId="77777777" w:rsidR="006D4B3D" w:rsidRDefault="006D4B3D" w:rsidP="006D4B3D">
      <w:pPr>
        <w:pStyle w:val="NormalWeb"/>
        <w:shd w:val="clear" w:color="auto" w:fill="FFFFFF"/>
        <w:spacing w:before="300" w:beforeAutospacing="0" w:after="300" w:afterAutospacing="0"/>
        <w:jc w:val="both"/>
        <w:rPr>
          <w:rFonts w:ascii="Arial" w:hAnsi="Arial" w:cs="Arial"/>
          <w:color w:val="0B0C0C"/>
          <w:sz w:val="29"/>
          <w:szCs w:val="29"/>
        </w:rPr>
      </w:pPr>
      <w:r>
        <w:rPr>
          <w:rFonts w:ascii="Arial" w:hAnsi="Arial" w:cs="Arial"/>
          <w:color w:val="0B0C0C"/>
          <w:sz w:val="29"/>
          <w:szCs w:val="29"/>
        </w:rPr>
        <w:t>This must address a range of scenarios of funding level and appropriate dispersal methodologies.</w:t>
      </w:r>
    </w:p>
    <w:p w14:paraId="69244D3D" w14:textId="77777777" w:rsidR="006D4B3D" w:rsidRDefault="006D4B3D" w:rsidP="006D4B3D">
      <w:pPr>
        <w:pStyle w:val="NormalWeb"/>
        <w:shd w:val="clear" w:color="auto" w:fill="FFFFFF"/>
        <w:spacing w:before="300" w:beforeAutospacing="0" w:after="300" w:afterAutospacing="0"/>
        <w:jc w:val="both"/>
        <w:rPr>
          <w:rFonts w:ascii="Arial" w:hAnsi="Arial" w:cs="Arial"/>
          <w:color w:val="0B0C0C"/>
          <w:sz w:val="29"/>
          <w:szCs w:val="29"/>
        </w:rPr>
      </w:pPr>
      <w:r>
        <w:rPr>
          <w:rFonts w:ascii="Arial" w:hAnsi="Arial" w:cs="Arial"/>
          <w:color w:val="0B0C0C"/>
          <w:sz w:val="29"/>
          <w:szCs w:val="29"/>
        </w:rPr>
        <w:t xml:space="preserve">Set out how validation will take place to show that the funds have contributed to higher levels of collection, </w:t>
      </w:r>
      <w:proofErr w:type="gramStart"/>
      <w:r>
        <w:rPr>
          <w:rFonts w:ascii="Arial" w:hAnsi="Arial" w:cs="Arial"/>
          <w:color w:val="0B0C0C"/>
          <w:sz w:val="29"/>
          <w:szCs w:val="29"/>
        </w:rPr>
        <w:t>recycling</w:t>
      </w:r>
      <w:proofErr w:type="gramEnd"/>
      <w:r>
        <w:rPr>
          <w:rFonts w:ascii="Arial" w:hAnsi="Arial" w:cs="Arial"/>
          <w:color w:val="0B0C0C"/>
          <w:sz w:val="29"/>
          <w:szCs w:val="29"/>
        </w:rPr>
        <w:t xml:space="preserve"> and reuse of WEEE or wider WEEE obligations.</w:t>
      </w:r>
    </w:p>
    <w:p w14:paraId="30B406E3" w14:textId="77777777" w:rsidR="006D4B3D" w:rsidRDefault="006D4B3D" w:rsidP="006D4B3D">
      <w:pPr>
        <w:pStyle w:val="NormalWeb"/>
        <w:shd w:val="clear" w:color="auto" w:fill="FFFFFF"/>
        <w:spacing w:before="300" w:beforeAutospacing="0" w:after="300" w:afterAutospacing="0"/>
        <w:jc w:val="both"/>
        <w:rPr>
          <w:rFonts w:ascii="Arial" w:hAnsi="Arial" w:cs="Arial"/>
          <w:color w:val="0B0C0C"/>
          <w:sz w:val="29"/>
          <w:szCs w:val="29"/>
        </w:rPr>
      </w:pPr>
      <w:r>
        <w:rPr>
          <w:rFonts w:ascii="Arial" w:hAnsi="Arial" w:cs="Arial"/>
          <w:color w:val="0B0C0C"/>
          <w:sz w:val="29"/>
          <w:szCs w:val="29"/>
        </w:rPr>
        <w:t>Set out the governance arrangements for the receipt and disbursement of any compliance fees paid.</w:t>
      </w:r>
    </w:p>
    <w:p w14:paraId="0578F142" w14:textId="77777777" w:rsidR="006D4B3D" w:rsidRDefault="006D4B3D" w:rsidP="006D4B3D">
      <w:pPr>
        <w:pStyle w:val="Heading3"/>
        <w:shd w:val="clear" w:color="auto" w:fill="FFFFFF"/>
        <w:spacing w:before="1200" w:after="0"/>
        <w:jc w:val="both"/>
        <w:rPr>
          <w:color w:val="0B0C0C"/>
          <w:sz w:val="41"/>
          <w:szCs w:val="41"/>
        </w:rPr>
      </w:pPr>
      <w:r>
        <w:rPr>
          <w:rStyle w:val="number"/>
          <w:color w:val="0B0C0C"/>
          <w:sz w:val="41"/>
          <w:szCs w:val="41"/>
        </w:rPr>
        <w:t>4: </w:t>
      </w:r>
      <w:r>
        <w:rPr>
          <w:color w:val="0B0C0C"/>
          <w:sz w:val="41"/>
          <w:szCs w:val="41"/>
        </w:rPr>
        <w:t>Proposed timetable for implementation and operation</w:t>
      </w:r>
    </w:p>
    <w:p w14:paraId="0BCC2CB3" w14:textId="77777777" w:rsidR="006D4B3D" w:rsidRDefault="006D4B3D" w:rsidP="00B67526">
      <w:pPr>
        <w:pStyle w:val="NormalWeb"/>
        <w:shd w:val="clear" w:color="auto" w:fill="FFFFFF"/>
        <w:spacing w:before="300" w:beforeAutospacing="0" w:after="300" w:afterAutospacing="0"/>
        <w:rPr>
          <w:rFonts w:ascii="Arial" w:hAnsi="Arial" w:cs="Arial"/>
          <w:color w:val="0B0C0C"/>
          <w:sz w:val="29"/>
          <w:szCs w:val="29"/>
        </w:rPr>
      </w:pPr>
      <w:r>
        <w:rPr>
          <w:rFonts w:ascii="Arial" w:hAnsi="Arial" w:cs="Arial"/>
          <w:color w:val="0B0C0C"/>
          <w:sz w:val="29"/>
          <w:szCs w:val="29"/>
        </w:rPr>
        <w:t>Weighting: 3</w:t>
      </w:r>
      <w:r>
        <w:rPr>
          <w:rFonts w:ascii="Arial" w:hAnsi="Arial" w:cs="Arial"/>
          <w:color w:val="0B0C0C"/>
          <w:sz w:val="29"/>
          <w:szCs w:val="29"/>
        </w:rPr>
        <w:br/>
        <w:t>Marks available: 12</w:t>
      </w:r>
    </w:p>
    <w:p w14:paraId="32DB7996" w14:textId="77777777" w:rsidR="006D4B3D" w:rsidRDefault="006D4B3D" w:rsidP="006D4B3D">
      <w:pPr>
        <w:pStyle w:val="NormalWeb"/>
        <w:shd w:val="clear" w:color="auto" w:fill="FFFFFF"/>
        <w:spacing w:before="300" w:beforeAutospacing="0" w:after="300" w:afterAutospacing="0"/>
        <w:jc w:val="both"/>
        <w:rPr>
          <w:rFonts w:ascii="Arial" w:hAnsi="Arial" w:cs="Arial"/>
          <w:color w:val="0B0C0C"/>
          <w:sz w:val="29"/>
          <w:szCs w:val="29"/>
        </w:rPr>
      </w:pPr>
      <w:r>
        <w:rPr>
          <w:rFonts w:ascii="Arial" w:hAnsi="Arial" w:cs="Arial"/>
          <w:color w:val="0B0C0C"/>
          <w:sz w:val="29"/>
          <w:szCs w:val="29"/>
        </w:rPr>
        <w:t>Provide a realistic and comprehensive plan for implementation and operation.</w:t>
      </w:r>
    </w:p>
    <w:p w14:paraId="28D44FED" w14:textId="77777777" w:rsidR="006D4B3D" w:rsidRDefault="006D4B3D" w:rsidP="006D4B3D">
      <w:pPr>
        <w:pStyle w:val="NormalWeb"/>
        <w:shd w:val="clear" w:color="auto" w:fill="FFFFFF"/>
        <w:spacing w:before="300" w:beforeAutospacing="0" w:after="300" w:afterAutospacing="0"/>
        <w:jc w:val="both"/>
        <w:rPr>
          <w:rFonts w:ascii="Arial" w:hAnsi="Arial" w:cs="Arial"/>
          <w:color w:val="0B0C0C"/>
          <w:sz w:val="29"/>
          <w:szCs w:val="29"/>
        </w:rPr>
      </w:pPr>
      <w:r>
        <w:rPr>
          <w:rFonts w:ascii="Arial" w:hAnsi="Arial" w:cs="Arial"/>
          <w:color w:val="0B0C0C"/>
          <w:sz w:val="29"/>
          <w:szCs w:val="29"/>
        </w:rPr>
        <w:t>Show a clear process for staffing the proposals, and for developing and implementing IT systems.</w:t>
      </w:r>
    </w:p>
    <w:p w14:paraId="740B082B" w14:textId="77777777" w:rsidR="006D4B3D" w:rsidRDefault="006D4B3D" w:rsidP="006D4B3D">
      <w:pPr>
        <w:pStyle w:val="NormalWeb"/>
        <w:shd w:val="clear" w:color="auto" w:fill="FFFFFF"/>
        <w:spacing w:before="300" w:beforeAutospacing="0" w:after="300" w:afterAutospacing="0"/>
        <w:jc w:val="both"/>
        <w:rPr>
          <w:rFonts w:ascii="Arial" w:hAnsi="Arial" w:cs="Arial"/>
          <w:color w:val="0B0C0C"/>
          <w:sz w:val="29"/>
          <w:szCs w:val="29"/>
        </w:rPr>
      </w:pPr>
      <w:r>
        <w:rPr>
          <w:rFonts w:ascii="Arial" w:hAnsi="Arial" w:cs="Arial"/>
          <w:color w:val="0B0C0C"/>
          <w:sz w:val="29"/>
          <w:szCs w:val="29"/>
        </w:rPr>
        <w:t>Demonstrate an understanding of project dependencies and have appropriate contingency plans in place.</w:t>
      </w:r>
    </w:p>
    <w:p w14:paraId="664547FD" w14:textId="77777777" w:rsidR="006D4B3D" w:rsidRDefault="006D4B3D" w:rsidP="006D4B3D">
      <w:pPr>
        <w:pStyle w:val="Heading3"/>
        <w:shd w:val="clear" w:color="auto" w:fill="FFFFFF"/>
        <w:spacing w:before="1200" w:after="0"/>
        <w:jc w:val="both"/>
        <w:rPr>
          <w:color w:val="0B0C0C"/>
          <w:sz w:val="41"/>
          <w:szCs w:val="41"/>
        </w:rPr>
      </w:pPr>
      <w:r>
        <w:rPr>
          <w:rStyle w:val="number"/>
          <w:color w:val="0B0C0C"/>
          <w:sz w:val="41"/>
          <w:szCs w:val="41"/>
        </w:rPr>
        <w:t>5: </w:t>
      </w:r>
      <w:r>
        <w:rPr>
          <w:color w:val="0B0C0C"/>
          <w:sz w:val="41"/>
          <w:szCs w:val="41"/>
        </w:rPr>
        <w:t>Experience of proposer and proposed operator</w:t>
      </w:r>
    </w:p>
    <w:p w14:paraId="0AE7A42F" w14:textId="77777777" w:rsidR="006D4B3D" w:rsidRDefault="006D4B3D" w:rsidP="00B67526">
      <w:pPr>
        <w:pStyle w:val="NormalWeb"/>
        <w:shd w:val="clear" w:color="auto" w:fill="FFFFFF"/>
        <w:spacing w:before="300" w:beforeAutospacing="0" w:after="300" w:afterAutospacing="0"/>
        <w:rPr>
          <w:rFonts w:ascii="Arial" w:hAnsi="Arial" w:cs="Arial"/>
          <w:color w:val="0B0C0C"/>
          <w:sz w:val="29"/>
          <w:szCs w:val="29"/>
        </w:rPr>
      </w:pPr>
      <w:r>
        <w:rPr>
          <w:rFonts w:ascii="Arial" w:hAnsi="Arial" w:cs="Arial"/>
          <w:color w:val="0B0C0C"/>
          <w:sz w:val="29"/>
          <w:szCs w:val="29"/>
        </w:rPr>
        <w:t>Weighting: 2</w:t>
      </w:r>
      <w:r>
        <w:rPr>
          <w:rFonts w:ascii="Arial" w:hAnsi="Arial" w:cs="Arial"/>
          <w:color w:val="0B0C0C"/>
          <w:sz w:val="29"/>
          <w:szCs w:val="29"/>
        </w:rPr>
        <w:br/>
        <w:t>Marks available: 8</w:t>
      </w:r>
    </w:p>
    <w:p w14:paraId="7392486F" w14:textId="77777777" w:rsidR="006D4B3D" w:rsidRDefault="006D4B3D" w:rsidP="006D4B3D">
      <w:pPr>
        <w:pStyle w:val="NormalWeb"/>
        <w:shd w:val="clear" w:color="auto" w:fill="FFFFFF"/>
        <w:spacing w:before="300" w:beforeAutospacing="0" w:after="300" w:afterAutospacing="0"/>
        <w:jc w:val="both"/>
        <w:rPr>
          <w:rFonts w:ascii="Arial" w:hAnsi="Arial" w:cs="Arial"/>
          <w:color w:val="0B0C0C"/>
          <w:sz w:val="29"/>
          <w:szCs w:val="29"/>
        </w:rPr>
      </w:pPr>
      <w:r>
        <w:rPr>
          <w:rFonts w:ascii="Arial" w:hAnsi="Arial" w:cs="Arial"/>
          <w:color w:val="0B0C0C"/>
          <w:sz w:val="29"/>
          <w:szCs w:val="29"/>
        </w:rPr>
        <w:lastRenderedPageBreak/>
        <w:t>Demonstrate a proven track record of financial probity combined with practical experience of working in a regulatory environment.</w:t>
      </w:r>
    </w:p>
    <w:p w14:paraId="4DF1AE5A" w14:textId="77777777" w:rsidR="006D4B3D" w:rsidRDefault="006D4B3D" w:rsidP="006D4B3D">
      <w:pPr>
        <w:pStyle w:val="NormalWeb"/>
        <w:shd w:val="clear" w:color="auto" w:fill="FFFFFF"/>
        <w:spacing w:before="300" w:beforeAutospacing="0" w:after="300" w:afterAutospacing="0"/>
        <w:jc w:val="both"/>
        <w:rPr>
          <w:rFonts w:ascii="Arial" w:hAnsi="Arial" w:cs="Arial"/>
          <w:color w:val="0B0C0C"/>
          <w:sz w:val="29"/>
          <w:szCs w:val="29"/>
        </w:rPr>
      </w:pPr>
      <w:r>
        <w:rPr>
          <w:rFonts w:ascii="Arial" w:hAnsi="Arial" w:cs="Arial"/>
          <w:color w:val="0B0C0C"/>
          <w:sz w:val="29"/>
          <w:szCs w:val="29"/>
        </w:rPr>
        <w:t xml:space="preserve">Provide a clear strategy for identifying and effectively mitigating risks arising </w:t>
      </w:r>
      <w:proofErr w:type="gramStart"/>
      <w:r>
        <w:rPr>
          <w:rFonts w:ascii="Arial" w:hAnsi="Arial" w:cs="Arial"/>
          <w:color w:val="0B0C0C"/>
          <w:sz w:val="29"/>
          <w:szCs w:val="29"/>
        </w:rPr>
        <w:t>as a result of</w:t>
      </w:r>
      <w:proofErr w:type="gramEnd"/>
      <w:r>
        <w:rPr>
          <w:rFonts w:ascii="Arial" w:hAnsi="Arial" w:cs="Arial"/>
          <w:color w:val="0B0C0C"/>
          <w:sz w:val="29"/>
          <w:szCs w:val="29"/>
        </w:rPr>
        <w:t xml:space="preserve"> any conflicts of interest.</w:t>
      </w:r>
    </w:p>
    <w:p w14:paraId="4BBA9F6A" w14:textId="77777777" w:rsidR="006D4B3D" w:rsidRDefault="006D4B3D" w:rsidP="006D4B3D">
      <w:pPr>
        <w:pStyle w:val="NormalWeb"/>
        <w:shd w:val="clear" w:color="auto" w:fill="FFFFFF"/>
        <w:spacing w:before="300" w:beforeAutospacing="0" w:after="300" w:afterAutospacing="0"/>
        <w:jc w:val="both"/>
        <w:rPr>
          <w:rFonts w:ascii="Arial" w:hAnsi="Arial" w:cs="Arial"/>
          <w:color w:val="0B0C0C"/>
          <w:sz w:val="29"/>
          <w:szCs w:val="29"/>
        </w:rPr>
      </w:pPr>
      <w:r>
        <w:rPr>
          <w:rFonts w:ascii="Arial" w:hAnsi="Arial" w:cs="Arial"/>
          <w:color w:val="0B0C0C"/>
          <w:sz w:val="29"/>
          <w:szCs w:val="29"/>
        </w:rPr>
        <w:t>Demonstrate experience of:</w:t>
      </w:r>
    </w:p>
    <w:p w14:paraId="518294DA" w14:textId="77777777" w:rsidR="006D4B3D" w:rsidRDefault="006D4B3D" w:rsidP="006D4B3D">
      <w:pPr>
        <w:numPr>
          <w:ilvl w:val="0"/>
          <w:numId w:val="14"/>
        </w:numPr>
        <w:shd w:val="clear" w:color="auto" w:fill="FFFFFF"/>
        <w:spacing w:after="75" w:line="240" w:lineRule="auto"/>
        <w:ind w:left="1020"/>
        <w:jc w:val="both"/>
        <w:rPr>
          <w:color w:val="0B0C0C"/>
          <w:sz w:val="29"/>
          <w:szCs w:val="29"/>
        </w:rPr>
      </w:pPr>
      <w:r>
        <w:rPr>
          <w:color w:val="0B0C0C"/>
          <w:sz w:val="29"/>
          <w:szCs w:val="29"/>
        </w:rPr>
        <w:t>setting up systems to allow data to be submitted and processed effectively</w:t>
      </w:r>
    </w:p>
    <w:p w14:paraId="199545E4" w14:textId="77777777" w:rsidR="006D4B3D" w:rsidRDefault="006D4B3D" w:rsidP="006D4B3D">
      <w:pPr>
        <w:numPr>
          <w:ilvl w:val="0"/>
          <w:numId w:val="14"/>
        </w:numPr>
        <w:shd w:val="clear" w:color="auto" w:fill="FFFFFF"/>
        <w:spacing w:after="75" w:line="240" w:lineRule="auto"/>
        <w:ind w:left="1020"/>
        <w:jc w:val="both"/>
        <w:rPr>
          <w:color w:val="0B0C0C"/>
          <w:sz w:val="29"/>
          <w:szCs w:val="29"/>
        </w:rPr>
      </w:pPr>
      <w:r>
        <w:rPr>
          <w:color w:val="0B0C0C"/>
          <w:sz w:val="29"/>
          <w:szCs w:val="29"/>
        </w:rPr>
        <w:t>developing robust proposals for government</w:t>
      </w:r>
    </w:p>
    <w:p w14:paraId="0EA6F560" w14:textId="77777777" w:rsidR="006D4B3D" w:rsidRDefault="006D4B3D" w:rsidP="006D4B3D">
      <w:pPr>
        <w:pStyle w:val="NormalWeb"/>
        <w:shd w:val="clear" w:color="auto" w:fill="FFFFFF"/>
        <w:spacing w:before="300" w:beforeAutospacing="0" w:after="300" w:afterAutospacing="0"/>
        <w:jc w:val="both"/>
        <w:rPr>
          <w:rFonts w:ascii="Arial" w:hAnsi="Arial" w:cs="Arial"/>
          <w:color w:val="0B0C0C"/>
          <w:sz w:val="29"/>
          <w:szCs w:val="29"/>
        </w:rPr>
      </w:pPr>
      <w:r>
        <w:rPr>
          <w:rFonts w:ascii="Arial" w:hAnsi="Arial" w:cs="Arial"/>
          <w:color w:val="0B0C0C"/>
          <w:sz w:val="29"/>
          <w:szCs w:val="29"/>
        </w:rPr>
        <w:t>Provide evidence of the suitability of the proposed operator that will administer the Compliance Fee Process.</w:t>
      </w:r>
    </w:p>
    <w:p w14:paraId="36202A89" w14:textId="77777777" w:rsidR="006D4B3D" w:rsidRDefault="006D4B3D" w:rsidP="006D4B3D">
      <w:pPr>
        <w:pStyle w:val="Heading3"/>
        <w:shd w:val="clear" w:color="auto" w:fill="FFFFFF"/>
        <w:spacing w:before="1200" w:after="0"/>
        <w:jc w:val="both"/>
        <w:rPr>
          <w:color w:val="0B0C0C"/>
          <w:sz w:val="41"/>
          <w:szCs w:val="41"/>
        </w:rPr>
      </w:pPr>
      <w:r>
        <w:rPr>
          <w:rStyle w:val="number"/>
          <w:color w:val="0B0C0C"/>
          <w:sz w:val="41"/>
          <w:szCs w:val="41"/>
        </w:rPr>
        <w:t>6: </w:t>
      </w:r>
      <w:r>
        <w:rPr>
          <w:color w:val="0B0C0C"/>
          <w:sz w:val="41"/>
          <w:szCs w:val="41"/>
        </w:rPr>
        <w:t>IT systems</w:t>
      </w:r>
    </w:p>
    <w:p w14:paraId="0B0C8843" w14:textId="77777777" w:rsidR="006D4B3D" w:rsidRDefault="006D4B3D" w:rsidP="00B67526">
      <w:pPr>
        <w:pStyle w:val="NormalWeb"/>
        <w:shd w:val="clear" w:color="auto" w:fill="FFFFFF"/>
        <w:spacing w:before="300" w:beforeAutospacing="0" w:after="300" w:afterAutospacing="0"/>
        <w:rPr>
          <w:rFonts w:ascii="Arial" w:hAnsi="Arial" w:cs="Arial"/>
          <w:color w:val="0B0C0C"/>
          <w:sz w:val="29"/>
          <w:szCs w:val="29"/>
        </w:rPr>
      </w:pPr>
      <w:r>
        <w:rPr>
          <w:rFonts w:ascii="Arial" w:hAnsi="Arial" w:cs="Arial"/>
          <w:color w:val="0B0C0C"/>
          <w:sz w:val="29"/>
          <w:szCs w:val="29"/>
        </w:rPr>
        <w:t>Weighting: 1</w:t>
      </w:r>
      <w:r>
        <w:rPr>
          <w:rFonts w:ascii="Arial" w:hAnsi="Arial" w:cs="Arial"/>
          <w:color w:val="0B0C0C"/>
          <w:sz w:val="29"/>
          <w:szCs w:val="29"/>
        </w:rPr>
        <w:br/>
        <w:t>Marks available: 4</w:t>
      </w:r>
    </w:p>
    <w:p w14:paraId="7AD4388B" w14:textId="77777777" w:rsidR="006D4B3D" w:rsidRDefault="006D4B3D" w:rsidP="006D4B3D">
      <w:pPr>
        <w:pStyle w:val="NormalWeb"/>
        <w:shd w:val="clear" w:color="auto" w:fill="FFFFFF"/>
        <w:spacing w:before="300" w:beforeAutospacing="0" w:after="300" w:afterAutospacing="0"/>
        <w:jc w:val="both"/>
        <w:rPr>
          <w:rFonts w:ascii="Arial" w:hAnsi="Arial" w:cs="Arial"/>
          <w:color w:val="0B0C0C"/>
          <w:sz w:val="29"/>
          <w:szCs w:val="29"/>
        </w:rPr>
      </w:pPr>
      <w:r>
        <w:rPr>
          <w:rFonts w:ascii="Arial" w:hAnsi="Arial" w:cs="Arial"/>
          <w:color w:val="0B0C0C"/>
          <w:sz w:val="29"/>
          <w:szCs w:val="29"/>
        </w:rPr>
        <w:t>Demonstrate an appropriate IT system, including backup systems, and IT support.</w:t>
      </w:r>
    </w:p>
    <w:p w14:paraId="54959B5B" w14:textId="5873CA1A" w:rsidR="00C40731" w:rsidRDefault="0025159B" w:rsidP="006D4B3D">
      <w:pPr>
        <w:spacing w:after="186" w:line="259" w:lineRule="auto"/>
        <w:ind w:left="16" w:firstLine="0"/>
        <w:jc w:val="both"/>
      </w:pPr>
      <w:r>
        <w:t xml:space="preserve"> </w:t>
      </w:r>
    </w:p>
    <w:sectPr w:rsidR="00C40731">
      <w:headerReference w:type="default" r:id="rId22"/>
      <w:footerReference w:type="even" r:id="rId23"/>
      <w:footerReference w:type="default" r:id="rId24"/>
      <w:footerReference w:type="first" r:id="rId25"/>
      <w:pgSz w:w="11906" w:h="16838"/>
      <w:pgMar w:top="1290" w:right="1166" w:bottom="1563" w:left="1118" w:header="720" w:footer="44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E7AB22" w14:textId="77777777" w:rsidR="00443EC9" w:rsidRDefault="00443EC9">
      <w:pPr>
        <w:spacing w:after="0" w:line="240" w:lineRule="auto"/>
      </w:pPr>
      <w:r>
        <w:separator/>
      </w:r>
    </w:p>
  </w:endnote>
  <w:endnote w:type="continuationSeparator" w:id="0">
    <w:p w14:paraId="2EE3D8F3" w14:textId="77777777" w:rsidR="00443EC9" w:rsidRDefault="00443E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5518A" w14:textId="77777777" w:rsidR="00F01BD3" w:rsidRDefault="001366B8">
    <w:pPr>
      <w:tabs>
        <w:tab w:val="center" w:pos="4978"/>
        <w:tab w:val="center" w:pos="9654"/>
        <w:tab w:val="right" w:pos="10207"/>
      </w:tabs>
      <w:spacing w:after="0" w:line="259" w:lineRule="auto"/>
      <w:ind w:left="0" w:right="-585" w:firstLine="0"/>
    </w:pPr>
    <w:r>
      <w:rPr>
        <w:sz w:val="20"/>
      </w:rPr>
      <w:t xml:space="preserve">  </w:t>
    </w:r>
    <w:r>
      <w:rPr>
        <w:sz w:val="20"/>
      </w:rPr>
      <w:tab/>
      <w:t xml:space="preserve">  </w:t>
    </w:r>
    <w:r>
      <w:rPr>
        <w:sz w:val="20"/>
      </w:rPr>
      <w:tab/>
      <w:t xml:space="preserve">  </w:t>
    </w:r>
    <w:r>
      <w:rPr>
        <w:sz w:val="20"/>
      </w:rPr>
      <w:tab/>
    </w:r>
    <w:r>
      <w:rPr>
        <w:sz w:val="20"/>
      </w:rPr>
      <w:fldChar w:fldCharType="begin"/>
    </w:r>
    <w:r>
      <w:rPr>
        <w:sz w:val="20"/>
      </w:rPr>
      <w:instrText xml:space="preserve"> PAGE   \* MERGEFORMAT </w:instrText>
    </w:r>
    <w:r>
      <w:rPr>
        <w:sz w:val="20"/>
      </w:rPr>
      <w:fldChar w:fldCharType="separate"/>
    </w:r>
    <w:r>
      <w:rPr>
        <w:noProof/>
        <w:sz w:val="20"/>
      </w:rPr>
      <w:t>6</w:t>
    </w:r>
    <w:r>
      <w:rPr>
        <w:sz w:val="20"/>
      </w:rPr>
      <w:fldChar w:fldCharType="end"/>
    </w:r>
    <w:r>
      <w:rPr>
        <w:sz w:val="20"/>
      </w:rPr>
      <w:t xml:space="preserve"> </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DF195" w14:textId="77777777" w:rsidR="00F01BD3" w:rsidRDefault="001366B8">
    <w:pPr>
      <w:tabs>
        <w:tab w:val="center" w:pos="4978"/>
        <w:tab w:val="center" w:pos="9654"/>
        <w:tab w:val="right" w:pos="10207"/>
      </w:tabs>
      <w:spacing w:after="0" w:line="259" w:lineRule="auto"/>
      <w:ind w:left="0" w:right="-585" w:firstLine="0"/>
    </w:pPr>
    <w:r>
      <w:rPr>
        <w:sz w:val="20"/>
      </w:rPr>
      <w:t xml:space="preserve">  </w:t>
    </w:r>
    <w:r>
      <w:rPr>
        <w:sz w:val="20"/>
      </w:rPr>
      <w:tab/>
      <w:t xml:space="preserve">  </w:t>
    </w:r>
    <w:r>
      <w:rPr>
        <w:sz w:val="20"/>
      </w:rPr>
      <w:tab/>
      <w:t xml:space="preserve">  </w:t>
    </w:r>
    <w:r>
      <w:rPr>
        <w:sz w:val="20"/>
      </w:rPr>
      <w:tab/>
    </w:r>
    <w:r>
      <w:rPr>
        <w:sz w:val="20"/>
      </w:rPr>
      <w:fldChar w:fldCharType="begin"/>
    </w:r>
    <w:r>
      <w:rPr>
        <w:sz w:val="20"/>
      </w:rPr>
      <w:instrText xml:space="preserve"> PAGE   \* MERGEFORMAT </w:instrText>
    </w:r>
    <w:r>
      <w:rPr>
        <w:sz w:val="20"/>
      </w:rPr>
      <w:fldChar w:fldCharType="separate"/>
    </w:r>
    <w:r>
      <w:rPr>
        <w:noProof/>
        <w:sz w:val="20"/>
      </w:rPr>
      <w:t>2</w:t>
    </w:r>
    <w:r>
      <w:rPr>
        <w:sz w:val="20"/>
      </w:rPr>
      <w:fldChar w:fldCharType="end"/>
    </w:r>
    <w:r>
      <w:rPr>
        <w:sz w:val="20"/>
      </w:rPr>
      <w:t xml:space="preserve"> </w: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F4856" w14:textId="77777777" w:rsidR="00F01BD3" w:rsidRDefault="001366B8">
    <w:pPr>
      <w:tabs>
        <w:tab w:val="center" w:pos="4978"/>
        <w:tab w:val="center" w:pos="9654"/>
        <w:tab w:val="right" w:pos="10207"/>
      </w:tabs>
      <w:spacing w:after="0" w:line="259" w:lineRule="auto"/>
      <w:ind w:left="0" w:right="-585" w:firstLine="0"/>
    </w:pPr>
    <w:r>
      <w:rPr>
        <w:sz w:val="20"/>
      </w:rPr>
      <w:t xml:space="preserve">  </w:t>
    </w:r>
    <w:r>
      <w:rPr>
        <w:sz w:val="20"/>
      </w:rPr>
      <w:tab/>
      <w:t xml:space="preserve">  </w:t>
    </w:r>
    <w:r>
      <w:rPr>
        <w:sz w:val="20"/>
      </w:rPr>
      <w:tab/>
      <w:t xml:space="preserve">  </w:t>
    </w:r>
    <w:r>
      <w:rPr>
        <w:sz w:val="20"/>
      </w:rPr>
      <w:tab/>
    </w:r>
    <w:r>
      <w:rPr>
        <w:sz w:val="20"/>
      </w:rPr>
      <w:fldChar w:fldCharType="begin"/>
    </w:r>
    <w:r>
      <w:rPr>
        <w:sz w:val="20"/>
      </w:rPr>
      <w:instrText xml:space="preserve"> PAGE   \* MERGEFORMAT </w:instrText>
    </w:r>
    <w:r>
      <w:rPr>
        <w:sz w:val="20"/>
      </w:rPr>
      <w:fldChar w:fldCharType="separate"/>
    </w:r>
    <w:r>
      <w:rPr>
        <w:noProof/>
        <w:sz w:val="20"/>
      </w:rPr>
      <w:t>6</w:t>
    </w:r>
    <w:r>
      <w:rPr>
        <w:sz w:val="20"/>
      </w:rPr>
      <w:fldChar w:fldCharType="end"/>
    </w:r>
    <w:r>
      <w:rPr>
        <w:sz w:val="20"/>
      </w:rPr>
      <w:t xml:space="preserve"> </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A2E92" w14:textId="77777777" w:rsidR="00443EC9" w:rsidRDefault="00443EC9">
      <w:pPr>
        <w:spacing w:after="0" w:line="240" w:lineRule="auto"/>
      </w:pPr>
      <w:r>
        <w:separator/>
      </w:r>
    </w:p>
  </w:footnote>
  <w:footnote w:type="continuationSeparator" w:id="0">
    <w:p w14:paraId="0F06C464" w14:textId="77777777" w:rsidR="00443EC9" w:rsidRDefault="00443E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07"/>
      <w:gridCol w:w="3207"/>
      <w:gridCol w:w="3207"/>
    </w:tblGrid>
    <w:tr w:rsidR="6DF0A560" w14:paraId="12EA4E4D" w14:textId="77777777" w:rsidTr="00F34E69">
      <w:tc>
        <w:tcPr>
          <w:tcW w:w="3207" w:type="dxa"/>
        </w:tcPr>
        <w:p w14:paraId="3B9347E1" w14:textId="77777777" w:rsidR="6DF0A560" w:rsidRDefault="00000000" w:rsidP="00F34E69">
          <w:pPr>
            <w:pStyle w:val="Header"/>
            <w:ind w:left="-115"/>
          </w:pPr>
        </w:p>
      </w:tc>
      <w:tc>
        <w:tcPr>
          <w:tcW w:w="3207" w:type="dxa"/>
        </w:tcPr>
        <w:p w14:paraId="1C3962CD" w14:textId="77777777" w:rsidR="6DF0A560" w:rsidRDefault="00000000" w:rsidP="00F34E69">
          <w:pPr>
            <w:pStyle w:val="Header"/>
            <w:jc w:val="center"/>
          </w:pPr>
        </w:p>
      </w:tc>
      <w:tc>
        <w:tcPr>
          <w:tcW w:w="3207" w:type="dxa"/>
        </w:tcPr>
        <w:p w14:paraId="609017B4" w14:textId="77777777" w:rsidR="6DF0A560" w:rsidRDefault="00000000" w:rsidP="00F34E69">
          <w:pPr>
            <w:pStyle w:val="Header"/>
            <w:ind w:right="-115"/>
            <w:jc w:val="right"/>
          </w:pPr>
        </w:p>
      </w:tc>
    </w:tr>
  </w:tbl>
  <w:p w14:paraId="41CAA7C1" w14:textId="77777777" w:rsidR="6DF0A560" w:rsidRDefault="00000000" w:rsidP="00F34E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D17E9"/>
    <w:multiLevelType w:val="hybridMultilevel"/>
    <w:tmpl w:val="02F258FA"/>
    <w:lvl w:ilvl="0" w:tplc="E8DE43C4">
      <w:start w:val="1"/>
      <w:numFmt w:val="bullet"/>
      <w:lvlText w:val="•"/>
      <w:lvlJc w:val="left"/>
      <w:pPr>
        <w:ind w:left="7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6EA6710">
      <w:start w:val="1"/>
      <w:numFmt w:val="bullet"/>
      <w:lvlText w:val="o"/>
      <w:lvlJc w:val="left"/>
      <w:pPr>
        <w:ind w:left="14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862F068">
      <w:start w:val="1"/>
      <w:numFmt w:val="bullet"/>
      <w:lvlText w:val="▪"/>
      <w:lvlJc w:val="left"/>
      <w:pPr>
        <w:ind w:left="21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30A029A">
      <w:start w:val="1"/>
      <w:numFmt w:val="bullet"/>
      <w:lvlText w:val="•"/>
      <w:lvlJc w:val="left"/>
      <w:pPr>
        <w:ind w:left="28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EBCC1E0">
      <w:start w:val="1"/>
      <w:numFmt w:val="bullet"/>
      <w:lvlText w:val="o"/>
      <w:lvlJc w:val="left"/>
      <w:pPr>
        <w:ind w:left="36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1AA66EE">
      <w:start w:val="1"/>
      <w:numFmt w:val="bullet"/>
      <w:lvlText w:val="▪"/>
      <w:lvlJc w:val="left"/>
      <w:pPr>
        <w:ind w:left="43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4BE9408">
      <w:start w:val="1"/>
      <w:numFmt w:val="bullet"/>
      <w:lvlText w:val="•"/>
      <w:lvlJc w:val="left"/>
      <w:pPr>
        <w:ind w:left="50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15E6C48">
      <w:start w:val="1"/>
      <w:numFmt w:val="bullet"/>
      <w:lvlText w:val="o"/>
      <w:lvlJc w:val="left"/>
      <w:pPr>
        <w:ind w:left="57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07A5680">
      <w:start w:val="1"/>
      <w:numFmt w:val="bullet"/>
      <w:lvlText w:val="▪"/>
      <w:lvlJc w:val="left"/>
      <w:pPr>
        <w:ind w:left="64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1041CA3"/>
    <w:multiLevelType w:val="hybridMultilevel"/>
    <w:tmpl w:val="7F5663B6"/>
    <w:lvl w:ilvl="0" w:tplc="AA34416E">
      <w:start w:val="1"/>
      <w:numFmt w:val="bullet"/>
      <w:lvlText w:val="•"/>
      <w:lvlJc w:val="left"/>
      <w:pPr>
        <w:ind w:left="7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C3686E6">
      <w:start w:val="1"/>
      <w:numFmt w:val="bullet"/>
      <w:lvlText w:val="o"/>
      <w:lvlJc w:val="left"/>
      <w:pPr>
        <w:ind w:left="14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74A3120">
      <w:start w:val="1"/>
      <w:numFmt w:val="bullet"/>
      <w:lvlText w:val="▪"/>
      <w:lvlJc w:val="left"/>
      <w:pPr>
        <w:ind w:left="21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59430E8">
      <w:start w:val="1"/>
      <w:numFmt w:val="bullet"/>
      <w:lvlText w:val="•"/>
      <w:lvlJc w:val="left"/>
      <w:pPr>
        <w:ind w:left="28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96454AA">
      <w:start w:val="1"/>
      <w:numFmt w:val="bullet"/>
      <w:lvlText w:val="o"/>
      <w:lvlJc w:val="left"/>
      <w:pPr>
        <w:ind w:left="36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D6CACF4">
      <w:start w:val="1"/>
      <w:numFmt w:val="bullet"/>
      <w:lvlText w:val="▪"/>
      <w:lvlJc w:val="left"/>
      <w:pPr>
        <w:ind w:left="43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6C677D6">
      <w:start w:val="1"/>
      <w:numFmt w:val="bullet"/>
      <w:lvlText w:val="•"/>
      <w:lvlJc w:val="left"/>
      <w:pPr>
        <w:ind w:left="50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75C479E">
      <w:start w:val="1"/>
      <w:numFmt w:val="bullet"/>
      <w:lvlText w:val="o"/>
      <w:lvlJc w:val="left"/>
      <w:pPr>
        <w:ind w:left="57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3ECB296">
      <w:start w:val="1"/>
      <w:numFmt w:val="bullet"/>
      <w:lvlText w:val="▪"/>
      <w:lvlJc w:val="left"/>
      <w:pPr>
        <w:ind w:left="64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7F33600"/>
    <w:multiLevelType w:val="hybridMultilevel"/>
    <w:tmpl w:val="9C167E38"/>
    <w:lvl w:ilvl="0" w:tplc="C50E39AE">
      <w:start w:val="1"/>
      <w:numFmt w:val="bullet"/>
      <w:lvlText w:val="•"/>
      <w:lvlJc w:val="left"/>
      <w:pPr>
        <w:ind w:left="7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9A49CB0">
      <w:start w:val="1"/>
      <w:numFmt w:val="bullet"/>
      <w:lvlText w:val="o"/>
      <w:lvlJc w:val="left"/>
      <w:pPr>
        <w:ind w:left="14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69E9DD2">
      <w:start w:val="1"/>
      <w:numFmt w:val="bullet"/>
      <w:lvlText w:val="▪"/>
      <w:lvlJc w:val="left"/>
      <w:pPr>
        <w:ind w:left="21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1383CA4">
      <w:start w:val="1"/>
      <w:numFmt w:val="bullet"/>
      <w:lvlText w:val="•"/>
      <w:lvlJc w:val="left"/>
      <w:pPr>
        <w:ind w:left="28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4664F0A">
      <w:start w:val="1"/>
      <w:numFmt w:val="bullet"/>
      <w:lvlText w:val="o"/>
      <w:lvlJc w:val="left"/>
      <w:pPr>
        <w:ind w:left="36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4E85990">
      <w:start w:val="1"/>
      <w:numFmt w:val="bullet"/>
      <w:lvlText w:val="▪"/>
      <w:lvlJc w:val="left"/>
      <w:pPr>
        <w:ind w:left="43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D2871E2">
      <w:start w:val="1"/>
      <w:numFmt w:val="bullet"/>
      <w:lvlText w:val="•"/>
      <w:lvlJc w:val="left"/>
      <w:pPr>
        <w:ind w:left="50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AD0F258">
      <w:start w:val="1"/>
      <w:numFmt w:val="bullet"/>
      <w:lvlText w:val="o"/>
      <w:lvlJc w:val="left"/>
      <w:pPr>
        <w:ind w:left="57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F880A92">
      <w:start w:val="1"/>
      <w:numFmt w:val="bullet"/>
      <w:lvlText w:val="▪"/>
      <w:lvlJc w:val="left"/>
      <w:pPr>
        <w:ind w:left="64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45C4A6B"/>
    <w:multiLevelType w:val="multilevel"/>
    <w:tmpl w:val="77BCE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9EC328D"/>
    <w:multiLevelType w:val="multilevel"/>
    <w:tmpl w:val="2BF23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A880746"/>
    <w:multiLevelType w:val="multilevel"/>
    <w:tmpl w:val="4D82C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9B96506"/>
    <w:multiLevelType w:val="hybridMultilevel"/>
    <w:tmpl w:val="A8B0D99A"/>
    <w:lvl w:ilvl="0" w:tplc="947AB42E">
      <w:start w:val="2"/>
      <w:numFmt w:val="decimal"/>
      <w:lvlText w:val="(%1)"/>
      <w:lvlJc w:val="left"/>
      <w:pPr>
        <w:ind w:left="100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B7DE4B06">
      <w:start w:val="1"/>
      <w:numFmt w:val="lowerLetter"/>
      <w:lvlText w:val="%2"/>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781C24C0">
      <w:start w:val="1"/>
      <w:numFmt w:val="lowerRoman"/>
      <w:lvlText w:val="%3"/>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229C3EEC">
      <w:start w:val="1"/>
      <w:numFmt w:val="decimal"/>
      <w:lvlText w:val="%4"/>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5C327F4E">
      <w:start w:val="1"/>
      <w:numFmt w:val="lowerLetter"/>
      <w:lvlText w:val="%5"/>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42A4F12A">
      <w:start w:val="1"/>
      <w:numFmt w:val="lowerRoman"/>
      <w:lvlText w:val="%6"/>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7FA8D82A">
      <w:start w:val="1"/>
      <w:numFmt w:val="decimal"/>
      <w:lvlText w:val="%7"/>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8040A3DA">
      <w:start w:val="1"/>
      <w:numFmt w:val="lowerLetter"/>
      <w:lvlText w:val="%8"/>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52669C70">
      <w:start w:val="1"/>
      <w:numFmt w:val="lowerRoman"/>
      <w:lvlText w:val="%9"/>
      <w:lvlJc w:val="left"/>
      <w:pPr>
        <w:ind w:left="68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7" w15:restartNumberingAfterBreak="0">
    <w:nsid w:val="2F102F67"/>
    <w:multiLevelType w:val="hybridMultilevel"/>
    <w:tmpl w:val="817878E2"/>
    <w:lvl w:ilvl="0" w:tplc="E1029208">
      <w:numFmt w:val="decimal"/>
      <w:lvlText w:val="%1"/>
      <w:lvlJc w:val="left"/>
      <w:pPr>
        <w:ind w:left="1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D3C26D54">
      <w:start w:val="1"/>
      <w:numFmt w:val="lowerLetter"/>
      <w:lvlText w:val="%2"/>
      <w:lvlJc w:val="left"/>
      <w:pPr>
        <w:ind w:left="109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B6C88978">
      <w:start w:val="1"/>
      <w:numFmt w:val="lowerRoman"/>
      <w:lvlText w:val="%3"/>
      <w:lvlJc w:val="left"/>
      <w:pPr>
        <w:ind w:left="181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272ABAC4">
      <w:start w:val="1"/>
      <w:numFmt w:val="decimal"/>
      <w:lvlText w:val="%4"/>
      <w:lvlJc w:val="left"/>
      <w:pPr>
        <w:ind w:left="253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AAC6F432">
      <w:start w:val="1"/>
      <w:numFmt w:val="lowerLetter"/>
      <w:lvlText w:val="%5"/>
      <w:lvlJc w:val="left"/>
      <w:pPr>
        <w:ind w:left="325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A5C4EA86">
      <w:start w:val="1"/>
      <w:numFmt w:val="lowerRoman"/>
      <w:lvlText w:val="%6"/>
      <w:lvlJc w:val="left"/>
      <w:pPr>
        <w:ind w:left="397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BEB4A732">
      <w:start w:val="1"/>
      <w:numFmt w:val="decimal"/>
      <w:lvlText w:val="%7"/>
      <w:lvlJc w:val="left"/>
      <w:pPr>
        <w:ind w:left="469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9642F730">
      <w:start w:val="1"/>
      <w:numFmt w:val="lowerLetter"/>
      <w:lvlText w:val="%8"/>
      <w:lvlJc w:val="left"/>
      <w:pPr>
        <w:ind w:left="541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ADF29CA6">
      <w:start w:val="1"/>
      <w:numFmt w:val="lowerRoman"/>
      <w:lvlText w:val="%9"/>
      <w:lvlJc w:val="left"/>
      <w:pPr>
        <w:ind w:left="613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2F7658C"/>
    <w:multiLevelType w:val="multilevel"/>
    <w:tmpl w:val="F80C8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24C1F2C"/>
    <w:multiLevelType w:val="hybridMultilevel"/>
    <w:tmpl w:val="02F264C2"/>
    <w:lvl w:ilvl="0" w:tplc="ED48745C">
      <w:start w:val="1"/>
      <w:numFmt w:val="lowerLetter"/>
      <w:lvlText w:val="(%1)"/>
      <w:lvlJc w:val="left"/>
      <w:pPr>
        <w:ind w:left="100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762021C6">
      <w:start w:val="1"/>
      <w:numFmt w:val="lowerLetter"/>
      <w:lvlText w:val="%2"/>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FFE8F832">
      <w:start w:val="1"/>
      <w:numFmt w:val="lowerRoman"/>
      <w:lvlText w:val="%3"/>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459A846C">
      <w:start w:val="1"/>
      <w:numFmt w:val="decimal"/>
      <w:lvlText w:val="%4"/>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92CC415E">
      <w:start w:val="1"/>
      <w:numFmt w:val="lowerLetter"/>
      <w:lvlText w:val="%5"/>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392A8B08">
      <w:start w:val="1"/>
      <w:numFmt w:val="lowerRoman"/>
      <w:lvlText w:val="%6"/>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2B4A0018">
      <w:start w:val="1"/>
      <w:numFmt w:val="decimal"/>
      <w:lvlText w:val="%7"/>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CFE050F2">
      <w:start w:val="1"/>
      <w:numFmt w:val="lowerLetter"/>
      <w:lvlText w:val="%8"/>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B2ECAB84">
      <w:start w:val="1"/>
      <w:numFmt w:val="lowerRoman"/>
      <w:lvlText w:val="%9"/>
      <w:lvlJc w:val="left"/>
      <w:pPr>
        <w:ind w:left="68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10" w15:restartNumberingAfterBreak="0">
    <w:nsid w:val="647B1D25"/>
    <w:multiLevelType w:val="hybridMultilevel"/>
    <w:tmpl w:val="71A0628C"/>
    <w:lvl w:ilvl="0" w:tplc="1B64428E">
      <w:start w:val="1"/>
      <w:numFmt w:val="bullet"/>
      <w:lvlText w:val="•"/>
      <w:lvlJc w:val="left"/>
      <w:pPr>
        <w:ind w:left="7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CDC5F86">
      <w:start w:val="1"/>
      <w:numFmt w:val="bullet"/>
      <w:lvlText w:val="o"/>
      <w:lvlJc w:val="left"/>
      <w:pPr>
        <w:ind w:left="14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D127F20">
      <w:start w:val="1"/>
      <w:numFmt w:val="bullet"/>
      <w:lvlText w:val="▪"/>
      <w:lvlJc w:val="left"/>
      <w:pPr>
        <w:ind w:left="21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294FFFC">
      <w:start w:val="1"/>
      <w:numFmt w:val="bullet"/>
      <w:lvlText w:val="•"/>
      <w:lvlJc w:val="left"/>
      <w:pPr>
        <w:ind w:left="28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B46FE6C">
      <w:start w:val="1"/>
      <w:numFmt w:val="bullet"/>
      <w:lvlText w:val="o"/>
      <w:lvlJc w:val="left"/>
      <w:pPr>
        <w:ind w:left="36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CD29750">
      <w:start w:val="1"/>
      <w:numFmt w:val="bullet"/>
      <w:lvlText w:val="▪"/>
      <w:lvlJc w:val="left"/>
      <w:pPr>
        <w:ind w:left="43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8F42C4A">
      <w:start w:val="1"/>
      <w:numFmt w:val="bullet"/>
      <w:lvlText w:val="•"/>
      <w:lvlJc w:val="left"/>
      <w:pPr>
        <w:ind w:left="50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E6878DA">
      <w:start w:val="1"/>
      <w:numFmt w:val="bullet"/>
      <w:lvlText w:val="o"/>
      <w:lvlJc w:val="left"/>
      <w:pPr>
        <w:ind w:left="57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192A002">
      <w:start w:val="1"/>
      <w:numFmt w:val="bullet"/>
      <w:lvlText w:val="▪"/>
      <w:lvlJc w:val="left"/>
      <w:pPr>
        <w:ind w:left="64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6CA300F1"/>
    <w:multiLevelType w:val="hybridMultilevel"/>
    <w:tmpl w:val="B3DC7682"/>
    <w:lvl w:ilvl="0" w:tplc="FE6077C6">
      <w:start w:val="1"/>
      <w:numFmt w:val="bullet"/>
      <w:lvlText w:val="•"/>
      <w:lvlJc w:val="left"/>
      <w:pPr>
        <w:ind w:left="7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9FC743A">
      <w:start w:val="1"/>
      <w:numFmt w:val="bullet"/>
      <w:lvlText w:val="o"/>
      <w:lvlJc w:val="left"/>
      <w:pPr>
        <w:ind w:left="14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5549DF0">
      <w:start w:val="1"/>
      <w:numFmt w:val="bullet"/>
      <w:lvlText w:val="▪"/>
      <w:lvlJc w:val="left"/>
      <w:pPr>
        <w:ind w:left="21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7F282DA">
      <w:start w:val="1"/>
      <w:numFmt w:val="bullet"/>
      <w:lvlText w:val="•"/>
      <w:lvlJc w:val="left"/>
      <w:pPr>
        <w:ind w:left="28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5DE6F4E">
      <w:start w:val="1"/>
      <w:numFmt w:val="bullet"/>
      <w:lvlText w:val="o"/>
      <w:lvlJc w:val="left"/>
      <w:pPr>
        <w:ind w:left="36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D54CF12">
      <w:start w:val="1"/>
      <w:numFmt w:val="bullet"/>
      <w:lvlText w:val="▪"/>
      <w:lvlJc w:val="left"/>
      <w:pPr>
        <w:ind w:left="43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CB02C9E">
      <w:start w:val="1"/>
      <w:numFmt w:val="bullet"/>
      <w:lvlText w:val="•"/>
      <w:lvlJc w:val="left"/>
      <w:pPr>
        <w:ind w:left="50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73E189E">
      <w:start w:val="1"/>
      <w:numFmt w:val="bullet"/>
      <w:lvlText w:val="o"/>
      <w:lvlJc w:val="left"/>
      <w:pPr>
        <w:ind w:left="57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CAA6824">
      <w:start w:val="1"/>
      <w:numFmt w:val="bullet"/>
      <w:lvlText w:val="▪"/>
      <w:lvlJc w:val="left"/>
      <w:pPr>
        <w:ind w:left="64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77497C90"/>
    <w:multiLevelType w:val="hybridMultilevel"/>
    <w:tmpl w:val="CB82C68C"/>
    <w:lvl w:ilvl="0" w:tplc="78E692C6">
      <w:start w:val="1"/>
      <w:numFmt w:val="bullet"/>
      <w:lvlText w:val="•"/>
      <w:lvlJc w:val="left"/>
      <w:pPr>
        <w:ind w:left="7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3348748">
      <w:start w:val="1"/>
      <w:numFmt w:val="bullet"/>
      <w:lvlText w:val="o"/>
      <w:lvlJc w:val="left"/>
      <w:pPr>
        <w:ind w:left="14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C78284C">
      <w:start w:val="1"/>
      <w:numFmt w:val="bullet"/>
      <w:lvlText w:val="▪"/>
      <w:lvlJc w:val="left"/>
      <w:pPr>
        <w:ind w:left="21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A0403F4">
      <w:start w:val="1"/>
      <w:numFmt w:val="bullet"/>
      <w:lvlText w:val="•"/>
      <w:lvlJc w:val="left"/>
      <w:pPr>
        <w:ind w:left="28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F0A4AFC">
      <w:start w:val="1"/>
      <w:numFmt w:val="bullet"/>
      <w:lvlText w:val="o"/>
      <w:lvlJc w:val="left"/>
      <w:pPr>
        <w:ind w:left="36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3862DB0">
      <w:start w:val="1"/>
      <w:numFmt w:val="bullet"/>
      <w:lvlText w:val="▪"/>
      <w:lvlJc w:val="left"/>
      <w:pPr>
        <w:ind w:left="43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DC0AD92">
      <w:start w:val="1"/>
      <w:numFmt w:val="bullet"/>
      <w:lvlText w:val="•"/>
      <w:lvlJc w:val="left"/>
      <w:pPr>
        <w:ind w:left="50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C2EB566">
      <w:start w:val="1"/>
      <w:numFmt w:val="bullet"/>
      <w:lvlText w:val="o"/>
      <w:lvlJc w:val="left"/>
      <w:pPr>
        <w:ind w:left="57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0622A54">
      <w:start w:val="1"/>
      <w:numFmt w:val="bullet"/>
      <w:lvlText w:val="▪"/>
      <w:lvlJc w:val="left"/>
      <w:pPr>
        <w:ind w:left="64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7F6110AF"/>
    <w:multiLevelType w:val="multilevel"/>
    <w:tmpl w:val="99E0D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046873943">
    <w:abstractNumId w:val="9"/>
  </w:num>
  <w:num w:numId="2" w16cid:durableId="773944921">
    <w:abstractNumId w:val="6"/>
  </w:num>
  <w:num w:numId="3" w16cid:durableId="1315330829">
    <w:abstractNumId w:val="1"/>
  </w:num>
  <w:num w:numId="4" w16cid:durableId="342627510">
    <w:abstractNumId w:val="11"/>
  </w:num>
  <w:num w:numId="5" w16cid:durableId="1634212187">
    <w:abstractNumId w:val="10"/>
  </w:num>
  <w:num w:numId="6" w16cid:durableId="68775775">
    <w:abstractNumId w:val="2"/>
  </w:num>
  <w:num w:numId="7" w16cid:durableId="1900897157">
    <w:abstractNumId w:val="0"/>
  </w:num>
  <w:num w:numId="8" w16cid:durableId="230123798">
    <w:abstractNumId w:val="12"/>
  </w:num>
  <w:num w:numId="9" w16cid:durableId="1282033449">
    <w:abstractNumId w:val="7"/>
  </w:num>
  <w:num w:numId="10" w16cid:durableId="584270750">
    <w:abstractNumId w:val="8"/>
  </w:num>
  <w:num w:numId="11" w16cid:durableId="655186125">
    <w:abstractNumId w:val="5"/>
  </w:num>
  <w:num w:numId="12" w16cid:durableId="1143039018">
    <w:abstractNumId w:val="3"/>
  </w:num>
  <w:num w:numId="13" w16cid:durableId="1254825697">
    <w:abstractNumId w:val="4"/>
  </w:num>
  <w:num w:numId="14" w16cid:durableId="144175430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568"/>
    <w:rsid w:val="00057AAD"/>
    <w:rsid w:val="001158AA"/>
    <w:rsid w:val="001366B8"/>
    <w:rsid w:val="0025159B"/>
    <w:rsid w:val="00443EC9"/>
    <w:rsid w:val="00491693"/>
    <w:rsid w:val="0059509E"/>
    <w:rsid w:val="005B2909"/>
    <w:rsid w:val="00660375"/>
    <w:rsid w:val="006971D5"/>
    <w:rsid w:val="006D4B3D"/>
    <w:rsid w:val="00A27C8F"/>
    <w:rsid w:val="00A51BC6"/>
    <w:rsid w:val="00B67526"/>
    <w:rsid w:val="00B86475"/>
    <w:rsid w:val="00C40731"/>
    <w:rsid w:val="00CF6DD4"/>
    <w:rsid w:val="00D4406F"/>
    <w:rsid w:val="00DF0568"/>
    <w:rsid w:val="00F34E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9E9F2"/>
  <w15:chartTrackingRefBased/>
  <w15:docId w15:val="{5381248C-64E0-4D4C-8968-5E8196E13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0568"/>
    <w:pPr>
      <w:spacing w:after="3" w:line="261" w:lineRule="auto"/>
      <w:ind w:left="10" w:hanging="10"/>
    </w:pPr>
    <w:rPr>
      <w:rFonts w:ascii="Arial" w:eastAsia="Arial" w:hAnsi="Arial" w:cs="Arial"/>
      <w:color w:val="000000"/>
      <w:sz w:val="24"/>
      <w:lang w:eastAsia="en-GB"/>
    </w:rPr>
  </w:style>
  <w:style w:type="paragraph" w:styleId="Heading1">
    <w:name w:val="heading 1"/>
    <w:next w:val="Normal"/>
    <w:link w:val="Heading1Char"/>
    <w:uiPriority w:val="9"/>
    <w:unhideWhenUsed/>
    <w:qFormat/>
    <w:rsid w:val="00DF0568"/>
    <w:pPr>
      <w:keepNext/>
      <w:keepLines/>
      <w:spacing w:after="0"/>
      <w:ind w:left="26" w:hanging="10"/>
      <w:outlineLvl w:val="0"/>
    </w:pPr>
    <w:rPr>
      <w:rFonts w:ascii="Arial" w:eastAsia="Arial" w:hAnsi="Arial" w:cs="Arial"/>
      <w:b/>
      <w:color w:val="00AD41"/>
      <w:sz w:val="44"/>
      <w:lang w:eastAsia="en-GB"/>
    </w:rPr>
  </w:style>
  <w:style w:type="paragraph" w:styleId="Heading2">
    <w:name w:val="heading 2"/>
    <w:next w:val="Normal"/>
    <w:link w:val="Heading2Char"/>
    <w:uiPriority w:val="9"/>
    <w:unhideWhenUsed/>
    <w:qFormat/>
    <w:rsid w:val="00DF0568"/>
    <w:pPr>
      <w:keepNext/>
      <w:keepLines/>
      <w:spacing w:after="4" w:line="254" w:lineRule="auto"/>
      <w:ind w:left="26" w:hanging="10"/>
      <w:outlineLvl w:val="1"/>
    </w:pPr>
    <w:rPr>
      <w:rFonts w:ascii="Arial" w:eastAsia="Arial" w:hAnsi="Arial" w:cs="Arial"/>
      <w:b/>
      <w:color w:val="00AD41"/>
      <w:sz w:val="36"/>
      <w:lang w:eastAsia="en-GB"/>
    </w:rPr>
  </w:style>
  <w:style w:type="paragraph" w:styleId="Heading3">
    <w:name w:val="heading 3"/>
    <w:next w:val="Normal"/>
    <w:link w:val="Heading3Char"/>
    <w:uiPriority w:val="9"/>
    <w:unhideWhenUsed/>
    <w:qFormat/>
    <w:rsid w:val="00DF0568"/>
    <w:pPr>
      <w:keepNext/>
      <w:keepLines/>
      <w:spacing w:after="135"/>
      <w:ind w:left="10" w:hanging="10"/>
      <w:outlineLvl w:val="2"/>
    </w:pPr>
    <w:rPr>
      <w:rFonts w:ascii="Arial" w:eastAsia="Arial" w:hAnsi="Arial" w:cs="Arial"/>
      <w:b/>
      <w:color w:val="000000"/>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0568"/>
    <w:rPr>
      <w:rFonts w:ascii="Arial" w:eastAsia="Arial" w:hAnsi="Arial" w:cs="Arial"/>
      <w:b/>
      <w:color w:val="00AD41"/>
      <w:sz w:val="44"/>
      <w:lang w:eastAsia="en-GB"/>
    </w:rPr>
  </w:style>
  <w:style w:type="character" w:customStyle="1" w:styleId="Heading2Char">
    <w:name w:val="Heading 2 Char"/>
    <w:basedOn w:val="DefaultParagraphFont"/>
    <w:link w:val="Heading2"/>
    <w:uiPriority w:val="9"/>
    <w:rsid w:val="00DF0568"/>
    <w:rPr>
      <w:rFonts w:ascii="Arial" w:eastAsia="Arial" w:hAnsi="Arial" w:cs="Arial"/>
      <w:b/>
      <w:color w:val="00AD41"/>
      <w:sz w:val="36"/>
      <w:lang w:eastAsia="en-GB"/>
    </w:rPr>
  </w:style>
  <w:style w:type="character" w:customStyle="1" w:styleId="Heading3Char">
    <w:name w:val="Heading 3 Char"/>
    <w:basedOn w:val="DefaultParagraphFont"/>
    <w:link w:val="Heading3"/>
    <w:uiPriority w:val="9"/>
    <w:rsid w:val="00DF0568"/>
    <w:rPr>
      <w:rFonts w:ascii="Arial" w:eastAsia="Arial" w:hAnsi="Arial" w:cs="Arial"/>
      <w:b/>
      <w:color w:val="000000"/>
      <w:sz w:val="24"/>
      <w:lang w:eastAsia="en-GB"/>
    </w:rPr>
  </w:style>
  <w:style w:type="paragraph" w:styleId="TOC1">
    <w:name w:val="toc 1"/>
    <w:hidden/>
    <w:uiPriority w:val="39"/>
    <w:rsid w:val="00DF0568"/>
    <w:pPr>
      <w:spacing w:after="273" w:line="261" w:lineRule="auto"/>
      <w:ind w:left="33" w:right="23" w:hanging="10"/>
    </w:pPr>
    <w:rPr>
      <w:rFonts w:ascii="Arial" w:eastAsia="Arial" w:hAnsi="Arial" w:cs="Arial"/>
      <w:color w:val="000000"/>
      <w:sz w:val="24"/>
      <w:lang w:eastAsia="en-GB"/>
    </w:rPr>
  </w:style>
  <w:style w:type="paragraph" w:styleId="TOC2">
    <w:name w:val="toc 2"/>
    <w:hidden/>
    <w:uiPriority w:val="39"/>
    <w:rsid w:val="00DF0568"/>
    <w:pPr>
      <w:spacing w:after="272" w:line="261" w:lineRule="auto"/>
      <w:ind w:left="295" w:right="23" w:hanging="10"/>
    </w:pPr>
    <w:rPr>
      <w:rFonts w:ascii="Arial" w:eastAsia="Arial" w:hAnsi="Arial" w:cs="Arial"/>
      <w:color w:val="000000"/>
      <w:sz w:val="24"/>
      <w:lang w:eastAsia="en-GB"/>
    </w:rPr>
  </w:style>
  <w:style w:type="character" w:styleId="Hyperlink">
    <w:name w:val="Hyperlink"/>
    <w:basedOn w:val="DefaultParagraphFont"/>
    <w:uiPriority w:val="99"/>
    <w:unhideWhenUsed/>
    <w:rsid w:val="00DF0568"/>
    <w:rPr>
      <w:color w:val="0563C1" w:themeColor="hyperlink"/>
      <w:u w:val="single"/>
    </w:rPr>
  </w:style>
  <w:style w:type="paragraph" w:styleId="ListParagraph">
    <w:name w:val="List Paragraph"/>
    <w:basedOn w:val="Normal"/>
    <w:uiPriority w:val="34"/>
    <w:qFormat/>
    <w:rsid w:val="00DF0568"/>
    <w:pPr>
      <w:ind w:left="720"/>
      <w:contextualSpacing/>
    </w:pPr>
  </w:style>
  <w:style w:type="paragraph" w:customStyle="1" w:styleId="paragraph">
    <w:name w:val="paragraph"/>
    <w:basedOn w:val="Normal"/>
    <w:uiPriority w:val="99"/>
    <w:rsid w:val="00DF0568"/>
    <w:pPr>
      <w:spacing w:before="100" w:beforeAutospacing="1" w:after="100" w:afterAutospacing="1" w:line="240" w:lineRule="auto"/>
      <w:ind w:left="0" w:firstLine="0"/>
    </w:pPr>
    <w:rPr>
      <w:rFonts w:ascii="Times New Roman" w:eastAsiaTheme="minorHAnsi" w:hAnsi="Times New Roman" w:cs="Times New Roman"/>
      <w:color w:val="auto"/>
      <w:szCs w:val="24"/>
    </w:rPr>
  </w:style>
  <w:style w:type="character" w:customStyle="1" w:styleId="normaltextrun">
    <w:name w:val="normaltextrun"/>
    <w:basedOn w:val="DefaultParagraphFont"/>
    <w:rsid w:val="00DF0568"/>
  </w:style>
  <w:style w:type="table" w:styleId="TableGrid">
    <w:name w:val="Table Grid"/>
    <w:basedOn w:val="TableNormal"/>
    <w:uiPriority w:val="59"/>
    <w:rsid w:val="00DF0568"/>
    <w:pPr>
      <w:spacing w:after="0" w:line="240" w:lineRule="auto"/>
    </w:pPr>
    <w:rPr>
      <w:rFonts w:eastAsiaTheme="minorEastAsia"/>
      <w:lang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rsid w:val="00DF0568"/>
  </w:style>
  <w:style w:type="paragraph" w:styleId="Header">
    <w:name w:val="header"/>
    <w:basedOn w:val="Normal"/>
    <w:link w:val="HeaderChar"/>
    <w:uiPriority w:val="99"/>
    <w:unhideWhenUsed/>
    <w:rsid w:val="00DF0568"/>
    <w:pPr>
      <w:tabs>
        <w:tab w:val="center" w:pos="4680"/>
        <w:tab w:val="right" w:pos="9360"/>
      </w:tabs>
      <w:spacing w:after="0" w:line="240" w:lineRule="auto"/>
    </w:pPr>
    <w:rPr>
      <w:rFonts w:asciiTheme="minorHAnsi" w:eastAsiaTheme="minorHAnsi" w:hAnsiTheme="minorHAnsi" w:cstheme="minorBidi"/>
      <w:color w:val="auto"/>
      <w:sz w:val="22"/>
      <w:lang w:eastAsia="en-US"/>
    </w:rPr>
  </w:style>
  <w:style w:type="character" w:customStyle="1" w:styleId="HeaderChar1">
    <w:name w:val="Header Char1"/>
    <w:basedOn w:val="DefaultParagraphFont"/>
    <w:uiPriority w:val="99"/>
    <w:semiHidden/>
    <w:rsid w:val="00DF0568"/>
    <w:rPr>
      <w:rFonts w:ascii="Arial" w:eastAsia="Arial" w:hAnsi="Arial" w:cs="Arial"/>
      <w:color w:val="000000"/>
      <w:sz w:val="24"/>
      <w:lang w:eastAsia="en-GB"/>
    </w:rPr>
  </w:style>
  <w:style w:type="paragraph" w:styleId="BalloonText">
    <w:name w:val="Balloon Text"/>
    <w:basedOn w:val="Normal"/>
    <w:link w:val="BalloonTextChar"/>
    <w:uiPriority w:val="99"/>
    <w:semiHidden/>
    <w:unhideWhenUsed/>
    <w:rsid w:val="00DF05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0568"/>
    <w:rPr>
      <w:rFonts w:ascii="Segoe UI" w:eastAsia="Arial" w:hAnsi="Segoe UI" w:cs="Segoe UI"/>
      <w:color w:val="000000"/>
      <w:sz w:val="18"/>
      <w:szCs w:val="18"/>
      <w:lang w:eastAsia="en-GB"/>
    </w:rPr>
  </w:style>
  <w:style w:type="paragraph" w:styleId="NormalWeb">
    <w:name w:val="Normal (Web)"/>
    <w:basedOn w:val="Normal"/>
    <w:uiPriority w:val="99"/>
    <w:semiHidden/>
    <w:unhideWhenUsed/>
    <w:rsid w:val="006D4B3D"/>
    <w:pPr>
      <w:spacing w:before="100" w:beforeAutospacing="1" w:after="100" w:afterAutospacing="1" w:line="240" w:lineRule="auto"/>
      <w:ind w:left="0" w:firstLine="0"/>
    </w:pPr>
    <w:rPr>
      <w:rFonts w:ascii="Times New Roman" w:eastAsia="Times New Roman" w:hAnsi="Times New Roman" w:cs="Times New Roman"/>
      <w:color w:val="auto"/>
      <w:szCs w:val="24"/>
    </w:rPr>
  </w:style>
  <w:style w:type="character" w:customStyle="1" w:styleId="number">
    <w:name w:val="number"/>
    <w:basedOn w:val="DefaultParagraphFont"/>
    <w:rsid w:val="006D4B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1341797">
      <w:bodyDiv w:val="1"/>
      <w:marLeft w:val="0"/>
      <w:marRight w:val="0"/>
      <w:marTop w:val="0"/>
      <w:marBottom w:val="0"/>
      <w:divBdr>
        <w:top w:val="none" w:sz="0" w:space="0" w:color="auto"/>
        <w:left w:val="none" w:sz="0" w:space="0" w:color="auto"/>
        <w:bottom w:val="none" w:sz="0" w:space="0" w:color="auto"/>
        <w:right w:val="none" w:sz="0" w:space="0" w:color="auto"/>
      </w:divBdr>
      <w:divsChild>
        <w:div w:id="1659379211">
          <w:marLeft w:val="0"/>
          <w:marRight w:val="0"/>
          <w:marTop w:val="450"/>
          <w:marBottom w:val="450"/>
          <w:divBdr>
            <w:top w:val="none" w:sz="0" w:space="0" w:color="auto"/>
            <w:left w:val="single" w:sz="6" w:space="11" w:color="B1B4B6"/>
            <w:bottom w:val="none" w:sz="0" w:space="0" w:color="auto"/>
            <w:right w:val="none" w:sz="0" w:space="0" w:color="auto"/>
          </w:divBdr>
          <w:divsChild>
            <w:div w:id="129251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91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gov.uk/government/publications" TargetMode="External"/><Relationship Id="rId18" Type="http://schemas.openxmlformats.org/officeDocument/2006/relationships/hyperlink" Target="http://www.gov.uk/defra"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mailto:weee@defra.gov.uk" TargetMode="External"/><Relationship Id="rId7" Type="http://schemas.openxmlformats.org/officeDocument/2006/relationships/image" Target="media/image1.jpg"/><Relationship Id="rId12" Type="http://schemas.openxmlformats.org/officeDocument/2006/relationships/hyperlink" Target="http://www.nationalarchives.gov.uk/doc/open-government-licence/version/3/" TargetMode="External"/><Relationship Id="rId17" Type="http://schemas.openxmlformats.org/officeDocument/2006/relationships/hyperlink" Target="http://www.gov.uk/defra"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www.gov.uk/defra" TargetMode="External"/><Relationship Id="rId20" Type="http://schemas.openxmlformats.org/officeDocument/2006/relationships/hyperlink" Target="https://www.gov.uk/government/organisations/department-for-environment-food-rural-affair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ationalarchives.gov.uk/doc/open-government-licence/version/3/"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gov.uk/government/publications" TargetMode="External"/><Relationship Id="rId23" Type="http://schemas.openxmlformats.org/officeDocument/2006/relationships/footer" Target="footer1.xml"/><Relationship Id="rId10" Type="http://schemas.openxmlformats.org/officeDocument/2006/relationships/hyperlink" Target="http://www.nationalarchives.gov.uk/doc/open-government-licence/version/3/" TargetMode="External"/><Relationship Id="rId19" Type="http://schemas.openxmlformats.org/officeDocument/2006/relationships/hyperlink" Target="https://www.legislation.gov.uk/uksi/2013/3113/contents/made" TargetMode="External"/><Relationship Id="rId4" Type="http://schemas.openxmlformats.org/officeDocument/2006/relationships/webSettings" Target="webSettings.xml"/><Relationship Id="rId9" Type="http://schemas.openxmlformats.org/officeDocument/2006/relationships/hyperlink" Target="http://www.nationalarchives.gov.uk/doc/open-government-licence/version/3/" TargetMode="External"/><Relationship Id="rId14" Type="http://schemas.openxmlformats.org/officeDocument/2006/relationships/hyperlink" Target="http://www.gov.uk/government/publications" TargetMode="External"/><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1485</Words>
  <Characters>8470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Stocks, Matt</dc:creator>
  <cp:keywords/>
  <dc:description/>
  <cp:lastModifiedBy>Stocks, Matt</cp:lastModifiedBy>
  <cp:revision>2</cp:revision>
  <dcterms:created xsi:type="dcterms:W3CDTF">2023-10-04T08:02:00Z</dcterms:created>
  <dcterms:modified xsi:type="dcterms:W3CDTF">2023-10-04T08:02:00Z</dcterms:modified>
</cp:coreProperties>
</file>