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39C8" w14:textId="77777777" w:rsidR="00DF0568" w:rsidRDefault="00DF0568" w:rsidP="006D4B3D">
      <w:pPr>
        <w:spacing w:after="0" w:line="259" w:lineRule="auto"/>
        <w:ind w:left="18" w:firstLine="0"/>
        <w:jc w:val="both"/>
      </w:pPr>
      <w:r>
        <w:rPr>
          <w:noProof/>
        </w:rPr>
        <w:drawing>
          <wp:inline distT="0" distB="0" distL="0" distR="0" wp14:anchorId="05E5ECB6" wp14:editId="60B6ACAD">
            <wp:extent cx="2178685" cy="1117600"/>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8685" cy="1117600"/>
                    </a:xfrm>
                    <a:prstGeom prst="rect">
                      <a:avLst/>
                    </a:prstGeom>
                  </pic:spPr>
                </pic:pic>
              </a:graphicData>
            </a:graphic>
          </wp:inline>
        </w:drawing>
      </w:r>
      <w:r>
        <w:t xml:space="preserve"> </w:t>
      </w:r>
    </w:p>
    <w:p w14:paraId="49F770F1" w14:textId="77777777" w:rsidR="00DF0568" w:rsidRDefault="00DF0568" w:rsidP="006D4B3D">
      <w:pPr>
        <w:spacing w:after="2908" w:line="259" w:lineRule="auto"/>
        <w:ind w:left="3445" w:firstLine="0"/>
        <w:jc w:val="both"/>
      </w:pPr>
      <w:r>
        <w:t xml:space="preserve">  </w:t>
      </w:r>
    </w:p>
    <w:p w14:paraId="34B4ABBD" w14:textId="77777777" w:rsidR="00DF0568" w:rsidRDefault="00DF0568" w:rsidP="006D4B3D">
      <w:pPr>
        <w:spacing w:after="61" w:line="259" w:lineRule="auto"/>
        <w:ind w:left="9"/>
        <w:jc w:val="both"/>
      </w:pPr>
      <w:r>
        <w:rPr>
          <w:color w:val="00AD41"/>
          <w:sz w:val="72"/>
        </w:rPr>
        <w:t xml:space="preserve">Waste Electrical and  </w:t>
      </w:r>
    </w:p>
    <w:p w14:paraId="122D3181" w14:textId="77777777" w:rsidR="00DF0568" w:rsidRDefault="00DF0568" w:rsidP="006D4B3D">
      <w:pPr>
        <w:spacing w:after="61" w:line="259" w:lineRule="auto"/>
        <w:ind w:left="9"/>
        <w:jc w:val="both"/>
      </w:pPr>
      <w:r>
        <w:rPr>
          <w:color w:val="00AD41"/>
          <w:sz w:val="72"/>
        </w:rPr>
        <w:t>Electronic Equipment (WEEE)</w:t>
      </w:r>
      <w:r>
        <w:t xml:space="preserve"> </w:t>
      </w:r>
    </w:p>
    <w:p w14:paraId="6AD0CC0C" w14:textId="77777777" w:rsidR="00DF0568" w:rsidRDefault="00DF0568" w:rsidP="006D4B3D">
      <w:pPr>
        <w:spacing w:after="0" w:line="259" w:lineRule="auto"/>
        <w:ind w:left="9"/>
        <w:jc w:val="both"/>
      </w:pPr>
      <w:r>
        <w:rPr>
          <w:color w:val="00AD41"/>
          <w:sz w:val="72"/>
        </w:rPr>
        <w:t xml:space="preserve">Regulations 2013 </w:t>
      </w:r>
      <w:r>
        <w:t xml:space="preserve"> </w:t>
      </w:r>
    </w:p>
    <w:p w14:paraId="6730CC50" w14:textId="77777777" w:rsidR="00DF0568" w:rsidRDefault="00DF0568" w:rsidP="006D4B3D">
      <w:pPr>
        <w:spacing w:after="0" w:line="276" w:lineRule="auto"/>
        <w:ind w:left="14" w:firstLine="1"/>
        <w:jc w:val="both"/>
      </w:pPr>
      <w:r>
        <w:rPr>
          <w:b/>
          <w:color w:val="00AD41"/>
          <w:sz w:val="56"/>
        </w:rPr>
        <w:t xml:space="preserve">Guidance on submitting proposals for a WEEE Compliance Fee Methodology  </w:t>
      </w:r>
    </w:p>
    <w:p w14:paraId="561AFEE4" w14:textId="6023550F" w:rsidR="00DF0568" w:rsidRDefault="006D4B3D" w:rsidP="006D4B3D">
      <w:pPr>
        <w:spacing w:after="0" w:line="259" w:lineRule="auto"/>
        <w:ind w:left="16" w:firstLine="0"/>
        <w:jc w:val="both"/>
        <w:rPr>
          <w:b/>
          <w:bCs/>
          <w:color w:val="00AD41"/>
          <w:sz w:val="32"/>
          <w:szCs w:val="32"/>
        </w:rPr>
      </w:pPr>
      <w:r>
        <w:rPr>
          <w:b/>
          <w:bCs/>
          <w:color w:val="00AD41"/>
          <w:sz w:val="32"/>
          <w:szCs w:val="32"/>
        </w:rPr>
        <w:t>2022 Guidance</w:t>
      </w:r>
    </w:p>
    <w:p w14:paraId="64B144E5" w14:textId="77777777" w:rsidR="00DF0568" w:rsidRDefault="00DF0568" w:rsidP="006D4B3D">
      <w:pPr>
        <w:spacing w:after="207" w:line="259" w:lineRule="auto"/>
        <w:ind w:left="23" w:firstLine="0"/>
        <w:jc w:val="both"/>
      </w:pPr>
      <w:r>
        <w:t xml:space="preserve"> </w:t>
      </w:r>
    </w:p>
    <w:p w14:paraId="7FACFDBF" w14:textId="77777777" w:rsidR="00DF0568" w:rsidRDefault="00DF0568" w:rsidP="006D4B3D">
      <w:pPr>
        <w:spacing w:after="206" w:line="259" w:lineRule="auto"/>
        <w:ind w:left="23" w:firstLine="0"/>
        <w:jc w:val="both"/>
      </w:pPr>
      <w:r>
        <w:t xml:space="preserve"> </w:t>
      </w:r>
    </w:p>
    <w:p w14:paraId="2A8F928E" w14:textId="77777777" w:rsidR="00DF0568" w:rsidRDefault="00DF0568" w:rsidP="006D4B3D">
      <w:pPr>
        <w:spacing w:after="207" w:line="259" w:lineRule="auto"/>
        <w:ind w:left="23" w:firstLine="0"/>
        <w:jc w:val="both"/>
      </w:pPr>
      <w:r>
        <w:t xml:space="preserve"> </w:t>
      </w:r>
    </w:p>
    <w:p w14:paraId="60F62953" w14:textId="77777777" w:rsidR="00DF0568" w:rsidRDefault="00DF0568" w:rsidP="006D4B3D">
      <w:pPr>
        <w:spacing w:after="207" w:line="259" w:lineRule="auto"/>
        <w:ind w:left="23" w:firstLine="0"/>
        <w:jc w:val="both"/>
      </w:pPr>
      <w:r>
        <w:t xml:space="preserve"> </w:t>
      </w:r>
    </w:p>
    <w:p w14:paraId="5E9C49E4" w14:textId="77777777" w:rsidR="00DF0568" w:rsidRDefault="00DF0568" w:rsidP="006D4B3D">
      <w:pPr>
        <w:spacing w:after="206" w:line="259" w:lineRule="auto"/>
        <w:ind w:left="23" w:firstLine="0"/>
        <w:jc w:val="both"/>
      </w:pPr>
      <w:r>
        <w:t xml:space="preserve"> </w:t>
      </w:r>
    </w:p>
    <w:p w14:paraId="2CCB8985" w14:textId="77777777" w:rsidR="00DF0568" w:rsidRDefault="00DF0568" w:rsidP="006D4B3D">
      <w:pPr>
        <w:spacing w:after="207" w:line="259" w:lineRule="auto"/>
        <w:ind w:left="23" w:firstLine="0"/>
        <w:jc w:val="both"/>
      </w:pPr>
      <w:r>
        <w:t xml:space="preserve"> </w:t>
      </w:r>
    </w:p>
    <w:p w14:paraId="1767770E" w14:textId="77777777" w:rsidR="00DF0568" w:rsidRDefault="00DF0568" w:rsidP="006D4B3D">
      <w:pPr>
        <w:spacing w:after="207" w:line="259" w:lineRule="auto"/>
        <w:ind w:left="23" w:firstLine="0"/>
        <w:jc w:val="both"/>
      </w:pPr>
      <w:r>
        <w:t xml:space="preserve"> </w:t>
      </w:r>
    </w:p>
    <w:p w14:paraId="774F0F5A" w14:textId="77777777" w:rsidR="00DF0568" w:rsidRDefault="00DF0568" w:rsidP="006D4B3D">
      <w:pPr>
        <w:spacing w:after="597" w:line="259" w:lineRule="auto"/>
        <w:ind w:left="23" w:firstLine="0"/>
        <w:jc w:val="both"/>
      </w:pPr>
      <w:r>
        <w:lastRenderedPageBreak/>
        <w:t xml:space="preserve"> </w:t>
      </w:r>
    </w:p>
    <w:p w14:paraId="2F0CE389" w14:textId="77777777" w:rsidR="00DF0568" w:rsidRDefault="00DF0568" w:rsidP="006D4B3D">
      <w:pPr>
        <w:spacing w:after="0" w:line="259" w:lineRule="auto"/>
        <w:ind w:left="14" w:firstLine="0"/>
        <w:jc w:val="both"/>
      </w:pPr>
      <w:r>
        <w:t xml:space="preserve"> </w:t>
      </w:r>
    </w:p>
    <w:p w14:paraId="1C81D1B8" w14:textId="77777777" w:rsidR="00DF0568" w:rsidRDefault="00DF0568" w:rsidP="006D4B3D">
      <w:pPr>
        <w:spacing w:after="154" w:line="259" w:lineRule="auto"/>
        <w:ind w:left="23" w:firstLine="0"/>
        <w:jc w:val="both"/>
      </w:pPr>
      <w:r>
        <w:rPr>
          <w:noProof/>
        </w:rPr>
        <w:drawing>
          <wp:inline distT="0" distB="0" distL="0" distR="0" wp14:anchorId="5B0B4947" wp14:editId="5B07203A">
            <wp:extent cx="768096" cy="316992"/>
            <wp:effectExtent l="0" t="0" r="0" b="0"/>
            <wp:docPr id="4669" name="Picture 4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096" cy="316992"/>
                    </a:xfrm>
                    <a:prstGeom prst="rect">
                      <a:avLst/>
                    </a:prstGeom>
                  </pic:spPr>
                </pic:pic>
              </a:graphicData>
            </a:graphic>
          </wp:inline>
        </w:drawing>
      </w:r>
      <w:r>
        <w:t xml:space="preserve">  </w:t>
      </w:r>
    </w:p>
    <w:p w14:paraId="3B57363E" w14:textId="77777777" w:rsidR="00DF0568" w:rsidRDefault="00DF0568" w:rsidP="006D4B3D">
      <w:pPr>
        <w:spacing w:after="257"/>
        <w:ind w:left="11"/>
        <w:jc w:val="both"/>
      </w:pPr>
      <w:r>
        <w:t xml:space="preserve">© Crown copyright 2016  </w:t>
      </w:r>
    </w:p>
    <w:p w14:paraId="1BC8BD6B" w14:textId="77777777" w:rsidR="00DF0568" w:rsidRDefault="00DF0568" w:rsidP="006D4B3D">
      <w:pPr>
        <w:spacing w:after="258"/>
        <w:ind w:left="11" w:right="94"/>
        <w:jc w:val="both"/>
      </w:pPr>
      <w:r>
        <w:t xml:space="preserve">You may re-use this information (excluding logos) free of charge in any format or medium, under the terms of the Open Government Licence v.3. To view this licence visit </w:t>
      </w:r>
      <w:hyperlink r:id="rId9">
        <w:r>
          <w:rPr>
            <w:color w:val="0000FF"/>
            <w:u w:val="single" w:color="0000FF"/>
          </w:rPr>
          <w:t>www.nationalarchives.gov.uk/doc/open-government-licence/version/3</w:t>
        </w:r>
      </w:hyperlink>
      <w:hyperlink r:id="rId10">
        <w:r>
          <w:rPr>
            <w:color w:val="0000FF"/>
            <w:u w:val="single" w:color="0000FF"/>
          </w:rPr>
          <w:t>/</w:t>
        </w:r>
      </w:hyperlink>
      <w:hyperlink r:id="rId11">
        <w:r>
          <w:t xml:space="preserve"> </w:t>
        </w:r>
      </w:hyperlink>
      <w:hyperlink r:id="rId12">
        <w:r>
          <w:t>o</w:t>
        </w:r>
      </w:hyperlink>
      <w:r>
        <w:t xml:space="preserve">r email </w:t>
      </w:r>
      <w:r>
        <w:rPr>
          <w:color w:val="0000FF"/>
          <w:u w:val="single" w:color="0000FF"/>
        </w:rPr>
        <w:t>PSI@nationalarchives.gsi.gov.uk</w:t>
      </w:r>
      <w:r>
        <w:t xml:space="preserve">    </w:t>
      </w:r>
    </w:p>
    <w:p w14:paraId="7F1783FD" w14:textId="77777777" w:rsidR="00DF0568" w:rsidRDefault="00DF0568" w:rsidP="006D4B3D">
      <w:pPr>
        <w:spacing w:after="258" w:line="259" w:lineRule="auto"/>
        <w:ind w:left="11"/>
        <w:jc w:val="both"/>
      </w:pPr>
      <w:r>
        <w:t xml:space="preserve">This publication is available at </w:t>
      </w:r>
      <w:hyperlink r:id="rId13">
        <w:r>
          <w:rPr>
            <w:color w:val="0000FF"/>
            <w:u w:val="single" w:color="0000FF"/>
          </w:rPr>
          <w:t>www.gov.uk/government/publication</w:t>
        </w:r>
      </w:hyperlink>
      <w:hyperlink r:id="rId14">
        <w:r>
          <w:rPr>
            <w:color w:val="0000FF"/>
            <w:u w:val="single" w:color="0000FF"/>
          </w:rPr>
          <w:t>s</w:t>
        </w:r>
      </w:hyperlink>
      <w:hyperlink r:id="rId15">
        <w:r>
          <w:t xml:space="preserve">  </w:t>
        </w:r>
      </w:hyperlink>
      <w:r>
        <w:t xml:space="preserve">  </w:t>
      </w:r>
    </w:p>
    <w:p w14:paraId="442F841C" w14:textId="77777777" w:rsidR="00DF0568" w:rsidRDefault="00DF0568" w:rsidP="006D4B3D">
      <w:pPr>
        <w:spacing w:after="257"/>
        <w:ind w:left="11"/>
        <w:jc w:val="both"/>
      </w:pPr>
      <w:r>
        <w:t xml:space="preserve">Any enquiries regarding this publication should be sent to us at  </w:t>
      </w:r>
    </w:p>
    <w:p w14:paraId="6DEC021B" w14:textId="77777777" w:rsidR="00DF0568" w:rsidRDefault="00DF0568" w:rsidP="006D4B3D">
      <w:pPr>
        <w:spacing w:after="256"/>
        <w:ind w:left="11"/>
        <w:jc w:val="both"/>
      </w:pPr>
      <w:r>
        <w:t xml:space="preserve">Department of Environment Food and Rural Affairs  </w:t>
      </w:r>
    </w:p>
    <w:p w14:paraId="1219C125" w14:textId="77777777" w:rsidR="00DF0568" w:rsidRDefault="00DF0568" w:rsidP="006D4B3D">
      <w:pPr>
        <w:spacing w:after="259"/>
        <w:ind w:left="11"/>
        <w:jc w:val="both"/>
      </w:pPr>
      <w:r>
        <w:t xml:space="preserve">Seacole Building  </w:t>
      </w:r>
    </w:p>
    <w:p w14:paraId="01135B52" w14:textId="77777777" w:rsidR="00DF0568" w:rsidRDefault="00DF0568" w:rsidP="006D4B3D">
      <w:pPr>
        <w:spacing w:after="256"/>
        <w:ind w:left="11"/>
        <w:jc w:val="both"/>
      </w:pPr>
      <w:r>
        <w:t xml:space="preserve">Ground floor </w:t>
      </w:r>
    </w:p>
    <w:p w14:paraId="5EA31913" w14:textId="77777777" w:rsidR="00DF0568" w:rsidRDefault="00DF0568" w:rsidP="006D4B3D">
      <w:pPr>
        <w:spacing w:after="256"/>
        <w:ind w:left="11"/>
        <w:jc w:val="both"/>
      </w:pPr>
      <w:r>
        <w:t xml:space="preserve">2 Marsham Street </w:t>
      </w:r>
    </w:p>
    <w:p w14:paraId="3205E843" w14:textId="77777777" w:rsidR="00DF0568" w:rsidRDefault="00DF0568" w:rsidP="006D4B3D">
      <w:pPr>
        <w:spacing w:after="258"/>
        <w:ind w:left="11"/>
        <w:jc w:val="both"/>
      </w:pPr>
      <w:r>
        <w:t xml:space="preserve">London SW1P 4DF </w:t>
      </w:r>
    </w:p>
    <w:p w14:paraId="27AC2909" w14:textId="77777777" w:rsidR="00DF0568" w:rsidRDefault="00D4406F" w:rsidP="006D4B3D">
      <w:pPr>
        <w:spacing w:after="258" w:line="259" w:lineRule="auto"/>
        <w:ind w:left="11"/>
        <w:jc w:val="both"/>
      </w:pPr>
      <w:hyperlink r:id="rId16">
        <w:r w:rsidR="00DF0568">
          <w:rPr>
            <w:color w:val="0000FF"/>
            <w:u w:val="single" w:color="0000FF"/>
          </w:rPr>
          <w:t>www.gov.uk/defr</w:t>
        </w:r>
      </w:hyperlink>
      <w:hyperlink r:id="rId17">
        <w:r w:rsidR="00DF0568">
          <w:rPr>
            <w:color w:val="0000FF"/>
            <w:u w:val="single" w:color="0000FF"/>
          </w:rPr>
          <w:t>a</w:t>
        </w:r>
      </w:hyperlink>
      <w:hyperlink r:id="rId18">
        <w:r w:rsidR="00DF0568">
          <w:t xml:space="preserve">  </w:t>
        </w:r>
      </w:hyperlink>
      <w:r w:rsidR="00DF0568">
        <w:rPr>
          <w:sz w:val="20"/>
        </w:rPr>
        <w:t xml:space="preserve"> </w:t>
      </w:r>
      <w:r w:rsidR="00DF0568">
        <w:t xml:space="preserve"> </w:t>
      </w:r>
      <w:r w:rsidR="00DF0568">
        <w:br w:type="page"/>
      </w:r>
    </w:p>
    <w:p w14:paraId="3B3DABD7" w14:textId="288F5253" w:rsidR="006D4B3D" w:rsidRPr="006D4B3D" w:rsidRDefault="006D4B3D" w:rsidP="006D4B3D">
      <w:pPr>
        <w:pStyle w:val="NormalWeb"/>
        <w:shd w:val="clear" w:color="auto" w:fill="FFFFFF"/>
        <w:spacing w:before="0" w:beforeAutospacing="0" w:after="300" w:afterAutospacing="0"/>
        <w:jc w:val="both"/>
        <w:rPr>
          <w:rFonts w:ascii="Arial" w:hAnsi="Arial" w:cs="Arial"/>
          <w:color w:val="0B0C0C"/>
          <w:sz w:val="29"/>
          <w:szCs w:val="29"/>
        </w:rPr>
      </w:pPr>
      <w:r w:rsidRPr="006D4B3D">
        <w:rPr>
          <w:rFonts w:ascii="Arial" w:hAnsi="Arial" w:cs="Arial"/>
          <w:color w:val="0B0C0C"/>
          <w:sz w:val="29"/>
          <w:szCs w:val="29"/>
        </w:rPr>
        <w:lastRenderedPageBreak/>
        <w:t>The </w:t>
      </w:r>
      <w:hyperlink r:id="rId19" w:history="1">
        <w:r w:rsidRPr="006D4B3D">
          <w:rPr>
            <w:rStyle w:val="Hyperlink"/>
            <w:rFonts w:ascii="Arial" w:eastAsia="Arial" w:hAnsi="Arial" w:cs="Arial"/>
            <w:color w:val="1D70B8"/>
            <w:sz w:val="29"/>
            <w:szCs w:val="29"/>
          </w:rPr>
          <w:t>2013 Waste Electrical and Electronic Equipment (WEEE) regulations</w:t>
        </w:r>
      </w:hyperlink>
      <w:r w:rsidRPr="006D4B3D">
        <w:rPr>
          <w:rFonts w:ascii="Arial" w:hAnsi="Arial" w:cs="Arial"/>
          <w:color w:val="0B0C0C"/>
          <w:sz w:val="29"/>
          <w:szCs w:val="29"/>
        </w:rPr>
        <w:t> established a system of household WEEE collection targets for producer compliance schemes (PCSs).</w:t>
      </w:r>
    </w:p>
    <w:p w14:paraId="47F61F56" w14:textId="77777777" w:rsidR="006D4B3D" w:rsidRP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sidRPr="006D4B3D">
        <w:rPr>
          <w:rFonts w:ascii="Arial" w:hAnsi="Arial" w:cs="Arial"/>
          <w:color w:val="0B0C0C"/>
          <w:sz w:val="29"/>
          <w:szCs w:val="29"/>
        </w:rPr>
        <w:t xml:space="preserve">Where a PCS has failed to achieve its collection targets, the PCS can pay a compliance fee </w:t>
      </w:r>
      <w:proofErr w:type="gramStart"/>
      <w:r w:rsidRPr="006D4B3D">
        <w:rPr>
          <w:rFonts w:ascii="Arial" w:hAnsi="Arial" w:cs="Arial"/>
          <w:color w:val="0B0C0C"/>
          <w:sz w:val="29"/>
          <w:szCs w:val="29"/>
        </w:rPr>
        <w:t>in order to</w:t>
      </w:r>
      <w:proofErr w:type="gramEnd"/>
      <w:r w:rsidRPr="006D4B3D">
        <w:rPr>
          <w:rFonts w:ascii="Arial" w:hAnsi="Arial" w:cs="Arial"/>
          <w:color w:val="0B0C0C"/>
          <w:sz w:val="29"/>
          <w:szCs w:val="29"/>
        </w:rPr>
        <w:t xml:space="preserve"> meet its obligations.</w:t>
      </w:r>
    </w:p>
    <w:p w14:paraId="481D03FA" w14:textId="77777777" w:rsidR="006D4B3D" w:rsidRP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sidRPr="006D4B3D">
        <w:rPr>
          <w:rFonts w:ascii="Arial" w:hAnsi="Arial" w:cs="Arial"/>
          <w:color w:val="0B0C0C"/>
          <w:sz w:val="29"/>
          <w:szCs w:val="29"/>
        </w:rPr>
        <w:t>Defra approves one compliance fee methodology and the administrator to run it for one compliance year only.</w:t>
      </w:r>
    </w:p>
    <w:p w14:paraId="1C2E7094" w14:textId="77777777" w:rsidR="006D4B3D" w:rsidRP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sidRPr="006D4B3D">
        <w:rPr>
          <w:rFonts w:ascii="Arial" w:hAnsi="Arial" w:cs="Arial"/>
          <w:color w:val="0B0C0C"/>
          <w:sz w:val="29"/>
          <w:szCs w:val="29"/>
        </w:rPr>
        <w:t>This guidance helps organisations consider submitting a proposal for a compliance fee methodology. It explains the 6 areas to cover in your proposal and how it will be evaluated.</w:t>
      </w:r>
    </w:p>
    <w:p w14:paraId="3CA1A0AD" w14:textId="77777777" w:rsidR="006D4B3D" w:rsidRDefault="006D4B3D" w:rsidP="006D4B3D">
      <w:pPr>
        <w:pStyle w:val="Heading2"/>
        <w:shd w:val="clear" w:color="auto" w:fill="FFFFFF"/>
        <w:spacing w:before="1200" w:after="0"/>
        <w:jc w:val="both"/>
        <w:rPr>
          <w:color w:val="0B0C0C"/>
          <w:sz w:val="54"/>
          <w:szCs w:val="54"/>
        </w:rPr>
      </w:pPr>
      <w:r>
        <w:rPr>
          <w:color w:val="0B0C0C"/>
          <w:sz w:val="54"/>
          <w:szCs w:val="54"/>
        </w:rPr>
        <w:t>Timings</w:t>
      </w:r>
    </w:p>
    <w:p w14:paraId="1F9DEE8E"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You must submit your proposal by 30 September for a compliance period. Defra will not consider proposals received after that date. You can propose a methodology and an organisation to run it.</w:t>
      </w:r>
    </w:p>
    <w:p w14:paraId="08D59209"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You should consult stakeholder groups before you submit your proposal.</w:t>
      </w:r>
    </w:p>
    <w:p w14:paraId="04500B96"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Defra will publish all proposals and consult with interested parties including:</w:t>
      </w:r>
    </w:p>
    <w:p w14:paraId="0DD92255" w14:textId="77777777" w:rsidR="006D4B3D" w:rsidRDefault="006D4B3D" w:rsidP="006D4B3D">
      <w:pPr>
        <w:numPr>
          <w:ilvl w:val="0"/>
          <w:numId w:val="10"/>
        </w:numPr>
        <w:shd w:val="clear" w:color="auto" w:fill="FFFFFF"/>
        <w:spacing w:after="75" w:line="240" w:lineRule="auto"/>
        <w:ind w:left="1020"/>
        <w:jc w:val="both"/>
        <w:rPr>
          <w:color w:val="0B0C0C"/>
          <w:sz w:val="29"/>
          <w:szCs w:val="29"/>
        </w:rPr>
      </w:pPr>
      <w:r>
        <w:rPr>
          <w:color w:val="0B0C0C"/>
          <w:sz w:val="29"/>
          <w:szCs w:val="29"/>
        </w:rPr>
        <w:t>producers of electrical equipment</w:t>
      </w:r>
    </w:p>
    <w:p w14:paraId="5E06CA21" w14:textId="77777777" w:rsidR="006D4B3D" w:rsidRDefault="006D4B3D" w:rsidP="006D4B3D">
      <w:pPr>
        <w:numPr>
          <w:ilvl w:val="0"/>
          <w:numId w:val="10"/>
        </w:numPr>
        <w:shd w:val="clear" w:color="auto" w:fill="FFFFFF"/>
        <w:spacing w:after="75" w:line="240" w:lineRule="auto"/>
        <w:ind w:left="1020"/>
        <w:jc w:val="both"/>
        <w:rPr>
          <w:color w:val="0B0C0C"/>
          <w:sz w:val="29"/>
          <w:szCs w:val="29"/>
        </w:rPr>
      </w:pPr>
      <w:r>
        <w:rPr>
          <w:color w:val="0B0C0C"/>
          <w:sz w:val="29"/>
          <w:szCs w:val="29"/>
        </w:rPr>
        <w:t>WEEE treatment companies</w:t>
      </w:r>
    </w:p>
    <w:p w14:paraId="4585371E" w14:textId="77777777" w:rsidR="006D4B3D" w:rsidRDefault="006D4B3D" w:rsidP="006D4B3D">
      <w:pPr>
        <w:numPr>
          <w:ilvl w:val="0"/>
          <w:numId w:val="10"/>
        </w:numPr>
        <w:shd w:val="clear" w:color="auto" w:fill="FFFFFF"/>
        <w:spacing w:after="75" w:line="240" w:lineRule="auto"/>
        <w:ind w:left="1020"/>
        <w:jc w:val="both"/>
        <w:rPr>
          <w:color w:val="0B0C0C"/>
          <w:sz w:val="29"/>
          <w:szCs w:val="29"/>
        </w:rPr>
      </w:pPr>
      <w:r>
        <w:rPr>
          <w:color w:val="0B0C0C"/>
          <w:sz w:val="29"/>
          <w:szCs w:val="29"/>
        </w:rPr>
        <w:t>PCSs</w:t>
      </w:r>
    </w:p>
    <w:p w14:paraId="22A05FA7" w14:textId="77777777" w:rsidR="006D4B3D" w:rsidRDefault="006D4B3D" w:rsidP="006D4B3D">
      <w:pPr>
        <w:numPr>
          <w:ilvl w:val="0"/>
          <w:numId w:val="10"/>
        </w:numPr>
        <w:shd w:val="clear" w:color="auto" w:fill="FFFFFF"/>
        <w:spacing w:after="75" w:line="240" w:lineRule="auto"/>
        <w:ind w:left="1020"/>
        <w:jc w:val="both"/>
        <w:rPr>
          <w:color w:val="0B0C0C"/>
          <w:sz w:val="29"/>
          <w:szCs w:val="29"/>
        </w:rPr>
      </w:pPr>
      <w:r>
        <w:rPr>
          <w:color w:val="0B0C0C"/>
          <w:sz w:val="29"/>
          <w:szCs w:val="29"/>
        </w:rPr>
        <w:t>local authorities</w:t>
      </w:r>
    </w:p>
    <w:p w14:paraId="7D8256C4" w14:textId="77777777" w:rsidR="006D4B3D" w:rsidRDefault="006D4B3D" w:rsidP="006D4B3D">
      <w:pPr>
        <w:numPr>
          <w:ilvl w:val="0"/>
          <w:numId w:val="10"/>
        </w:numPr>
        <w:shd w:val="clear" w:color="auto" w:fill="FFFFFF"/>
        <w:spacing w:after="75" w:line="240" w:lineRule="auto"/>
        <w:ind w:left="1020"/>
        <w:jc w:val="both"/>
        <w:rPr>
          <w:color w:val="0B0C0C"/>
          <w:sz w:val="29"/>
          <w:szCs w:val="29"/>
        </w:rPr>
      </w:pPr>
      <w:r>
        <w:rPr>
          <w:color w:val="0B0C0C"/>
          <w:sz w:val="29"/>
          <w:szCs w:val="29"/>
        </w:rPr>
        <w:t>waste management and reuse companies</w:t>
      </w:r>
    </w:p>
    <w:p w14:paraId="0C4799E3"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The timing of the consultation will depend on the number of proposals received. The consultation period will be a minimum of 4 weeks.</w:t>
      </w:r>
    </w:p>
    <w:p w14:paraId="31E75688"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Defra will announce the results by mid-February following the compliance period to which the compliance fees will apply.</w:t>
      </w:r>
    </w:p>
    <w:p w14:paraId="12EF7AAC"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lastRenderedPageBreak/>
        <w:t>This will allow time for PCSs to pay a compliance fee and include evidence of payment with their ‘Declaration of Compliance’ by the deadline of 31 March.</w:t>
      </w:r>
    </w:p>
    <w:p w14:paraId="0841D51B" w14:textId="77777777" w:rsidR="006D4B3D" w:rsidRDefault="006D4B3D" w:rsidP="006D4B3D">
      <w:pPr>
        <w:pStyle w:val="Heading2"/>
        <w:shd w:val="clear" w:color="auto" w:fill="FFFFFF"/>
        <w:spacing w:before="1200" w:after="0"/>
        <w:jc w:val="both"/>
        <w:rPr>
          <w:color w:val="0B0C0C"/>
          <w:sz w:val="54"/>
          <w:szCs w:val="54"/>
        </w:rPr>
      </w:pPr>
      <w:r>
        <w:rPr>
          <w:color w:val="0B0C0C"/>
          <w:sz w:val="54"/>
          <w:szCs w:val="54"/>
        </w:rPr>
        <w:t>Use of information in proposal</w:t>
      </w:r>
    </w:p>
    <w:p w14:paraId="60991E42"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The information you provide in your proposal may be subject to publication or release to other parties or to disclosure in accordance with </w:t>
      </w:r>
      <w:hyperlink r:id="rId20" w:anchor="freedom-of-information" w:history="1">
        <w:r>
          <w:rPr>
            <w:rStyle w:val="Hyperlink"/>
            <w:rFonts w:eastAsia="Arial"/>
            <w:color w:val="1D70B8"/>
            <w:sz w:val="29"/>
            <w:szCs w:val="29"/>
          </w:rPr>
          <w:t>access to information</w:t>
        </w:r>
      </w:hyperlink>
      <w:r>
        <w:rPr>
          <w:rFonts w:ascii="Arial" w:hAnsi="Arial" w:cs="Arial"/>
          <w:color w:val="0B0C0C"/>
          <w:sz w:val="29"/>
          <w:szCs w:val="29"/>
        </w:rPr>
        <w:t>.</w:t>
      </w:r>
    </w:p>
    <w:p w14:paraId="6D2AC5AE"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If you want any information to be treated as confidential, including personal data, explain in your proposal why the information is confidential or commercially sensitive. We will take this into account, but we cannot give assurance that confidentiality can be maintained in all circumstances. An automatic confidentiality disclaimer generated by your IT system will not, of itself, be considered binding on the department.</w:t>
      </w:r>
    </w:p>
    <w:p w14:paraId="1CEEA025" w14:textId="77777777" w:rsidR="006D4B3D" w:rsidRDefault="006D4B3D" w:rsidP="006D4B3D">
      <w:pPr>
        <w:pStyle w:val="Heading2"/>
        <w:shd w:val="clear" w:color="auto" w:fill="FFFFFF"/>
        <w:spacing w:before="1200" w:after="0"/>
        <w:jc w:val="both"/>
        <w:rPr>
          <w:color w:val="0B0C0C"/>
          <w:sz w:val="54"/>
          <w:szCs w:val="54"/>
        </w:rPr>
      </w:pPr>
      <w:r>
        <w:rPr>
          <w:color w:val="0B0C0C"/>
          <w:sz w:val="54"/>
          <w:szCs w:val="54"/>
        </w:rPr>
        <w:t>Submit your proposal</w:t>
      </w:r>
    </w:p>
    <w:p w14:paraId="09826FB4" w14:textId="77777777" w:rsidR="006D4B3D" w:rsidRDefault="006D4B3D" w:rsidP="00B67526">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Submit your proposal to:</w:t>
      </w:r>
    </w:p>
    <w:p w14:paraId="6C041212" w14:textId="77777777" w:rsidR="006D4B3D" w:rsidRDefault="006D4B3D" w:rsidP="00B67526">
      <w:pPr>
        <w:pStyle w:val="NormalWeb"/>
        <w:shd w:val="clear" w:color="auto" w:fill="FFFFFF"/>
        <w:spacing w:before="0" w:beforeAutospacing="0" w:after="300" w:afterAutospacing="0"/>
        <w:rPr>
          <w:rFonts w:ascii="Arial" w:hAnsi="Arial" w:cs="Arial"/>
          <w:color w:val="0B0C0C"/>
          <w:sz w:val="29"/>
          <w:szCs w:val="29"/>
        </w:rPr>
      </w:pPr>
      <w:r>
        <w:rPr>
          <w:rFonts w:ascii="Arial" w:hAnsi="Arial" w:cs="Arial"/>
          <w:color w:val="0B0C0C"/>
          <w:sz w:val="29"/>
          <w:szCs w:val="29"/>
        </w:rPr>
        <w:t>Department for Environment, Food and Rural Affairs</w:t>
      </w:r>
      <w:r>
        <w:rPr>
          <w:rFonts w:ascii="Arial" w:hAnsi="Arial" w:cs="Arial"/>
          <w:color w:val="0B0C0C"/>
          <w:sz w:val="29"/>
          <w:szCs w:val="29"/>
        </w:rPr>
        <w:br/>
        <w:t>Resources and Waste Team</w:t>
      </w:r>
      <w:r>
        <w:rPr>
          <w:rFonts w:ascii="Arial" w:hAnsi="Arial" w:cs="Arial"/>
          <w:color w:val="0B0C0C"/>
          <w:sz w:val="29"/>
          <w:szCs w:val="29"/>
        </w:rPr>
        <w:br/>
        <w:t>Seacole Building</w:t>
      </w:r>
      <w:r>
        <w:rPr>
          <w:rFonts w:ascii="Arial" w:hAnsi="Arial" w:cs="Arial"/>
          <w:color w:val="0B0C0C"/>
          <w:sz w:val="29"/>
          <w:szCs w:val="29"/>
        </w:rPr>
        <w:br/>
        <w:t>Ground floor</w:t>
      </w:r>
      <w:r>
        <w:rPr>
          <w:rFonts w:ascii="Arial" w:hAnsi="Arial" w:cs="Arial"/>
          <w:color w:val="0B0C0C"/>
          <w:sz w:val="29"/>
          <w:szCs w:val="29"/>
        </w:rPr>
        <w:br/>
        <w:t>2 Marsham Street</w:t>
      </w:r>
      <w:r>
        <w:rPr>
          <w:rFonts w:ascii="Arial" w:hAnsi="Arial" w:cs="Arial"/>
          <w:color w:val="0B0C0C"/>
          <w:sz w:val="29"/>
          <w:szCs w:val="29"/>
        </w:rPr>
        <w:br/>
        <w:t>London</w:t>
      </w:r>
      <w:r>
        <w:rPr>
          <w:rFonts w:ascii="Arial" w:hAnsi="Arial" w:cs="Arial"/>
          <w:color w:val="0B0C0C"/>
          <w:sz w:val="29"/>
          <w:szCs w:val="29"/>
        </w:rPr>
        <w:br/>
        <w:t>SW1P 4DF</w:t>
      </w:r>
      <w:r>
        <w:rPr>
          <w:rFonts w:ascii="Arial" w:hAnsi="Arial" w:cs="Arial"/>
          <w:color w:val="0B0C0C"/>
          <w:sz w:val="29"/>
          <w:szCs w:val="29"/>
        </w:rPr>
        <w:br/>
      </w:r>
      <w:r>
        <w:rPr>
          <w:rFonts w:ascii="Arial" w:hAnsi="Arial" w:cs="Arial"/>
          <w:color w:val="0B0C0C"/>
          <w:sz w:val="29"/>
          <w:szCs w:val="29"/>
        </w:rPr>
        <w:br/>
        <w:t>Telephone: 020 8225 6700</w:t>
      </w:r>
    </w:p>
    <w:p w14:paraId="733639E4" w14:textId="77777777" w:rsidR="006D4B3D" w:rsidRDefault="006D4B3D" w:rsidP="00B67526">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Email: </w:t>
      </w:r>
      <w:hyperlink r:id="rId21" w:history="1">
        <w:r>
          <w:rPr>
            <w:rStyle w:val="Hyperlink"/>
            <w:rFonts w:eastAsia="Arial"/>
            <w:color w:val="1D70B8"/>
            <w:sz w:val="29"/>
            <w:szCs w:val="29"/>
          </w:rPr>
          <w:t>weee@defra.gov.uk</w:t>
        </w:r>
      </w:hyperlink>
    </w:p>
    <w:p w14:paraId="0257DBB0" w14:textId="77777777" w:rsidR="006D4B3D" w:rsidRDefault="006D4B3D" w:rsidP="006D4B3D">
      <w:pPr>
        <w:pStyle w:val="Heading2"/>
        <w:shd w:val="clear" w:color="auto" w:fill="FFFFFF"/>
        <w:spacing w:before="1200" w:after="0"/>
        <w:jc w:val="both"/>
        <w:rPr>
          <w:color w:val="0B0C0C"/>
          <w:sz w:val="54"/>
          <w:szCs w:val="54"/>
        </w:rPr>
      </w:pPr>
      <w:r>
        <w:rPr>
          <w:color w:val="0B0C0C"/>
          <w:sz w:val="54"/>
          <w:szCs w:val="54"/>
        </w:rPr>
        <w:lastRenderedPageBreak/>
        <w:t>Evaluation criteria and scoring</w:t>
      </w:r>
    </w:p>
    <w:p w14:paraId="7F93AC26"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Your proposal needs to cover all 6 areas.</w:t>
      </w:r>
    </w:p>
    <w:p w14:paraId="5F403D5E"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 xml:space="preserve">Defra will score each area, </w:t>
      </w:r>
      <w:proofErr w:type="gramStart"/>
      <w:r>
        <w:rPr>
          <w:rFonts w:ascii="Arial" w:hAnsi="Arial" w:cs="Arial"/>
          <w:color w:val="0B0C0C"/>
          <w:sz w:val="29"/>
          <w:szCs w:val="29"/>
        </w:rPr>
        <w:t>taking into account</w:t>
      </w:r>
      <w:proofErr w:type="gramEnd"/>
      <w:r>
        <w:rPr>
          <w:rFonts w:ascii="Arial" w:hAnsi="Arial" w:cs="Arial"/>
          <w:color w:val="0B0C0C"/>
          <w:sz w:val="29"/>
          <w:szCs w:val="29"/>
        </w:rPr>
        <w:t xml:space="preserve"> comments received from the consultation and using these descriptors:</w:t>
      </w:r>
    </w:p>
    <w:p w14:paraId="3E7F30F7"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0: Unacceptable – Nil or inadequate response. Fails to demonstrate an ability to meet the requirement.</w:t>
      </w:r>
    </w:p>
    <w:p w14:paraId="30864A33"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1: Poor – Response is partially relevant and poor. The response addresses some elements of the requirement but contains insufficient or limited detail or explanation to demonstrate how the requirement will be fulfilled.</w:t>
      </w:r>
    </w:p>
    <w:p w14:paraId="2AD95188"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2: Acceptable – Response is relevant and acceptable. The response demonstrates a broad understanding of the requirement but may lack details on how the requirement will be fulfilled in certain areas.</w:t>
      </w:r>
    </w:p>
    <w:p w14:paraId="6E19A16D"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3: Good – Response is relevant and good. The response demonstrates a good understanding of the requirement and provides sufficient details on how the requirement will be fulfilled.</w:t>
      </w:r>
    </w:p>
    <w:p w14:paraId="6852B653"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4: Excellent – Response is relevant and excellent overall. The response is comprehensive, unambiguous and demonstrates a thorough understanding of the requirement, and provides details of how the requirement will be met in full.</w:t>
      </w:r>
    </w:p>
    <w:p w14:paraId="4829855D"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The scores will be multiplied by the weighting for each area.</w:t>
      </w:r>
    </w:p>
    <w:p w14:paraId="7BEE1A3F"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There is a maximum score of 60 marks available.</w:t>
      </w:r>
    </w:p>
    <w:p w14:paraId="7871DE71"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Defra will select the highest scoring proposal.</w:t>
      </w:r>
    </w:p>
    <w:p w14:paraId="436F831F" w14:textId="77777777" w:rsidR="006D4B3D" w:rsidRDefault="006D4B3D" w:rsidP="006D4B3D">
      <w:pPr>
        <w:pStyle w:val="Heading3"/>
        <w:shd w:val="clear" w:color="auto" w:fill="FFFFFF"/>
        <w:spacing w:before="1200" w:after="0"/>
        <w:jc w:val="both"/>
        <w:rPr>
          <w:color w:val="0B0C0C"/>
          <w:sz w:val="41"/>
          <w:szCs w:val="41"/>
        </w:rPr>
      </w:pPr>
      <w:r>
        <w:rPr>
          <w:rStyle w:val="number"/>
          <w:color w:val="0B0C0C"/>
          <w:sz w:val="41"/>
          <w:szCs w:val="41"/>
        </w:rPr>
        <w:t>1: </w:t>
      </w:r>
      <w:r>
        <w:rPr>
          <w:color w:val="0B0C0C"/>
          <w:sz w:val="41"/>
          <w:szCs w:val="41"/>
        </w:rPr>
        <w:t>Proposed methodology for the calculation of the fee</w:t>
      </w:r>
    </w:p>
    <w:p w14:paraId="28060FA9"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Weighting: 5</w:t>
      </w:r>
      <w:r>
        <w:rPr>
          <w:rFonts w:ascii="Arial" w:hAnsi="Arial" w:cs="Arial"/>
          <w:color w:val="0B0C0C"/>
          <w:sz w:val="29"/>
          <w:szCs w:val="29"/>
        </w:rPr>
        <w:br/>
        <w:t>Marks available: 20</w:t>
      </w:r>
    </w:p>
    <w:p w14:paraId="0B93803E"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lastRenderedPageBreak/>
        <w:t>Set out a methodology to calculate a compliance fee across each WEEE collection stream. The calculation should encourage schemes to take all reasonable steps to meet their collection target without recourse to the compliance fee.</w:t>
      </w:r>
    </w:p>
    <w:p w14:paraId="34AB86B1"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 xml:space="preserve">Be stream specific by </w:t>
      </w:r>
      <w:proofErr w:type="gramStart"/>
      <w:r>
        <w:rPr>
          <w:rFonts w:ascii="Arial" w:hAnsi="Arial" w:cs="Arial"/>
          <w:color w:val="0B0C0C"/>
          <w:sz w:val="29"/>
          <w:szCs w:val="29"/>
        </w:rPr>
        <w:t>taking into account</w:t>
      </w:r>
      <w:proofErr w:type="gramEnd"/>
      <w:r>
        <w:rPr>
          <w:rFonts w:ascii="Arial" w:hAnsi="Arial" w:cs="Arial"/>
          <w:color w:val="0B0C0C"/>
          <w:sz w:val="29"/>
          <w:szCs w:val="29"/>
        </w:rPr>
        <w:t xml:space="preserve"> the different costs associated with the collection, treatment, recovery and environmentally sound disposal of each of the 6 WEEE collection streams. For example, a PCS short of their targets by 10 tonnes of Display Equipment and 15 tonnes of Cooling Equipment will pay a fee specific to their shortage in each stream rather than a generic fee for a shortage of 25 tonnes. You may consider circumstances where a negligible or zero fee might be appropriate.</w:t>
      </w:r>
    </w:p>
    <w:p w14:paraId="335B08AC"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Provide robust economic analysis (including cost of living impacts) in support of the proposed methodology.</w:t>
      </w:r>
    </w:p>
    <w:p w14:paraId="46687631"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Outline worked examples of the impact of the proposed methodology on PCSs required to pay the compliance fee in a range of different scenarios. These should include:</w:t>
      </w:r>
    </w:p>
    <w:p w14:paraId="308B091F" w14:textId="77777777" w:rsidR="006D4B3D" w:rsidRDefault="006D4B3D" w:rsidP="006D4B3D">
      <w:pPr>
        <w:numPr>
          <w:ilvl w:val="0"/>
          <w:numId w:val="11"/>
        </w:numPr>
        <w:shd w:val="clear" w:color="auto" w:fill="FFFFFF"/>
        <w:spacing w:after="75" w:line="240" w:lineRule="auto"/>
        <w:ind w:left="1020"/>
        <w:jc w:val="both"/>
        <w:rPr>
          <w:color w:val="0B0C0C"/>
          <w:sz w:val="29"/>
          <w:szCs w:val="29"/>
        </w:rPr>
      </w:pPr>
      <w:r>
        <w:rPr>
          <w:color w:val="0B0C0C"/>
          <w:sz w:val="29"/>
          <w:szCs w:val="29"/>
        </w:rPr>
        <w:t>differing impacts on PCSs with large and small obligations</w:t>
      </w:r>
    </w:p>
    <w:p w14:paraId="60E9C380" w14:textId="77777777" w:rsidR="006D4B3D" w:rsidRDefault="006D4B3D" w:rsidP="006D4B3D">
      <w:pPr>
        <w:numPr>
          <w:ilvl w:val="0"/>
          <w:numId w:val="11"/>
        </w:numPr>
        <w:shd w:val="clear" w:color="auto" w:fill="FFFFFF"/>
        <w:spacing w:after="75" w:line="240" w:lineRule="auto"/>
        <w:ind w:left="1020"/>
        <w:jc w:val="both"/>
        <w:rPr>
          <w:color w:val="0B0C0C"/>
          <w:sz w:val="29"/>
          <w:szCs w:val="29"/>
        </w:rPr>
      </w:pPr>
      <w:r>
        <w:rPr>
          <w:color w:val="0B0C0C"/>
          <w:sz w:val="29"/>
          <w:szCs w:val="29"/>
        </w:rPr>
        <w:t>national shortfalls or surpluses</w:t>
      </w:r>
    </w:p>
    <w:p w14:paraId="02FDEC28" w14:textId="77777777" w:rsidR="006D4B3D" w:rsidRDefault="006D4B3D" w:rsidP="006D4B3D">
      <w:pPr>
        <w:numPr>
          <w:ilvl w:val="0"/>
          <w:numId w:val="11"/>
        </w:numPr>
        <w:shd w:val="clear" w:color="auto" w:fill="FFFFFF"/>
        <w:spacing w:after="75" w:line="240" w:lineRule="auto"/>
        <w:ind w:left="1020"/>
        <w:jc w:val="both"/>
        <w:rPr>
          <w:color w:val="0B0C0C"/>
          <w:sz w:val="29"/>
          <w:szCs w:val="29"/>
        </w:rPr>
      </w:pPr>
      <w:r>
        <w:rPr>
          <w:color w:val="0B0C0C"/>
          <w:sz w:val="29"/>
          <w:szCs w:val="29"/>
        </w:rPr>
        <w:t>other factors in the methodology that might have a bearing on what PCSs are required to pay</w:t>
      </w:r>
    </w:p>
    <w:p w14:paraId="62596829" w14:textId="77777777" w:rsidR="006D4B3D" w:rsidRDefault="006D4B3D" w:rsidP="006D4B3D">
      <w:pPr>
        <w:pStyle w:val="Heading3"/>
        <w:shd w:val="clear" w:color="auto" w:fill="FFFFFF"/>
        <w:spacing w:before="1200" w:after="0"/>
        <w:jc w:val="both"/>
        <w:rPr>
          <w:color w:val="0B0C0C"/>
          <w:sz w:val="41"/>
          <w:szCs w:val="41"/>
        </w:rPr>
      </w:pPr>
      <w:r>
        <w:rPr>
          <w:rStyle w:val="number"/>
          <w:color w:val="0B0C0C"/>
          <w:sz w:val="41"/>
          <w:szCs w:val="41"/>
        </w:rPr>
        <w:t>2: </w:t>
      </w:r>
      <w:r>
        <w:rPr>
          <w:color w:val="0B0C0C"/>
          <w:sz w:val="41"/>
          <w:szCs w:val="41"/>
        </w:rPr>
        <w:t>Proposed administration of the fee</w:t>
      </w:r>
    </w:p>
    <w:p w14:paraId="1AFDDE7E" w14:textId="77777777" w:rsidR="006D4B3D" w:rsidRDefault="006D4B3D" w:rsidP="00B67526">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Weighting: 3</w:t>
      </w:r>
      <w:r>
        <w:rPr>
          <w:rFonts w:ascii="Arial" w:hAnsi="Arial" w:cs="Arial"/>
          <w:color w:val="0B0C0C"/>
          <w:sz w:val="29"/>
          <w:szCs w:val="29"/>
        </w:rPr>
        <w:br/>
        <w:t>Marks available: 12</w:t>
      </w:r>
    </w:p>
    <w:p w14:paraId="184D39FA"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Describe how you will meet the overhead costs of:</w:t>
      </w:r>
    </w:p>
    <w:p w14:paraId="65B5FA1E" w14:textId="77777777" w:rsidR="006D4B3D" w:rsidRDefault="006D4B3D" w:rsidP="006D4B3D">
      <w:pPr>
        <w:numPr>
          <w:ilvl w:val="0"/>
          <w:numId w:val="12"/>
        </w:numPr>
        <w:shd w:val="clear" w:color="auto" w:fill="FFFFFF"/>
        <w:spacing w:after="75" w:line="240" w:lineRule="auto"/>
        <w:ind w:left="1020"/>
        <w:jc w:val="both"/>
        <w:rPr>
          <w:color w:val="0B0C0C"/>
          <w:sz w:val="29"/>
          <w:szCs w:val="29"/>
        </w:rPr>
      </w:pPr>
      <w:r>
        <w:rPr>
          <w:color w:val="0B0C0C"/>
          <w:sz w:val="29"/>
          <w:szCs w:val="29"/>
        </w:rPr>
        <w:t>calculating the fee</w:t>
      </w:r>
    </w:p>
    <w:p w14:paraId="114949FC" w14:textId="77777777" w:rsidR="006D4B3D" w:rsidRDefault="006D4B3D" w:rsidP="006D4B3D">
      <w:pPr>
        <w:numPr>
          <w:ilvl w:val="0"/>
          <w:numId w:val="12"/>
        </w:numPr>
        <w:shd w:val="clear" w:color="auto" w:fill="FFFFFF"/>
        <w:spacing w:after="75" w:line="240" w:lineRule="auto"/>
        <w:ind w:left="1020"/>
        <w:jc w:val="both"/>
        <w:rPr>
          <w:color w:val="0B0C0C"/>
          <w:sz w:val="29"/>
          <w:szCs w:val="29"/>
        </w:rPr>
      </w:pPr>
      <w:r>
        <w:rPr>
          <w:color w:val="0B0C0C"/>
          <w:sz w:val="29"/>
          <w:szCs w:val="29"/>
        </w:rPr>
        <w:t>setting up and administering the compliance fee mechanism</w:t>
      </w:r>
    </w:p>
    <w:p w14:paraId="43A81067" w14:textId="77777777" w:rsidR="006D4B3D" w:rsidRDefault="006D4B3D" w:rsidP="006D4B3D">
      <w:pPr>
        <w:numPr>
          <w:ilvl w:val="0"/>
          <w:numId w:val="12"/>
        </w:numPr>
        <w:shd w:val="clear" w:color="auto" w:fill="FFFFFF"/>
        <w:spacing w:after="75" w:line="240" w:lineRule="auto"/>
        <w:ind w:left="1020"/>
        <w:jc w:val="both"/>
        <w:rPr>
          <w:color w:val="0B0C0C"/>
          <w:sz w:val="29"/>
          <w:szCs w:val="29"/>
        </w:rPr>
      </w:pPr>
      <w:r>
        <w:rPr>
          <w:color w:val="0B0C0C"/>
          <w:sz w:val="29"/>
          <w:szCs w:val="29"/>
        </w:rPr>
        <w:t>transferring funds</w:t>
      </w:r>
    </w:p>
    <w:p w14:paraId="218A20AD"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Include contingencies for a situation of minimal or zero uptake amongst PCSs.</w:t>
      </w:r>
    </w:p>
    <w:p w14:paraId="4B145DD8"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lastRenderedPageBreak/>
        <w:t>Describe how PCSs will submit information that the proposed operator will use to calculate the fee. Include what information must be provided and how the information will be shown to be reliable whilst maintaining commercial confidentiality.</w:t>
      </w:r>
    </w:p>
    <w:p w14:paraId="67610EDE"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Describe how PCSs will pay the fee. Include evidence of robust auditing arrangements, to make sure declarations of payments by PCSs (if needed) are reliable, and how you will maintain commercial confidentiality.</w:t>
      </w:r>
    </w:p>
    <w:p w14:paraId="11844DF7"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Describe the appropriate arrangements for process and financial auditing of the compliance fee fund.</w:t>
      </w:r>
    </w:p>
    <w:p w14:paraId="1BAFC51D"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Describe how you will make sure the environment agencies receive necessary evidence that an appropriate compliance fee has been paid by PCSs. The agencies must be able to recognise, when accepting a Declaration of Compliance from a PCS, that it is comprised of WEEE evidence and payment of a compliance fee. Validation of payment of the compliance fee must not place significant additional burdens on the agencies.</w:t>
      </w:r>
    </w:p>
    <w:p w14:paraId="4129AED8"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Consider:</w:t>
      </w:r>
    </w:p>
    <w:p w14:paraId="77256EFB" w14:textId="77777777" w:rsidR="006D4B3D" w:rsidRDefault="006D4B3D" w:rsidP="006D4B3D">
      <w:pPr>
        <w:numPr>
          <w:ilvl w:val="0"/>
          <w:numId w:val="13"/>
        </w:numPr>
        <w:shd w:val="clear" w:color="auto" w:fill="FFFFFF"/>
        <w:spacing w:after="75" w:line="240" w:lineRule="auto"/>
        <w:ind w:left="1020"/>
        <w:jc w:val="both"/>
        <w:rPr>
          <w:color w:val="0B0C0C"/>
          <w:sz w:val="29"/>
          <w:szCs w:val="29"/>
        </w:rPr>
      </w:pPr>
      <w:r>
        <w:rPr>
          <w:color w:val="0B0C0C"/>
          <w:sz w:val="29"/>
          <w:szCs w:val="29"/>
        </w:rPr>
        <w:t>the impact of, and comply with, other relevant law, for example competition law</w:t>
      </w:r>
    </w:p>
    <w:p w14:paraId="721F7D34" w14:textId="77777777" w:rsidR="006D4B3D" w:rsidRDefault="006D4B3D" w:rsidP="006D4B3D">
      <w:pPr>
        <w:numPr>
          <w:ilvl w:val="0"/>
          <w:numId w:val="13"/>
        </w:numPr>
        <w:shd w:val="clear" w:color="auto" w:fill="FFFFFF"/>
        <w:spacing w:after="75" w:line="240" w:lineRule="auto"/>
        <w:ind w:left="1020"/>
        <w:jc w:val="both"/>
        <w:rPr>
          <w:color w:val="0B0C0C"/>
          <w:sz w:val="29"/>
          <w:szCs w:val="29"/>
        </w:rPr>
      </w:pPr>
      <w:r>
        <w:rPr>
          <w:color w:val="0B0C0C"/>
          <w:sz w:val="29"/>
          <w:szCs w:val="29"/>
        </w:rPr>
        <w:t>sound contingency plans</w:t>
      </w:r>
    </w:p>
    <w:p w14:paraId="3D1334FE"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Include an evaluation feedback form for PCSs to complete following the compliance fee process.</w:t>
      </w:r>
    </w:p>
    <w:p w14:paraId="24E4CCEA" w14:textId="77777777" w:rsidR="006D4B3D" w:rsidRDefault="006D4B3D" w:rsidP="006D4B3D">
      <w:pPr>
        <w:pStyle w:val="Heading3"/>
        <w:shd w:val="clear" w:color="auto" w:fill="FFFFFF"/>
        <w:spacing w:before="1200" w:after="0"/>
        <w:jc w:val="both"/>
        <w:rPr>
          <w:color w:val="0B0C0C"/>
          <w:sz w:val="41"/>
          <w:szCs w:val="41"/>
        </w:rPr>
      </w:pPr>
      <w:r>
        <w:rPr>
          <w:rStyle w:val="number"/>
          <w:color w:val="0B0C0C"/>
          <w:sz w:val="41"/>
          <w:szCs w:val="41"/>
        </w:rPr>
        <w:t>3: </w:t>
      </w:r>
      <w:r>
        <w:rPr>
          <w:color w:val="0B0C0C"/>
          <w:sz w:val="41"/>
          <w:szCs w:val="41"/>
        </w:rPr>
        <w:t>Proposed methodology for dispersal of funds</w:t>
      </w:r>
    </w:p>
    <w:p w14:paraId="78960246" w14:textId="77777777" w:rsidR="006D4B3D" w:rsidRDefault="006D4B3D" w:rsidP="00B67526">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Weighting: 4</w:t>
      </w:r>
      <w:r>
        <w:rPr>
          <w:rFonts w:ascii="Arial" w:hAnsi="Arial" w:cs="Arial"/>
          <w:color w:val="0B0C0C"/>
          <w:sz w:val="29"/>
          <w:szCs w:val="29"/>
        </w:rPr>
        <w:br/>
        <w:t>Marks available: 16</w:t>
      </w:r>
    </w:p>
    <w:p w14:paraId="2DE22C65"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Describe how payments received establish a fund from which disbursements will be made and recover the costs of administering the compliance fee process.</w:t>
      </w:r>
    </w:p>
    <w:p w14:paraId="58CDE6FF"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lastRenderedPageBreak/>
        <w:t xml:space="preserve">Show details of the mechanism for the dispersal of funds collected for varying fund sizes. Include proposals of how the fund should be used. For example, these could support higher levels of collection, </w:t>
      </w:r>
      <w:proofErr w:type="gramStart"/>
      <w:r>
        <w:rPr>
          <w:rFonts w:ascii="Arial" w:hAnsi="Arial" w:cs="Arial"/>
          <w:color w:val="0B0C0C"/>
          <w:sz w:val="29"/>
          <w:szCs w:val="29"/>
        </w:rPr>
        <w:t>recycling</w:t>
      </w:r>
      <w:proofErr w:type="gramEnd"/>
      <w:r>
        <w:rPr>
          <w:rFonts w:ascii="Arial" w:hAnsi="Arial" w:cs="Arial"/>
          <w:color w:val="0B0C0C"/>
          <w:sz w:val="29"/>
          <w:szCs w:val="29"/>
        </w:rPr>
        <w:t xml:space="preserve"> and legitimate reuse of WEEE.</w:t>
      </w:r>
    </w:p>
    <w:p w14:paraId="6E23A956"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This must address a range of scenarios of funding level and appropriate dispersal methodologies.</w:t>
      </w:r>
    </w:p>
    <w:p w14:paraId="69244D3D"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 xml:space="preserve">Set out how validation will take place to show that the funds have contributed to higher levels of collection, </w:t>
      </w:r>
      <w:proofErr w:type="gramStart"/>
      <w:r>
        <w:rPr>
          <w:rFonts w:ascii="Arial" w:hAnsi="Arial" w:cs="Arial"/>
          <w:color w:val="0B0C0C"/>
          <w:sz w:val="29"/>
          <w:szCs w:val="29"/>
        </w:rPr>
        <w:t>recycling</w:t>
      </w:r>
      <w:proofErr w:type="gramEnd"/>
      <w:r>
        <w:rPr>
          <w:rFonts w:ascii="Arial" w:hAnsi="Arial" w:cs="Arial"/>
          <w:color w:val="0B0C0C"/>
          <w:sz w:val="29"/>
          <w:szCs w:val="29"/>
        </w:rPr>
        <w:t xml:space="preserve"> and reuse of WEEE or wider WEEE obligations.</w:t>
      </w:r>
    </w:p>
    <w:p w14:paraId="30B406E3"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Set out the governance arrangements for the receipt and disbursement of any compliance fees paid.</w:t>
      </w:r>
    </w:p>
    <w:p w14:paraId="0578F142" w14:textId="77777777" w:rsidR="006D4B3D" w:rsidRDefault="006D4B3D" w:rsidP="006D4B3D">
      <w:pPr>
        <w:pStyle w:val="Heading3"/>
        <w:shd w:val="clear" w:color="auto" w:fill="FFFFFF"/>
        <w:spacing w:before="1200" w:after="0"/>
        <w:jc w:val="both"/>
        <w:rPr>
          <w:color w:val="0B0C0C"/>
          <w:sz w:val="41"/>
          <w:szCs w:val="41"/>
        </w:rPr>
      </w:pPr>
      <w:r>
        <w:rPr>
          <w:rStyle w:val="number"/>
          <w:color w:val="0B0C0C"/>
          <w:sz w:val="41"/>
          <w:szCs w:val="41"/>
        </w:rPr>
        <w:t>4: </w:t>
      </w:r>
      <w:r>
        <w:rPr>
          <w:color w:val="0B0C0C"/>
          <w:sz w:val="41"/>
          <w:szCs w:val="41"/>
        </w:rPr>
        <w:t>Proposed timetable for implementation and operation</w:t>
      </w:r>
    </w:p>
    <w:p w14:paraId="0BCC2CB3" w14:textId="77777777" w:rsidR="006D4B3D" w:rsidRDefault="006D4B3D" w:rsidP="00B67526">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Weighting: 3</w:t>
      </w:r>
      <w:r>
        <w:rPr>
          <w:rFonts w:ascii="Arial" w:hAnsi="Arial" w:cs="Arial"/>
          <w:color w:val="0B0C0C"/>
          <w:sz w:val="29"/>
          <w:szCs w:val="29"/>
        </w:rPr>
        <w:br/>
        <w:t>Marks available: 12</w:t>
      </w:r>
    </w:p>
    <w:p w14:paraId="32DB7996"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Provide a realistic and comprehensive plan for implementation and operation.</w:t>
      </w:r>
    </w:p>
    <w:p w14:paraId="28D44FED"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Show a clear process for staffing the proposals, and for developing and implementing IT systems.</w:t>
      </w:r>
    </w:p>
    <w:p w14:paraId="740B082B"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Demonstrate an understanding of project dependencies and have appropriate contingency plans in place.</w:t>
      </w:r>
    </w:p>
    <w:p w14:paraId="664547FD" w14:textId="77777777" w:rsidR="006D4B3D" w:rsidRDefault="006D4B3D" w:rsidP="006D4B3D">
      <w:pPr>
        <w:pStyle w:val="Heading3"/>
        <w:shd w:val="clear" w:color="auto" w:fill="FFFFFF"/>
        <w:spacing w:before="1200" w:after="0"/>
        <w:jc w:val="both"/>
        <w:rPr>
          <w:color w:val="0B0C0C"/>
          <w:sz w:val="41"/>
          <w:szCs w:val="41"/>
        </w:rPr>
      </w:pPr>
      <w:r>
        <w:rPr>
          <w:rStyle w:val="number"/>
          <w:color w:val="0B0C0C"/>
          <w:sz w:val="41"/>
          <w:szCs w:val="41"/>
        </w:rPr>
        <w:t>5: </w:t>
      </w:r>
      <w:r>
        <w:rPr>
          <w:color w:val="0B0C0C"/>
          <w:sz w:val="41"/>
          <w:szCs w:val="41"/>
        </w:rPr>
        <w:t>Experience of proposer and proposed operator</w:t>
      </w:r>
    </w:p>
    <w:p w14:paraId="0AE7A42F" w14:textId="77777777" w:rsidR="006D4B3D" w:rsidRDefault="006D4B3D" w:rsidP="00B67526">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Weighting: 2</w:t>
      </w:r>
      <w:r>
        <w:rPr>
          <w:rFonts w:ascii="Arial" w:hAnsi="Arial" w:cs="Arial"/>
          <w:color w:val="0B0C0C"/>
          <w:sz w:val="29"/>
          <w:szCs w:val="29"/>
        </w:rPr>
        <w:br/>
        <w:t>Marks available: 8</w:t>
      </w:r>
    </w:p>
    <w:p w14:paraId="7392486F"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lastRenderedPageBreak/>
        <w:t>Demonstrate a proven track record of financial probity combined with practical experience of working in a regulatory environment.</w:t>
      </w:r>
    </w:p>
    <w:p w14:paraId="4DF1AE5A"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 xml:space="preserve">Provide a clear strategy for identifying and effectively mitigating risks arising </w:t>
      </w:r>
      <w:proofErr w:type="gramStart"/>
      <w:r>
        <w:rPr>
          <w:rFonts w:ascii="Arial" w:hAnsi="Arial" w:cs="Arial"/>
          <w:color w:val="0B0C0C"/>
          <w:sz w:val="29"/>
          <w:szCs w:val="29"/>
        </w:rPr>
        <w:t>as a result of</w:t>
      </w:r>
      <w:proofErr w:type="gramEnd"/>
      <w:r>
        <w:rPr>
          <w:rFonts w:ascii="Arial" w:hAnsi="Arial" w:cs="Arial"/>
          <w:color w:val="0B0C0C"/>
          <w:sz w:val="29"/>
          <w:szCs w:val="29"/>
        </w:rPr>
        <w:t xml:space="preserve"> any conflicts of interest.</w:t>
      </w:r>
    </w:p>
    <w:p w14:paraId="4BBA9F6A"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Demonstrate experience of:</w:t>
      </w:r>
    </w:p>
    <w:p w14:paraId="518294DA" w14:textId="77777777" w:rsidR="006D4B3D" w:rsidRDefault="006D4B3D" w:rsidP="006D4B3D">
      <w:pPr>
        <w:numPr>
          <w:ilvl w:val="0"/>
          <w:numId w:val="14"/>
        </w:numPr>
        <w:shd w:val="clear" w:color="auto" w:fill="FFFFFF"/>
        <w:spacing w:after="75" w:line="240" w:lineRule="auto"/>
        <w:ind w:left="1020"/>
        <w:jc w:val="both"/>
        <w:rPr>
          <w:color w:val="0B0C0C"/>
          <w:sz w:val="29"/>
          <w:szCs w:val="29"/>
        </w:rPr>
      </w:pPr>
      <w:r>
        <w:rPr>
          <w:color w:val="0B0C0C"/>
          <w:sz w:val="29"/>
          <w:szCs w:val="29"/>
        </w:rPr>
        <w:t>setting up systems to allow data to be submitted and processed effectively</w:t>
      </w:r>
    </w:p>
    <w:p w14:paraId="199545E4" w14:textId="77777777" w:rsidR="006D4B3D" w:rsidRDefault="006D4B3D" w:rsidP="006D4B3D">
      <w:pPr>
        <w:numPr>
          <w:ilvl w:val="0"/>
          <w:numId w:val="14"/>
        </w:numPr>
        <w:shd w:val="clear" w:color="auto" w:fill="FFFFFF"/>
        <w:spacing w:after="75" w:line="240" w:lineRule="auto"/>
        <w:ind w:left="1020"/>
        <w:jc w:val="both"/>
        <w:rPr>
          <w:color w:val="0B0C0C"/>
          <w:sz w:val="29"/>
          <w:szCs w:val="29"/>
        </w:rPr>
      </w:pPr>
      <w:r>
        <w:rPr>
          <w:color w:val="0B0C0C"/>
          <w:sz w:val="29"/>
          <w:szCs w:val="29"/>
        </w:rPr>
        <w:t>developing robust proposals for government</w:t>
      </w:r>
    </w:p>
    <w:p w14:paraId="0EA6F560"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Provide evidence of the suitability of the proposed operator that will administer the Compliance Fee Process.</w:t>
      </w:r>
    </w:p>
    <w:p w14:paraId="36202A89" w14:textId="77777777" w:rsidR="006D4B3D" w:rsidRDefault="006D4B3D" w:rsidP="006D4B3D">
      <w:pPr>
        <w:pStyle w:val="Heading3"/>
        <w:shd w:val="clear" w:color="auto" w:fill="FFFFFF"/>
        <w:spacing w:before="1200" w:after="0"/>
        <w:jc w:val="both"/>
        <w:rPr>
          <w:color w:val="0B0C0C"/>
          <w:sz w:val="41"/>
          <w:szCs w:val="41"/>
        </w:rPr>
      </w:pPr>
      <w:r>
        <w:rPr>
          <w:rStyle w:val="number"/>
          <w:color w:val="0B0C0C"/>
          <w:sz w:val="41"/>
          <w:szCs w:val="41"/>
        </w:rPr>
        <w:t>6: </w:t>
      </w:r>
      <w:r>
        <w:rPr>
          <w:color w:val="0B0C0C"/>
          <w:sz w:val="41"/>
          <w:szCs w:val="41"/>
        </w:rPr>
        <w:t>IT systems</w:t>
      </w:r>
    </w:p>
    <w:p w14:paraId="0B0C8843" w14:textId="77777777" w:rsidR="006D4B3D" w:rsidRDefault="006D4B3D" w:rsidP="00B67526">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Weighting: 1</w:t>
      </w:r>
      <w:r>
        <w:rPr>
          <w:rFonts w:ascii="Arial" w:hAnsi="Arial" w:cs="Arial"/>
          <w:color w:val="0B0C0C"/>
          <w:sz w:val="29"/>
          <w:szCs w:val="29"/>
        </w:rPr>
        <w:br/>
        <w:t>Marks available: 4</w:t>
      </w:r>
    </w:p>
    <w:p w14:paraId="7AD4388B" w14:textId="77777777" w:rsidR="006D4B3D" w:rsidRDefault="006D4B3D" w:rsidP="006D4B3D">
      <w:pPr>
        <w:pStyle w:val="NormalWeb"/>
        <w:shd w:val="clear" w:color="auto" w:fill="FFFFFF"/>
        <w:spacing w:before="300" w:beforeAutospacing="0" w:after="300" w:afterAutospacing="0"/>
        <w:jc w:val="both"/>
        <w:rPr>
          <w:rFonts w:ascii="Arial" w:hAnsi="Arial" w:cs="Arial"/>
          <w:color w:val="0B0C0C"/>
          <w:sz w:val="29"/>
          <w:szCs w:val="29"/>
        </w:rPr>
      </w:pPr>
      <w:r>
        <w:rPr>
          <w:rFonts w:ascii="Arial" w:hAnsi="Arial" w:cs="Arial"/>
          <w:color w:val="0B0C0C"/>
          <w:sz w:val="29"/>
          <w:szCs w:val="29"/>
        </w:rPr>
        <w:t>Demonstrate an appropriate IT system, including backup systems, and IT support.</w:t>
      </w:r>
    </w:p>
    <w:p w14:paraId="54959B5B" w14:textId="5873CA1A" w:rsidR="00C40731" w:rsidRDefault="0025159B" w:rsidP="006D4B3D">
      <w:pPr>
        <w:spacing w:after="186" w:line="259" w:lineRule="auto"/>
        <w:ind w:left="16" w:firstLine="0"/>
        <w:jc w:val="both"/>
      </w:pPr>
      <w:r>
        <w:t xml:space="preserve"> </w:t>
      </w:r>
    </w:p>
    <w:sectPr w:rsidR="00C40731">
      <w:headerReference w:type="default" r:id="rId22"/>
      <w:footerReference w:type="even" r:id="rId23"/>
      <w:footerReference w:type="default" r:id="rId24"/>
      <w:footerReference w:type="first" r:id="rId25"/>
      <w:pgSz w:w="11906" w:h="16838"/>
      <w:pgMar w:top="1290" w:right="1166" w:bottom="1563" w:left="1118" w:header="720" w:footer="4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E8ED" w14:textId="77777777" w:rsidR="00D4406F" w:rsidRDefault="00D4406F">
      <w:pPr>
        <w:spacing w:after="0" w:line="240" w:lineRule="auto"/>
      </w:pPr>
      <w:r>
        <w:separator/>
      </w:r>
    </w:p>
  </w:endnote>
  <w:endnote w:type="continuationSeparator" w:id="0">
    <w:p w14:paraId="527D490C" w14:textId="77777777" w:rsidR="00D4406F" w:rsidRDefault="00D4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518A" w14:textId="77777777" w:rsidR="00F01BD3" w:rsidRDefault="001366B8">
    <w:pPr>
      <w:tabs>
        <w:tab w:val="center" w:pos="4978"/>
        <w:tab w:val="center" w:pos="9654"/>
        <w:tab w:val="right" w:pos="10207"/>
      </w:tabs>
      <w:spacing w:after="0" w:line="259" w:lineRule="auto"/>
      <w:ind w:left="0" w:right="-585" w:firstLine="0"/>
    </w:pPr>
    <w:r>
      <w:rPr>
        <w:sz w:val="20"/>
      </w:rPr>
      <w:t xml:space="preserve">  </w:t>
    </w:r>
    <w:r>
      <w:rPr>
        <w:sz w:val="20"/>
      </w:rPr>
      <w:tab/>
      <w:t xml:space="preserve">  </w:t>
    </w:r>
    <w:r>
      <w:rPr>
        <w:sz w:val="20"/>
      </w:rPr>
      <w:tab/>
      <w:t xml:space="preserve">  </w:t>
    </w:r>
    <w:r>
      <w:rPr>
        <w:sz w:val="20"/>
      </w:rPr>
      <w:tab/>
    </w:r>
    <w:r>
      <w:rPr>
        <w:sz w:val="20"/>
      </w:rPr>
      <w:fldChar w:fldCharType="begin"/>
    </w:r>
    <w:r>
      <w:rPr>
        <w:sz w:val="20"/>
      </w:rPr>
      <w:instrText xml:space="preserve"> PAGE   \* MERGEFORMAT </w:instrText>
    </w:r>
    <w:r>
      <w:rPr>
        <w:sz w:val="20"/>
      </w:rPr>
      <w:fldChar w:fldCharType="separate"/>
    </w:r>
    <w:r>
      <w:rPr>
        <w:noProof/>
        <w:sz w:val="20"/>
      </w:rPr>
      <w:t>6</w:t>
    </w:r>
    <w:r>
      <w:rPr>
        <w:sz w:val="20"/>
      </w:rPr>
      <w:fldChar w:fldCharType="end"/>
    </w: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F195" w14:textId="77777777" w:rsidR="00F01BD3" w:rsidRDefault="001366B8">
    <w:pPr>
      <w:tabs>
        <w:tab w:val="center" w:pos="4978"/>
        <w:tab w:val="center" w:pos="9654"/>
        <w:tab w:val="right" w:pos="10207"/>
      </w:tabs>
      <w:spacing w:after="0" w:line="259" w:lineRule="auto"/>
      <w:ind w:left="0" w:right="-585" w:firstLine="0"/>
    </w:pPr>
    <w:r>
      <w:rPr>
        <w:sz w:val="20"/>
      </w:rPr>
      <w:t xml:space="preserve">  </w:t>
    </w:r>
    <w:r>
      <w:rPr>
        <w:sz w:val="20"/>
      </w:rPr>
      <w:tab/>
      <w:t xml:space="preserve">  </w:t>
    </w:r>
    <w:r>
      <w:rPr>
        <w:sz w:val="20"/>
      </w:rPr>
      <w:tab/>
      <w:t xml:space="preserve">  </w:t>
    </w:r>
    <w:r>
      <w:rPr>
        <w:sz w:val="20"/>
      </w:rPr>
      <w:tab/>
    </w: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4856" w14:textId="77777777" w:rsidR="00F01BD3" w:rsidRDefault="001366B8">
    <w:pPr>
      <w:tabs>
        <w:tab w:val="center" w:pos="4978"/>
        <w:tab w:val="center" w:pos="9654"/>
        <w:tab w:val="right" w:pos="10207"/>
      </w:tabs>
      <w:spacing w:after="0" w:line="259" w:lineRule="auto"/>
      <w:ind w:left="0" w:right="-585" w:firstLine="0"/>
    </w:pPr>
    <w:r>
      <w:rPr>
        <w:sz w:val="20"/>
      </w:rPr>
      <w:t xml:space="preserve">  </w:t>
    </w:r>
    <w:r>
      <w:rPr>
        <w:sz w:val="20"/>
      </w:rPr>
      <w:tab/>
      <w:t xml:space="preserve">  </w:t>
    </w:r>
    <w:r>
      <w:rPr>
        <w:sz w:val="20"/>
      </w:rPr>
      <w:tab/>
      <w:t xml:space="preserve">  </w:t>
    </w:r>
    <w:r>
      <w:rPr>
        <w:sz w:val="20"/>
      </w:rPr>
      <w:tab/>
    </w:r>
    <w:r>
      <w:rPr>
        <w:sz w:val="20"/>
      </w:rPr>
      <w:fldChar w:fldCharType="begin"/>
    </w:r>
    <w:r>
      <w:rPr>
        <w:sz w:val="20"/>
      </w:rPr>
      <w:instrText xml:space="preserve"> PAGE   \* MERGEFORMAT </w:instrText>
    </w:r>
    <w:r>
      <w:rPr>
        <w:sz w:val="20"/>
      </w:rPr>
      <w:fldChar w:fldCharType="separate"/>
    </w:r>
    <w:r>
      <w:rPr>
        <w:noProof/>
        <w:sz w:val="20"/>
      </w:rPr>
      <w:t>6</w:t>
    </w:r>
    <w:r>
      <w:rPr>
        <w:sz w:val="20"/>
      </w:rPr>
      <w:fldChar w:fldCharType="end"/>
    </w: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87B3" w14:textId="77777777" w:rsidR="00D4406F" w:rsidRDefault="00D4406F">
      <w:pPr>
        <w:spacing w:after="0" w:line="240" w:lineRule="auto"/>
      </w:pPr>
      <w:r>
        <w:separator/>
      </w:r>
    </w:p>
  </w:footnote>
  <w:footnote w:type="continuationSeparator" w:id="0">
    <w:p w14:paraId="01B86087" w14:textId="77777777" w:rsidR="00D4406F" w:rsidRDefault="00D44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7"/>
      <w:gridCol w:w="3207"/>
      <w:gridCol w:w="3207"/>
    </w:tblGrid>
    <w:tr w:rsidR="6DF0A560" w14:paraId="12EA4E4D" w14:textId="77777777" w:rsidTr="00F34E69">
      <w:tc>
        <w:tcPr>
          <w:tcW w:w="3207" w:type="dxa"/>
        </w:tcPr>
        <w:p w14:paraId="3B9347E1" w14:textId="77777777" w:rsidR="6DF0A560" w:rsidRDefault="00D4406F" w:rsidP="00F34E69">
          <w:pPr>
            <w:pStyle w:val="Header"/>
            <w:ind w:left="-115"/>
          </w:pPr>
        </w:p>
      </w:tc>
      <w:tc>
        <w:tcPr>
          <w:tcW w:w="3207" w:type="dxa"/>
        </w:tcPr>
        <w:p w14:paraId="1C3962CD" w14:textId="77777777" w:rsidR="6DF0A560" w:rsidRDefault="00D4406F" w:rsidP="00F34E69">
          <w:pPr>
            <w:pStyle w:val="Header"/>
            <w:jc w:val="center"/>
          </w:pPr>
        </w:p>
      </w:tc>
      <w:tc>
        <w:tcPr>
          <w:tcW w:w="3207" w:type="dxa"/>
        </w:tcPr>
        <w:p w14:paraId="609017B4" w14:textId="77777777" w:rsidR="6DF0A560" w:rsidRDefault="00D4406F" w:rsidP="00F34E69">
          <w:pPr>
            <w:pStyle w:val="Header"/>
            <w:ind w:right="-115"/>
            <w:jc w:val="right"/>
          </w:pPr>
        </w:p>
      </w:tc>
    </w:tr>
  </w:tbl>
  <w:p w14:paraId="41CAA7C1" w14:textId="77777777" w:rsidR="6DF0A560" w:rsidRDefault="00D4406F" w:rsidP="00F3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7E9"/>
    <w:multiLevelType w:val="hybridMultilevel"/>
    <w:tmpl w:val="02F258FA"/>
    <w:lvl w:ilvl="0" w:tplc="E8DE43C4">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EA6710">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62F068">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0A029A">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BCC1E0">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AA66EE">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BE9408">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5E6C48">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A5680">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041CA3"/>
    <w:multiLevelType w:val="hybridMultilevel"/>
    <w:tmpl w:val="7F5663B6"/>
    <w:lvl w:ilvl="0" w:tplc="AA34416E">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686E6">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4A3120">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9430E8">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6454AA">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6CACF4">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C677D6">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5C479E">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ECB296">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F33600"/>
    <w:multiLevelType w:val="hybridMultilevel"/>
    <w:tmpl w:val="9C167E38"/>
    <w:lvl w:ilvl="0" w:tplc="C50E39AE">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49CB0">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9E9DD2">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383CA4">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664F0A">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E85990">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871E2">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0F258">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880A92">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5C4A6B"/>
    <w:multiLevelType w:val="multilevel"/>
    <w:tmpl w:val="77BC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C328D"/>
    <w:multiLevelType w:val="multilevel"/>
    <w:tmpl w:val="2BF2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80746"/>
    <w:multiLevelType w:val="multilevel"/>
    <w:tmpl w:val="4D82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B96506"/>
    <w:multiLevelType w:val="hybridMultilevel"/>
    <w:tmpl w:val="A8B0D99A"/>
    <w:lvl w:ilvl="0" w:tplc="947AB42E">
      <w:start w:val="2"/>
      <w:numFmt w:val="decimal"/>
      <w:lvlText w:val="(%1)"/>
      <w:lvlJc w:val="left"/>
      <w:pPr>
        <w:ind w:left="10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7DE4B06">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81C24C0">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29C3EEC">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C327F4E">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2A4F12A">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FA8D82A">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040A3DA">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2669C70">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102F67"/>
    <w:multiLevelType w:val="hybridMultilevel"/>
    <w:tmpl w:val="817878E2"/>
    <w:lvl w:ilvl="0" w:tplc="E1029208">
      <w:numFmt w:val="decimal"/>
      <w:lvlText w:val="%1"/>
      <w:lvlJc w:val="left"/>
      <w:pPr>
        <w:ind w:left="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3C26D54">
      <w:start w:val="1"/>
      <w:numFmt w:val="lowerLetter"/>
      <w:lvlText w:val="%2"/>
      <w:lvlJc w:val="left"/>
      <w:pPr>
        <w:ind w:left="10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6C88978">
      <w:start w:val="1"/>
      <w:numFmt w:val="lowerRoman"/>
      <w:lvlText w:val="%3"/>
      <w:lvlJc w:val="left"/>
      <w:pPr>
        <w:ind w:left="18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72ABAC4">
      <w:start w:val="1"/>
      <w:numFmt w:val="decimal"/>
      <w:lvlText w:val="%4"/>
      <w:lvlJc w:val="left"/>
      <w:pPr>
        <w:ind w:left="25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AC6F432">
      <w:start w:val="1"/>
      <w:numFmt w:val="lowerLetter"/>
      <w:lvlText w:val="%5"/>
      <w:lvlJc w:val="left"/>
      <w:pPr>
        <w:ind w:left="32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5C4EA86">
      <w:start w:val="1"/>
      <w:numFmt w:val="lowerRoman"/>
      <w:lvlText w:val="%6"/>
      <w:lvlJc w:val="left"/>
      <w:pPr>
        <w:ind w:left="39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EB4A732">
      <w:start w:val="1"/>
      <w:numFmt w:val="decimal"/>
      <w:lvlText w:val="%7"/>
      <w:lvlJc w:val="left"/>
      <w:pPr>
        <w:ind w:left="46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642F730">
      <w:start w:val="1"/>
      <w:numFmt w:val="lowerLetter"/>
      <w:lvlText w:val="%8"/>
      <w:lvlJc w:val="left"/>
      <w:pPr>
        <w:ind w:left="5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F29CA6">
      <w:start w:val="1"/>
      <w:numFmt w:val="lowerRoman"/>
      <w:lvlText w:val="%9"/>
      <w:lvlJc w:val="left"/>
      <w:pPr>
        <w:ind w:left="61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F7658C"/>
    <w:multiLevelType w:val="multilevel"/>
    <w:tmpl w:val="F80C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4C1F2C"/>
    <w:multiLevelType w:val="hybridMultilevel"/>
    <w:tmpl w:val="02F264C2"/>
    <w:lvl w:ilvl="0" w:tplc="ED48745C">
      <w:start w:val="1"/>
      <w:numFmt w:val="lowerLetter"/>
      <w:lvlText w:val="(%1)"/>
      <w:lvlJc w:val="left"/>
      <w:pPr>
        <w:ind w:left="10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62021C6">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E8F832">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59A846C">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CC415E">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92A8B08">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B4A0018">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E050F2">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ECAB84">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47B1D25"/>
    <w:multiLevelType w:val="hybridMultilevel"/>
    <w:tmpl w:val="71A0628C"/>
    <w:lvl w:ilvl="0" w:tplc="1B64428E">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DC5F86">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127F20">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94FFFC">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46FE6C">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D29750">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C4A">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78DA">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92A002">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A300F1"/>
    <w:multiLevelType w:val="hybridMultilevel"/>
    <w:tmpl w:val="B3DC7682"/>
    <w:lvl w:ilvl="0" w:tplc="FE6077C6">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FC743A">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549DF0">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F282DA">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E6F4E">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54CF12">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02C9E">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E189E">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AA6824">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497C90"/>
    <w:multiLevelType w:val="hybridMultilevel"/>
    <w:tmpl w:val="CB82C68C"/>
    <w:lvl w:ilvl="0" w:tplc="78E692C6">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348748">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8284C">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403F4">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A4AFC">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62DB0">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C0AD92">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2EB566">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622A54">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F6110AF"/>
    <w:multiLevelType w:val="multilevel"/>
    <w:tmpl w:val="99E0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
  </w:num>
  <w:num w:numId="4">
    <w:abstractNumId w:val="11"/>
  </w:num>
  <w:num w:numId="5">
    <w:abstractNumId w:val="10"/>
  </w:num>
  <w:num w:numId="6">
    <w:abstractNumId w:val="2"/>
  </w:num>
  <w:num w:numId="7">
    <w:abstractNumId w:val="0"/>
  </w:num>
  <w:num w:numId="8">
    <w:abstractNumId w:val="12"/>
  </w:num>
  <w:num w:numId="9">
    <w:abstractNumId w:val="7"/>
  </w:num>
  <w:num w:numId="10">
    <w:abstractNumId w:val="8"/>
  </w:num>
  <w:num w:numId="11">
    <w:abstractNumId w:val="5"/>
  </w:num>
  <w:num w:numId="12">
    <w:abstractNumId w:val="3"/>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68"/>
    <w:rsid w:val="00057AAD"/>
    <w:rsid w:val="001158AA"/>
    <w:rsid w:val="001366B8"/>
    <w:rsid w:val="0025159B"/>
    <w:rsid w:val="00491693"/>
    <w:rsid w:val="0059509E"/>
    <w:rsid w:val="005B2909"/>
    <w:rsid w:val="006971D5"/>
    <w:rsid w:val="006D4B3D"/>
    <w:rsid w:val="00A27C8F"/>
    <w:rsid w:val="00A51BC6"/>
    <w:rsid w:val="00B67526"/>
    <w:rsid w:val="00B86475"/>
    <w:rsid w:val="00C40731"/>
    <w:rsid w:val="00CF6DD4"/>
    <w:rsid w:val="00D4406F"/>
    <w:rsid w:val="00DF0568"/>
    <w:rsid w:val="00F34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E9F2"/>
  <w15:chartTrackingRefBased/>
  <w15:docId w15:val="{5381248C-64E0-4D4C-8968-5E8196E1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68"/>
    <w:pPr>
      <w:spacing w:after="3" w:line="261" w:lineRule="auto"/>
      <w:ind w:left="10" w:hanging="10"/>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DF0568"/>
    <w:pPr>
      <w:keepNext/>
      <w:keepLines/>
      <w:spacing w:after="0"/>
      <w:ind w:left="26" w:hanging="10"/>
      <w:outlineLvl w:val="0"/>
    </w:pPr>
    <w:rPr>
      <w:rFonts w:ascii="Arial" w:eastAsia="Arial" w:hAnsi="Arial" w:cs="Arial"/>
      <w:b/>
      <w:color w:val="00AD41"/>
      <w:sz w:val="44"/>
      <w:lang w:eastAsia="en-GB"/>
    </w:rPr>
  </w:style>
  <w:style w:type="paragraph" w:styleId="Heading2">
    <w:name w:val="heading 2"/>
    <w:next w:val="Normal"/>
    <w:link w:val="Heading2Char"/>
    <w:uiPriority w:val="9"/>
    <w:unhideWhenUsed/>
    <w:qFormat/>
    <w:rsid w:val="00DF0568"/>
    <w:pPr>
      <w:keepNext/>
      <w:keepLines/>
      <w:spacing w:after="4" w:line="254" w:lineRule="auto"/>
      <w:ind w:left="26" w:hanging="10"/>
      <w:outlineLvl w:val="1"/>
    </w:pPr>
    <w:rPr>
      <w:rFonts w:ascii="Arial" w:eastAsia="Arial" w:hAnsi="Arial" w:cs="Arial"/>
      <w:b/>
      <w:color w:val="00AD41"/>
      <w:sz w:val="36"/>
      <w:lang w:eastAsia="en-GB"/>
    </w:rPr>
  </w:style>
  <w:style w:type="paragraph" w:styleId="Heading3">
    <w:name w:val="heading 3"/>
    <w:next w:val="Normal"/>
    <w:link w:val="Heading3Char"/>
    <w:uiPriority w:val="9"/>
    <w:unhideWhenUsed/>
    <w:qFormat/>
    <w:rsid w:val="00DF0568"/>
    <w:pPr>
      <w:keepNext/>
      <w:keepLines/>
      <w:spacing w:after="135"/>
      <w:ind w:left="1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568"/>
    <w:rPr>
      <w:rFonts w:ascii="Arial" w:eastAsia="Arial" w:hAnsi="Arial" w:cs="Arial"/>
      <w:b/>
      <w:color w:val="00AD41"/>
      <w:sz w:val="44"/>
      <w:lang w:eastAsia="en-GB"/>
    </w:rPr>
  </w:style>
  <w:style w:type="character" w:customStyle="1" w:styleId="Heading2Char">
    <w:name w:val="Heading 2 Char"/>
    <w:basedOn w:val="DefaultParagraphFont"/>
    <w:link w:val="Heading2"/>
    <w:uiPriority w:val="9"/>
    <w:rsid w:val="00DF0568"/>
    <w:rPr>
      <w:rFonts w:ascii="Arial" w:eastAsia="Arial" w:hAnsi="Arial" w:cs="Arial"/>
      <w:b/>
      <w:color w:val="00AD41"/>
      <w:sz w:val="36"/>
      <w:lang w:eastAsia="en-GB"/>
    </w:rPr>
  </w:style>
  <w:style w:type="character" w:customStyle="1" w:styleId="Heading3Char">
    <w:name w:val="Heading 3 Char"/>
    <w:basedOn w:val="DefaultParagraphFont"/>
    <w:link w:val="Heading3"/>
    <w:uiPriority w:val="9"/>
    <w:rsid w:val="00DF0568"/>
    <w:rPr>
      <w:rFonts w:ascii="Arial" w:eastAsia="Arial" w:hAnsi="Arial" w:cs="Arial"/>
      <w:b/>
      <w:color w:val="000000"/>
      <w:sz w:val="24"/>
      <w:lang w:eastAsia="en-GB"/>
    </w:rPr>
  </w:style>
  <w:style w:type="paragraph" w:styleId="TOC1">
    <w:name w:val="toc 1"/>
    <w:hidden/>
    <w:uiPriority w:val="39"/>
    <w:rsid w:val="00DF0568"/>
    <w:pPr>
      <w:spacing w:after="273" w:line="261" w:lineRule="auto"/>
      <w:ind w:left="33" w:right="23" w:hanging="10"/>
    </w:pPr>
    <w:rPr>
      <w:rFonts w:ascii="Arial" w:eastAsia="Arial" w:hAnsi="Arial" w:cs="Arial"/>
      <w:color w:val="000000"/>
      <w:sz w:val="24"/>
      <w:lang w:eastAsia="en-GB"/>
    </w:rPr>
  </w:style>
  <w:style w:type="paragraph" w:styleId="TOC2">
    <w:name w:val="toc 2"/>
    <w:hidden/>
    <w:uiPriority w:val="39"/>
    <w:rsid w:val="00DF0568"/>
    <w:pPr>
      <w:spacing w:after="272" w:line="261" w:lineRule="auto"/>
      <w:ind w:left="295" w:right="23" w:hanging="10"/>
    </w:pPr>
    <w:rPr>
      <w:rFonts w:ascii="Arial" w:eastAsia="Arial" w:hAnsi="Arial" w:cs="Arial"/>
      <w:color w:val="000000"/>
      <w:sz w:val="24"/>
      <w:lang w:eastAsia="en-GB"/>
    </w:rPr>
  </w:style>
  <w:style w:type="character" w:styleId="Hyperlink">
    <w:name w:val="Hyperlink"/>
    <w:basedOn w:val="DefaultParagraphFont"/>
    <w:uiPriority w:val="99"/>
    <w:unhideWhenUsed/>
    <w:rsid w:val="00DF0568"/>
    <w:rPr>
      <w:color w:val="0563C1" w:themeColor="hyperlink"/>
      <w:u w:val="single"/>
    </w:rPr>
  </w:style>
  <w:style w:type="paragraph" w:styleId="ListParagraph">
    <w:name w:val="List Paragraph"/>
    <w:basedOn w:val="Normal"/>
    <w:uiPriority w:val="34"/>
    <w:qFormat/>
    <w:rsid w:val="00DF0568"/>
    <w:pPr>
      <w:ind w:left="720"/>
      <w:contextualSpacing/>
    </w:pPr>
  </w:style>
  <w:style w:type="paragraph" w:customStyle="1" w:styleId="paragraph">
    <w:name w:val="paragraph"/>
    <w:basedOn w:val="Normal"/>
    <w:uiPriority w:val="99"/>
    <w:rsid w:val="00DF0568"/>
    <w:pPr>
      <w:spacing w:before="100" w:beforeAutospacing="1" w:after="100" w:afterAutospacing="1" w:line="240" w:lineRule="auto"/>
      <w:ind w:left="0" w:firstLine="0"/>
    </w:pPr>
    <w:rPr>
      <w:rFonts w:ascii="Times New Roman" w:eastAsiaTheme="minorHAnsi" w:hAnsi="Times New Roman" w:cs="Times New Roman"/>
      <w:color w:val="auto"/>
      <w:szCs w:val="24"/>
    </w:rPr>
  </w:style>
  <w:style w:type="character" w:customStyle="1" w:styleId="normaltextrun">
    <w:name w:val="normaltextrun"/>
    <w:basedOn w:val="DefaultParagraphFont"/>
    <w:rsid w:val="00DF0568"/>
  </w:style>
  <w:style w:type="table" w:styleId="TableGrid">
    <w:name w:val="Table Grid"/>
    <w:basedOn w:val="TableNormal"/>
    <w:uiPriority w:val="59"/>
    <w:rsid w:val="00DF0568"/>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DF0568"/>
  </w:style>
  <w:style w:type="paragraph" w:styleId="Header">
    <w:name w:val="header"/>
    <w:basedOn w:val="Normal"/>
    <w:link w:val="HeaderChar"/>
    <w:uiPriority w:val="99"/>
    <w:unhideWhenUsed/>
    <w:rsid w:val="00DF0568"/>
    <w:pPr>
      <w:tabs>
        <w:tab w:val="center" w:pos="4680"/>
        <w:tab w:val="right" w:pos="9360"/>
      </w:tabs>
      <w:spacing w:after="0" w:line="240" w:lineRule="auto"/>
    </w:pPr>
    <w:rPr>
      <w:rFonts w:asciiTheme="minorHAnsi" w:eastAsiaTheme="minorHAnsi" w:hAnsiTheme="minorHAnsi" w:cstheme="minorBidi"/>
      <w:color w:val="auto"/>
      <w:sz w:val="22"/>
      <w:lang w:eastAsia="en-US"/>
    </w:rPr>
  </w:style>
  <w:style w:type="character" w:customStyle="1" w:styleId="HeaderChar1">
    <w:name w:val="Header Char1"/>
    <w:basedOn w:val="DefaultParagraphFont"/>
    <w:uiPriority w:val="99"/>
    <w:semiHidden/>
    <w:rsid w:val="00DF0568"/>
    <w:rPr>
      <w:rFonts w:ascii="Arial" w:eastAsia="Arial" w:hAnsi="Arial" w:cs="Arial"/>
      <w:color w:val="000000"/>
      <w:sz w:val="24"/>
      <w:lang w:eastAsia="en-GB"/>
    </w:rPr>
  </w:style>
  <w:style w:type="paragraph" w:styleId="BalloonText">
    <w:name w:val="Balloon Text"/>
    <w:basedOn w:val="Normal"/>
    <w:link w:val="BalloonTextChar"/>
    <w:uiPriority w:val="99"/>
    <w:semiHidden/>
    <w:unhideWhenUsed/>
    <w:rsid w:val="00DF0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568"/>
    <w:rPr>
      <w:rFonts w:ascii="Segoe UI" w:eastAsia="Arial" w:hAnsi="Segoe UI" w:cs="Segoe UI"/>
      <w:color w:val="000000"/>
      <w:sz w:val="18"/>
      <w:szCs w:val="18"/>
      <w:lang w:eastAsia="en-GB"/>
    </w:rPr>
  </w:style>
  <w:style w:type="paragraph" w:styleId="NormalWeb">
    <w:name w:val="Normal (Web)"/>
    <w:basedOn w:val="Normal"/>
    <w:uiPriority w:val="99"/>
    <w:semiHidden/>
    <w:unhideWhenUsed/>
    <w:rsid w:val="006D4B3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umber">
    <w:name w:val="number"/>
    <w:basedOn w:val="DefaultParagraphFont"/>
    <w:rsid w:val="006D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41797">
      <w:bodyDiv w:val="1"/>
      <w:marLeft w:val="0"/>
      <w:marRight w:val="0"/>
      <w:marTop w:val="0"/>
      <w:marBottom w:val="0"/>
      <w:divBdr>
        <w:top w:val="none" w:sz="0" w:space="0" w:color="auto"/>
        <w:left w:val="none" w:sz="0" w:space="0" w:color="auto"/>
        <w:bottom w:val="none" w:sz="0" w:space="0" w:color="auto"/>
        <w:right w:val="none" w:sz="0" w:space="0" w:color="auto"/>
      </w:divBdr>
      <w:divsChild>
        <w:div w:id="1659379211">
          <w:marLeft w:val="0"/>
          <w:marRight w:val="0"/>
          <w:marTop w:val="450"/>
          <w:marBottom w:val="450"/>
          <w:divBdr>
            <w:top w:val="none" w:sz="0" w:space="0" w:color="auto"/>
            <w:left w:val="single" w:sz="6" w:space="11" w:color="B1B4B6"/>
            <w:bottom w:val="none" w:sz="0" w:space="0" w:color="auto"/>
            <w:right w:val="none" w:sz="0" w:space="0" w:color="auto"/>
          </w:divBdr>
          <w:divsChild>
            <w:div w:id="12925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v.uk/government/publications" TargetMode="External"/><Relationship Id="rId18" Type="http://schemas.openxmlformats.org/officeDocument/2006/relationships/hyperlink" Target="http://www.gov.uk/defr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weee@defra.gov.uk" TargetMode="External"/><Relationship Id="rId7" Type="http://schemas.openxmlformats.org/officeDocument/2006/relationships/image" Target="media/image1.jpg"/><Relationship Id="rId12" Type="http://schemas.openxmlformats.org/officeDocument/2006/relationships/hyperlink" Target="http://www.nationalarchives.gov.uk/doc/open-government-licence/version/3/" TargetMode="External"/><Relationship Id="rId17" Type="http://schemas.openxmlformats.org/officeDocument/2006/relationships/hyperlink" Target="http://www.gov.uk/defra"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gov.uk/defra" TargetMode="External"/><Relationship Id="rId20" Type="http://schemas.openxmlformats.org/officeDocument/2006/relationships/hyperlink" Target="https://www.gov.uk/government/organisations/department-for-environment-food-rural-affai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rchives.gov.uk/doc/open-government-licence/version/3/"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gov.uk/government/publications" TargetMode="External"/><Relationship Id="rId23" Type="http://schemas.openxmlformats.org/officeDocument/2006/relationships/footer" Target="footer1.xml"/><Relationship Id="rId10" Type="http://schemas.openxmlformats.org/officeDocument/2006/relationships/hyperlink" Target="http://www.nationalarchives.gov.uk/doc/open-government-licence/version/3/" TargetMode="External"/><Relationship Id="rId19" Type="http://schemas.openxmlformats.org/officeDocument/2006/relationships/hyperlink" Target="https://www.legislation.gov.uk/uksi/2013/3113/contents/made" TargetMode="External"/><Relationship Id="rId4" Type="http://schemas.openxmlformats.org/officeDocument/2006/relationships/webSettings" Target="webSettings.xml"/><Relationship Id="rId9" Type="http://schemas.openxmlformats.org/officeDocument/2006/relationships/hyperlink" Target="http://www.nationalarchives.gov.uk/doc/open-government-licence/version/3/" TargetMode="External"/><Relationship Id="rId14" Type="http://schemas.openxmlformats.org/officeDocument/2006/relationships/hyperlink" Target="http://www.gov.uk/government/publication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Stocks, Matt</dc:creator>
  <cp:keywords/>
  <dc:description/>
  <cp:lastModifiedBy>Matt Stocks</cp:lastModifiedBy>
  <cp:revision>3</cp:revision>
  <dcterms:created xsi:type="dcterms:W3CDTF">2022-10-06T09:06:00Z</dcterms:created>
  <dcterms:modified xsi:type="dcterms:W3CDTF">2022-10-06T09:07:00Z</dcterms:modified>
</cp:coreProperties>
</file>