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4786"/>
        <w:gridCol w:w="2552"/>
        <w:gridCol w:w="2625"/>
      </w:tblGrid>
      <w:tr w:rsidR="00B7493C" w:rsidRPr="008B017B" w14:paraId="3339AFAE" w14:textId="77777777" w:rsidTr="0072194D">
        <w:trPr>
          <w:trHeight w:val="1163"/>
        </w:trPr>
        <w:tc>
          <w:tcPr>
            <w:tcW w:w="4962" w:type="dxa"/>
            <w:gridSpan w:val="2"/>
            <w:vMerge w:val="restart"/>
            <w:shd w:val="clear" w:color="auto" w:fill="auto"/>
          </w:tcPr>
          <w:p w14:paraId="6AFC7609" w14:textId="77777777" w:rsidR="00B7493C" w:rsidRPr="008B017B" w:rsidRDefault="00B7493C" w:rsidP="0072194D">
            <w:pPr>
              <w:spacing w:before="0" w:after="0"/>
              <w:ind w:left="88"/>
              <w:jc w:val="both"/>
              <w:rPr>
                <w:color w:val="FFFFFF"/>
                <w:sz w:val="28"/>
              </w:rPr>
            </w:pPr>
            <w:r w:rsidRPr="0033473F">
              <w:rPr>
                <w:rFonts w:cs="Arial"/>
                <w:noProof/>
                <w:color w:val="FFFFFF"/>
                <w:sz w:val="28"/>
                <w:lang w:eastAsia="en-GB"/>
              </w:rPr>
              <w:drawing>
                <wp:inline distT="0" distB="0" distL="0" distR="0" wp14:anchorId="13C8754B" wp14:editId="0C487E9E">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2552" w:type="dxa"/>
            <w:shd w:val="clear" w:color="auto" w:fill="auto"/>
          </w:tcPr>
          <w:p w14:paraId="724922CA" w14:textId="77777777" w:rsidR="00B7493C" w:rsidRPr="00363358" w:rsidRDefault="00B7493C" w:rsidP="0072194D">
            <w:pPr>
              <w:spacing w:before="0" w:after="0"/>
              <w:jc w:val="both"/>
              <w:rPr>
                <w:color w:val="FFFFFF"/>
                <w:sz w:val="22"/>
              </w:rPr>
            </w:pPr>
          </w:p>
        </w:tc>
        <w:tc>
          <w:tcPr>
            <w:tcW w:w="2625" w:type="dxa"/>
            <w:vMerge w:val="restart"/>
            <w:shd w:val="clear" w:color="auto" w:fill="auto"/>
          </w:tcPr>
          <w:p w14:paraId="7AC89265" w14:textId="77777777" w:rsidR="00B7493C" w:rsidRPr="006D3998" w:rsidRDefault="00B7493C" w:rsidP="0072194D">
            <w:pPr>
              <w:tabs>
                <w:tab w:val="left" w:pos="8385"/>
              </w:tabs>
              <w:spacing w:before="1260" w:after="0" w:line="240" w:lineRule="auto"/>
              <w:jc w:val="both"/>
              <w:rPr>
                <w:sz w:val="22"/>
              </w:rPr>
            </w:pPr>
            <w:r>
              <w:rPr>
                <w:sz w:val="22"/>
              </w:rPr>
              <w:t>T</w:t>
            </w:r>
            <w:r w:rsidRPr="00D81430">
              <w:rPr>
                <w:sz w:val="22"/>
              </w:rPr>
              <w:t xml:space="preserve">: </w:t>
            </w:r>
            <w:bookmarkStart w:id="0" w:name="telMain"/>
            <w:bookmarkEnd w:id="0"/>
            <w:r>
              <w:rPr>
                <w:sz w:val="22"/>
              </w:rPr>
              <w:t>03459 335577</w:t>
            </w:r>
          </w:p>
          <w:p w14:paraId="7BA525FF" w14:textId="77777777" w:rsidR="00B7493C" w:rsidRPr="00363358" w:rsidRDefault="00B7493C" w:rsidP="0072194D">
            <w:pPr>
              <w:spacing w:before="0" w:after="0" w:line="240" w:lineRule="auto"/>
              <w:jc w:val="both"/>
              <w:rPr>
                <w:color w:val="FFFFFF"/>
                <w:sz w:val="22"/>
              </w:rPr>
            </w:pPr>
            <w:r w:rsidRPr="00F86D36">
              <w:rPr>
                <w:sz w:val="22"/>
              </w:rPr>
              <w:t>helpline@defra.gov.uk</w:t>
            </w:r>
          </w:p>
          <w:p w14:paraId="09AFAAD7" w14:textId="77777777" w:rsidR="00B7493C" w:rsidRPr="0033473F" w:rsidRDefault="00B7493C" w:rsidP="0072194D">
            <w:pPr>
              <w:spacing w:before="0" w:after="0" w:line="240" w:lineRule="auto"/>
              <w:jc w:val="both"/>
              <w:rPr>
                <w:color w:val="00AF41"/>
                <w:sz w:val="22"/>
              </w:rPr>
            </w:pPr>
            <w:r w:rsidRPr="0033473F">
              <w:rPr>
                <w:color w:val="00AF41"/>
                <w:sz w:val="22"/>
              </w:rPr>
              <w:t>www.gov.uk/defra</w:t>
            </w:r>
          </w:p>
        </w:tc>
      </w:tr>
      <w:tr w:rsidR="00B7493C" w:rsidRPr="008B017B" w14:paraId="5DBCC978" w14:textId="77777777" w:rsidTr="0072194D">
        <w:trPr>
          <w:trHeight w:val="1065"/>
        </w:trPr>
        <w:tc>
          <w:tcPr>
            <w:tcW w:w="4962" w:type="dxa"/>
            <w:gridSpan w:val="2"/>
            <w:vMerge/>
            <w:shd w:val="clear" w:color="auto" w:fill="auto"/>
          </w:tcPr>
          <w:p w14:paraId="47157B2E" w14:textId="77777777" w:rsidR="00B7493C" w:rsidRDefault="00B7493C" w:rsidP="0072194D">
            <w:pPr>
              <w:spacing w:before="0" w:after="0"/>
              <w:jc w:val="both"/>
              <w:rPr>
                <w:color w:val="FFFFFF"/>
                <w:sz w:val="28"/>
              </w:rPr>
            </w:pPr>
          </w:p>
        </w:tc>
        <w:tc>
          <w:tcPr>
            <w:tcW w:w="2552" w:type="dxa"/>
            <w:shd w:val="clear" w:color="auto" w:fill="auto"/>
          </w:tcPr>
          <w:p w14:paraId="1E236CCE" w14:textId="77777777" w:rsidR="00B7493C" w:rsidRDefault="00B7493C" w:rsidP="0072194D">
            <w:pPr>
              <w:spacing w:before="0" w:after="0" w:line="240" w:lineRule="auto"/>
              <w:jc w:val="both"/>
              <w:rPr>
                <w:sz w:val="22"/>
              </w:rPr>
            </w:pPr>
            <w:r w:rsidRPr="0089584B">
              <w:rPr>
                <w:noProof/>
                <w:sz w:val="22"/>
                <w:lang w:eastAsia="en-GB"/>
              </w:rPr>
              <mc:AlternateContent>
                <mc:Choice Requires="wps">
                  <w:drawing>
                    <wp:anchor distT="0" distB="0" distL="114300" distR="114300" simplePos="0" relativeHeight="251659264" behindDoc="0" locked="1" layoutInCell="0" allowOverlap="1" wp14:anchorId="542E18A3" wp14:editId="0774099F">
                      <wp:simplePos x="0" y="0"/>
                      <wp:positionH relativeFrom="page">
                        <wp:posOffset>0</wp:posOffset>
                      </wp:positionH>
                      <wp:positionV relativeFrom="page">
                        <wp:posOffset>3564255</wp:posOffset>
                      </wp:positionV>
                      <wp:extent cx="2159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9D12"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" o:allowincell="f" strokeweight=".5pt">
                      <w10:wrap anchorx="page" anchory="page"/>
                      <w10:anchorlock/>
                    </v:line>
                  </w:pict>
                </mc:Fallback>
              </mc:AlternateContent>
            </w:r>
            <w:bookmarkStart w:id="1" w:name="site"/>
            <w:bookmarkEnd w:id="1"/>
            <w:r>
              <w:rPr>
                <w:sz w:val="22"/>
              </w:rPr>
              <w:t>Ground Floor Seacole</w:t>
            </w:r>
          </w:p>
          <w:p w14:paraId="5011CD30" w14:textId="77777777" w:rsidR="00B7493C" w:rsidRDefault="00B7493C" w:rsidP="0072194D">
            <w:pPr>
              <w:spacing w:before="0" w:after="0" w:line="240" w:lineRule="auto"/>
              <w:jc w:val="both"/>
              <w:rPr>
                <w:sz w:val="22"/>
              </w:rPr>
            </w:pPr>
            <w:r>
              <w:rPr>
                <w:sz w:val="22"/>
              </w:rPr>
              <w:t>2 Marsham Street</w:t>
            </w:r>
          </w:p>
          <w:p w14:paraId="55F986AC" w14:textId="77777777" w:rsidR="00B7493C" w:rsidRDefault="00B7493C" w:rsidP="0072194D">
            <w:pPr>
              <w:spacing w:before="0" w:after="0" w:line="240" w:lineRule="auto"/>
              <w:jc w:val="both"/>
              <w:rPr>
                <w:sz w:val="22"/>
              </w:rPr>
            </w:pPr>
            <w:r>
              <w:rPr>
                <w:sz w:val="22"/>
              </w:rPr>
              <w:t>London</w:t>
            </w:r>
          </w:p>
          <w:p w14:paraId="60B06553" w14:textId="77777777" w:rsidR="00B7493C" w:rsidRPr="0089584B" w:rsidRDefault="00B7493C" w:rsidP="0072194D">
            <w:pPr>
              <w:spacing w:before="0" w:after="0" w:line="240" w:lineRule="auto"/>
              <w:jc w:val="both"/>
              <w:rPr>
                <w:sz w:val="22"/>
              </w:rPr>
            </w:pPr>
            <w:r>
              <w:rPr>
                <w:sz w:val="22"/>
              </w:rPr>
              <w:t>SW1P 4DF</w:t>
            </w:r>
          </w:p>
          <w:p w14:paraId="6A2C101E" w14:textId="77777777" w:rsidR="00B7493C" w:rsidRPr="0089584B" w:rsidRDefault="00B7493C" w:rsidP="0072194D">
            <w:pPr>
              <w:spacing w:before="0" w:after="0"/>
              <w:jc w:val="both"/>
              <w:rPr>
                <w:noProof/>
                <w:sz w:val="22"/>
                <w:lang w:eastAsia="en-GB"/>
              </w:rPr>
            </w:pPr>
          </w:p>
        </w:tc>
        <w:tc>
          <w:tcPr>
            <w:tcW w:w="2625" w:type="dxa"/>
            <w:vMerge/>
            <w:shd w:val="clear" w:color="auto" w:fill="auto"/>
          </w:tcPr>
          <w:p w14:paraId="37734F7A" w14:textId="77777777" w:rsidR="00B7493C" w:rsidRDefault="00B7493C" w:rsidP="0072194D">
            <w:pPr>
              <w:tabs>
                <w:tab w:val="left" w:pos="8385"/>
              </w:tabs>
              <w:spacing w:before="0" w:after="0"/>
              <w:jc w:val="both"/>
              <w:rPr>
                <w:sz w:val="22"/>
              </w:rPr>
            </w:pPr>
          </w:p>
        </w:tc>
      </w:tr>
      <w:tr w:rsidR="00B7493C" w14:paraId="0CC6B6FA" w14:textId="77777777" w:rsidTr="0072194D">
        <w:tblPrEx>
          <w:tblCellMar>
            <w:left w:w="108" w:type="dxa"/>
            <w:right w:w="108" w:type="dxa"/>
          </w:tblCellMar>
          <w:tblLook w:val="0000" w:firstRow="0" w:lastRow="0" w:firstColumn="0" w:lastColumn="0" w:noHBand="0" w:noVBand="0"/>
        </w:tblPrEx>
        <w:trPr>
          <w:gridBefore w:val="1"/>
          <w:wBefore w:w="176" w:type="dxa"/>
        </w:trPr>
        <w:tc>
          <w:tcPr>
            <w:tcW w:w="7338" w:type="dxa"/>
            <w:gridSpan w:val="2"/>
          </w:tcPr>
          <w:p w14:paraId="2E89EBBE" w14:textId="77777777" w:rsidR="00B7493C" w:rsidRPr="006D3998" w:rsidRDefault="00B7493C" w:rsidP="0072194D">
            <w:pPr>
              <w:spacing w:before="0" w:after="0"/>
              <w:jc w:val="both"/>
              <w:rPr>
                <w:szCs w:val="24"/>
              </w:rPr>
            </w:pPr>
            <w:bookmarkStart w:id="2" w:name="recName"/>
            <w:bookmarkEnd w:id="2"/>
            <w:r w:rsidRPr="006D3998">
              <w:rPr>
                <w:szCs w:val="24"/>
              </w:rPr>
              <w:t>Recipient name here</w:t>
            </w:r>
          </w:p>
          <w:p w14:paraId="7C25A81E" w14:textId="77777777" w:rsidR="00B7493C" w:rsidRPr="006D3998" w:rsidRDefault="00B7493C" w:rsidP="0072194D">
            <w:pPr>
              <w:spacing w:before="0" w:after="0"/>
              <w:jc w:val="both"/>
              <w:rPr>
                <w:szCs w:val="24"/>
              </w:rPr>
            </w:pPr>
            <w:bookmarkStart w:id="3" w:name="recComp"/>
            <w:bookmarkEnd w:id="3"/>
            <w:r w:rsidRPr="006D3998">
              <w:rPr>
                <w:szCs w:val="24"/>
              </w:rPr>
              <w:t>Recipient company</w:t>
            </w:r>
          </w:p>
          <w:p w14:paraId="4BAF8DC5" w14:textId="77777777" w:rsidR="00B7493C" w:rsidRPr="006D3998" w:rsidRDefault="00B7493C" w:rsidP="0072194D">
            <w:pPr>
              <w:spacing w:before="0" w:after="0"/>
              <w:jc w:val="both"/>
              <w:rPr>
                <w:szCs w:val="24"/>
              </w:rPr>
            </w:pPr>
            <w:bookmarkStart w:id="4" w:name="recAdd"/>
            <w:bookmarkEnd w:id="4"/>
            <w:r w:rsidRPr="006D3998">
              <w:rPr>
                <w:szCs w:val="24"/>
              </w:rPr>
              <w:t>Address1</w:t>
            </w:r>
          </w:p>
          <w:p w14:paraId="28DE969C" w14:textId="77777777" w:rsidR="00B7493C" w:rsidRPr="006D3998" w:rsidRDefault="00B7493C" w:rsidP="0072194D">
            <w:pPr>
              <w:spacing w:before="0" w:after="0"/>
              <w:jc w:val="both"/>
              <w:rPr>
                <w:szCs w:val="24"/>
              </w:rPr>
            </w:pPr>
            <w:r w:rsidRPr="006D3998">
              <w:rPr>
                <w:szCs w:val="24"/>
              </w:rPr>
              <w:t>Address2</w:t>
            </w:r>
          </w:p>
          <w:p w14:paraId="7E44A28E" w14:textId="77777777" w:rsidR="00B7493C" w:rsidRPr="006D3998" w:rsidRDefault="00B7493C" w:rsidP="0072194D">
            <w:pPr>
              <w:spacing w:before="0" w:after="0"/>
              <w:jc w:val="both"/>
              <w:rPr>
                <w:szCs w:val="24"/>
              </w:rPr>
            </w:pPr>
            <w:r w:rsidRPr="006D3998">
              <w:rPr>
                <w:szCs w:val="24"/>
              </w:rPr>
              <w:t>Address3</w:t>
            </w:r>
          </w:p>
          <w:p w14:paraId="2A1D1128" w14:textId="77777777" w:rsidR="00B7493C" w:rsidRPr="001C788D" w:rsidRDefault="00B7493C" w:rsidP="0072194D">
            <w:pPr>
              <w:spacing w:before="0" w:after="0"/>
              <w:jc w:val="both"/>
            </w:pPr>
            <w:r w:rsidRPr="006D3998">
              <w:rPr>
                <w:szCs w:val="24"/>
              </w:rPr>
              <w:t>Postcode</w:t>
            </w:r>
          </w:p>
        </w:tc>
        <w:tc>
          <w:tcPr>
            <w:tcW w:w="2625" w:type="dxa"/>
          </w:tcPr>
          <w:p w14:paraId="3827F0D7" w14:textId="77777777" w:rsidR="00B7493C" w:rsidRPr="006D3998" w:rsidRDefault="00B7493C" w:rsidP="0072194D">
            <w:pPr>
              <w:tabs>
                <w:tab w:val="left" w:pos="1134"/>
              </w:tabs>
              <w:spacing w:before="920" w:after="0"/>
              <w:ind w:left="-108"/>
              <w:jc w:val="both"/>
              <w:rPr>
                <w:sz w:val="22"/>
              </w:rPr>
            </w:pPr>
            <w:r w:rsidRPr="001F1CCE">
              <w:rPr>
                <w:b/>
                <w:sz w:val="22"/>
              </w:rPr>
              <w:t>Your ref:</w:t>
            </w:r>
            <w:r w:rsidRPr="006D3998">
              <w:rPr>
                <w:sz w:val="22"/>
              </w:rPr>
              <w:tab/>
            </w:r>
            <w:bookmarkStart w:id="5" w:name="youRef"/>
            <w:bookmarkEnd w:id="5"/>
            <w:r>
              <w:rPr>
                <w:sz w:val="22"/>
              </w:rPr>
              <w:t>[goes here]</w:t>
            </w:r>
          </w:p>
          <w:p w14:paraId="6F4F429E" w14:textId="77777777" w:rsidR="00B7493C" w:rsidRPr="006D3998" w:rsidRDefault="00B7493C" w:rsidP="0072194D">
            <w:pPr>
              <w:tabs>
                <w:tab w:val="left" w:pos="1134"/>
              </w:tabs>
              <w:spacing w:before="0" w:after="0"/>
              <w:ind w:left="-108"/>
              <w:jc w:val="both"/>
              <w:rPr>
                <w:sz w:val="22"/>
              </w:rPr>
            </w:pPr>
            <w:r w:rsidRPr="001F1CCE">
              <w:rPr>
                <w:b/>
                <w:sz w:val="22"/>
              </w:rPr>
              <w:t>Our ref:</w:t>
            </w:r>
            <w:r w:rsidRPr="001F1CCE">
              <w:rPr>
                <w:b/>
                <w:sz w:val="22"/>
              </w:rPr>
              <w:tab/>
            </w:r>
            <w:bookmarkStart w:id="6" w:name="ourRef"/>
            <w:bookmarkEnd w:id="6"/>
            <w:r>
              <w:rPr>
                <w:sz w:val="22"/>
              </w:rPr>
              <w:t>[goes here]</w:t>
            </w:r>
          </w:p>
          <w:p w14:paraId="4EBB916C" w14:textId="3ADE90FB" w:rsidR="00B7493C" w:rsidRPr="006D3998" w:rsidRDefault="00B7493C" w:rsidP="0072194D">
            <w:pPr>
              <w:tabs>
                <w:tab w:val="left" w:pos="1134"/>
              </w:tabs>
              <w:spacing w:before="0" w:after="0"/>
              <w:ind w:left="-108"/>
              <w:jc w:val="both"/>
            </w:pPr>
            <w:r w:rsidRPr="001F1CCE">
              <w:rPr>
                <w:b/>
                <w:sz w:val="22"/>
              </w:rPr>
              <w:t>Date:</w:t>
            </w:r>
            <w:bookmarkStart w:id="7" w:name="date"/>
            <w:bookmarkEnd w:id="7"/>
            <w:r>
              <w:rPr>
                <w:b/>
                <w:sz w:val="22"/>
              </w:rPr>
              <w:t xml:space="preserve">        </w:t>
            </w:r>
            <w:r>
              <w:rPr>
                <w:sz w:val="22"/>
              </w:rPr>
              <w:t>October 202</w:t>
            </w:r>
            <w:r w:rsidR="00931F2D">
              <w:rPr>
                <w:sz w:val="22"/>
              </w:rPr>
              <w:t>2</w:t>
            </w:r>
          </w:p>
        </w:tc>
      </w:tr>
    </w:tbl>
    <w:p w14:paraId="3E664706" w14:textId="77777777" w:rsidR="00B7493C" w:rsidRPr="00224534" w:rsidRDefault="00B7493C" w:rsidP="00B7493C">
      <w:pPr>
        <w:spacing w:before="0" w:after="0" w:line="240" w:lineRule="auto"/>
        <w:jc w:val="both"/>
      </w:pPr>
      <w:bookmarkStart w:id="8" w:name="email"/>
      <w:bookmarkEnd w:id="8"/>
    </w:p>
    <w:p w14:paraId="74BF7F7A" w14:textId="77777777" w:rsidR="00B7493C" w:rsidRPr="00224534" w:rsidRDefault="00B7493C" w:rsidP="00B7493C">
      <w:pPr>
        <w:spacing w:before="0" w:after="0" w:line="240" w:lineRule="auto"/>
        <w:jc w:val="both"/>
      </w:pPr>
      <w:r w:rsidRPr="00224534">
        <w:t xml:space="preserve">Dear Consultee </w:t>
      </w:r>
    </w:p>
    <w:p w14:paraId="718A6467" w14:textId="77777777" w:rsidR="00B7493C" w:rsidRDefault="00B7493C" w:rsidP="00B7493C">
      <w:pPr>
        <w:spacing w:before="0" w:after="0" w:line="240" w:lineRule="auto"/>
        <w:jc w:val="both"/>
        <w:rPr>
          <w:b/>
          <w:bCs/>
        </w:rPr>
      </w:pPr>
    </w:p>
    <w:p w14:paraId="653AB1A3" w14:textId="37C42EAD" w:rsidR="00B7493C" w:rsidRDefault="00B7493C" w:rsidP="00B7493C">
      <w:pPr>
        <w:spacing w:before="0" w:after="0" w:line="240" w:lineRule="auto"/>
        <w:jc w:val="both"/>
      </w:pPr>
      <w:r w:rsidRPr="00224534">
        <w:rPr>
          <w:b/>
          <w:bCs/>
        </w:rPr>
        <w:t xml:space="preserve">Consultation on </w:t>
      </w:r>
      <w:r>
        <w:rPr>
          <w:b/>
          <w:bCs/>
        </w:rPr>
        <w:t>setting a compliance fee under the Waste Electronic and Electrical Equipment Regulations in 202</w:t>
      </w:r>
      <w:r w:rsidR="00931F2D">
        <w:rPr>
          <w:b/>
          <w:bCs/>
        </w:rPr>
        <w:t>2</w:t>
      </w:r>
      <w:r>
        <w:rPr>
          <w:b/>
          <w:bCs/>
        </w:rPr>
        <w:t>.</w:t>
      </w:r>
    </w:p>
    <w:p w14:paraId="17BD9B8D" w14:textId="277A61D3" w:rsidR="00B7493C" w:rsidRPr="004569D2" w:rsidRDefault="00B7493C" w:rsidP="00B7493C">
      <w:pPr>
        <w:numPr>
          <w:ilvl w:val="0"/>
          <w:numId w:val="2"/>
        </w:numPr>
        <w:jc w:val="both"/>
        <w:rPr>
          <w:sz w:val="22"/>
        </w:rPr>
      </w:pPr>
      <w:r w:rsidRPr="00224534">
        <w:t xml:space="preserve">I am writing to invite views on </w:t>
      </w:r>
      <w:r>
        <w:t>whether we should set a compliance fee for 202</w:t>
      </w:r>
      <w:r w:rsidR="00931F2D">
        <w:t>2</w:t>
      </w:r>
      <w:r>
        <w:t>. We also want your views on two proposals for managing this year’s fee.</w:t>
      </w:r>
    </w:p>
    <w:p w14:paraId="600521D3" w14:textId="77777777" w:rsidR="00B7493C" w:rsidRPr="004569D2" w:rsidRDefault="00B7493C" w:rsidP="00B7493C">
      <w:pPr>
        <w:numPr>
          <w:ilvl w:val="0"/>
          <w:numId w:val="2"/>
        </w:numPr>
        <w:jc w:val="both"/>
      </w:pPr>
      <w:r>
        <w:t>The use of a compliance fee and how it is administered is agreed annually. Companies that don’t meet their annual collection targets can comply with the 2013 WEEE Regulations by paying the compliance fee instead.</w:t>
      </w:r>
    </w:p>
    <w:p w14:paraId="3FEF7EEF" w14:textId="77777777" w:rsidR="00B7493C" w:rsidRDefault="00B7493C" w:rsidP="00B7493C">
      <w:pPr>
        <w:spacing w:before="0" w:after="0" w:line="240" w:lineRule="auto"/>
        <w:ind w:left="426" w:hanging="284"/>
        <w:jc w:val="both"/>
      </w:pPr>
    </w:p>
    <w:p w14:paraId="61E56426" w14:textId="77777777" w:rsidR="00B7493C" w:rsidRPr="00224534" w:rsidRDefault="00B7493C" w:rsidP="00B7493C">
      <w:pPr>
        <w:spacing w:before="0" w:after="0" w:line="240" w:lineRule="auto"/>
        <w:ind w:left="426" w:hanging="284"/>
        <w:jc w:val="both"/>
      </w:pPr>
      <w:r>
        <w:t xml:space="preserve">3. </w:t>
      </w:r>
      <w:r w:rsidRPr="00224534">
        <w:t>The following documents may be found on Defra’s website: [insert hyperlink</w:t>
      </w:r>
      <w:r>
        <w:t>: Citizen Space</w:t>
      </w:r>
      <w:r w:rsidRPr="00224534">
        <w:t xml:space="preserve">] </w:t>
      </w:r>
    </w:p>
    <w:p w14:paraId="383FF107" w14:textId="22471B30" w:rsidR="00B7493C" w:rsidRDefault="00B7493C" w:rsidP="00B7493C">
      <w:pPr>
        <w:numPr>
          <w:ilvl w:val="0"/>
          <w:numId w:val="1"/>
        </w:numPr>
        <w:spacing w:before="0" w:after="0" w:line="240" w:lineRule="auto"/>
        <w:jc w:val="both"/>
      </w:pPr>
      <w:r w:rsidRPr="007D50B5">
        <w:rPr>
          <w:b/>
        </w:rPr>
        <w:t>Consultation document:</w:t>
      </w:r>
      <w:r>
        <w:t xml:space="preserve"> “Consultation on setting a Waste Electronic and Electrical Equipment Regulations compliance fee for 202</w:t>
      </w:r>
      <w:r w:rsidR="00931F2D">
        <w:t>2</w:t>
      </w:r>
      <w:r>
        <w:t>.</w:t>
      </w:r>
    </w:p>
    <w:p w14:paraId="080E709D" w14:textId="77777777" w:rsidR="00B7493C" w:rsidRPr="00B759C6" w:rsidRDefault="00B7493C" w:rsidP="00B7493C">
      <w:pPr>
        <w:numPr>
          <w:ilvl w:val="0"/>
          <w:numId w:val="1"/>
        </w:numPr>
        <w:spacing w:before="0" w:after="0" w:line="240" w:lineRule="auto"/>
        <w:ind w:left="709" w:hanging="284"/>
        <w:jc w:val="both"/>
      </w:pPr>
      <w:r>
        <w:rPr>
          <w:b/>
        </w:rPr>
        <w:t>JTA Proposal</w:t>
      </w:r>
    </w:p>
    <w:p w14:paraId="2D02ED0F" w14:textId="46723201" w:rsidR="00B7493C" w:rsidRPr="00B759C6" w:rsidRDefault="00B7493C" w:rsidP="00B7493C">
      <w:pPr>
        <w:numPr>
          <w:ilvl w:val="0"/>
          <w:numId w:val="1"/>
        </w:numPr>
        <w:spacing w:before="0" w:after="0" w:line="240" w:lineRule="auto"/>
        <w:ind w:left="709" w:hanging="284"/>
        <w:jc w:val="both"/>
      </w:pPr>
      <w:r>
        <w:rPr>
          <w:b/>
          <w:bCs/>
        </w:rPr>
        <w:t>FTI Consulting memorandum on WEEE compliance fee 202</w:t>
      </w:r>
      <w:r w:rsidR="00931F2D">
        <w:rPr>
          <w:b/>
          <w:bCs/>
        </w:rPr>
        <w:t>2</w:t>
      </w:r>
    </w:p>
    <w:p w14:paraId="644D30DD" w14:textId="77777777" w:rsidR="00B7493C" w:rsidRPr="00B759C6" w:rsidRDefault="00B7493C" w:rsidP="00B7493C">
      <w:pPr>
        <w:numPr>
          <w:ilvl w:val="0"/>
          <w:numId w:val="1"/>
        </w:numPr>
        <w:spacing w:before="0" w:after="0" w:line="240" w:lineRule="auto"/>
        <w:ind w:left="709" w:hanging="284"/>
        <w:jc w:val="both"/>
      </w:pPr>
      <w:r>
        <w:rPr>
          <w:b/>
        </w:rPr>
        <w:t>Valpak Proposal</w:t>
      </w:r>
    </w:p>
    <w:p w14:paraId="00587504" w14:textId="4A13168B" w:rsidR="00B7493C" w:rsidRPr="00B759C6" w:rsidRDefault="00B7493C" w:rsidP="00B7493C">
      <w:pPr>
        <w:numPr>
          <w:ilvl w:val="0"/>
          <w:numId w:val="1"/>
        </w:numPr>
        <w:spacing w:before="0" w:after="0" w:line="240" w:lineRule="auto"/>
        <w:ind w:left="709" w:hanging="284"/>
        <w:jc w:val="both"/>
      </w:pPr>
      <w:r>
        <w:rPr>
          <w:b/>
        </w:rPr>
        <w:t>Guidance on submitting a proposal for a compliance fee [July 202</w:t>
      </w:r>
      <w:r w:rsidR="00931F2D">
        <w:rPr>
          <w:b/>
        </w:rPr>
        <w:t>2</w:t>
      </w:r>
      <w:r>
        <w:rPr>
          <w:b/>
        </w:rPr>
        <w:t>]</w:t>
      </w:r>
    </w:p>
    <w:p w14:paraId="5C8DCF0D" w14:textId="77777777" w:rsidR="00B7493C" w:rsidRDefault="00B7493C" w:rsidP="00B7493C">
      <w:pPr>
        <w:spacing w:before="0" w:after="0" w:line="240" w:lineRule="auto"/>
        <w:ind w:left="709"/>
        <w:jc w:val="both"/>
      </w:pPr>
    </w:p>
    <w:p w14:paraId="474D1332" w14:textId="77777777" w:rsidR="00B7493C" w:rsidRPr="00224534" w:rsidRDefault="00B7493C" w:rsidP="00B7493C">
      <w:pPr>
        <w:spacing w:before="0" w:after="0" w:line="240" w:lineRule="auto"/>
        <w:jc w:val="both"/>
      </w:pPr>
    </w:p>
    <w:p w14:paraId="72E6357C" w14:textId="77777777" w:rsidR="00B7493C" w:rsidRPr="00224534" w:rsidRDefault="00B7493C" w:rsidP="00B7493C">
      <w:pPr>
        <w:spacing w:before="0" w:after="0" w:line="240" w:lineRule="auto"/>
        <w:ind w:left="426" w:hanging="284"/>
        <w:jc w:val="both"/>
      </w:pPr>
      <w:r>
        <w:t>4</w:t>
      </w:r>
      <w:r w:rsidRPr="00224534">
        <w:t xml:space="preserve">. We welcome your views and comments on the proposals. If you wish to obtain a copy of this consultation. Please contact </w:t>
      </w:r>
      <w:hyperlink r:id="rId8" w:history="1">
        <w:r w:rsidRPr="00B628EF">
          <w:rPr>
            <w:rStyle w:val="Hyperlink"/>
            <w:b/>
            <w:bCs/>
          </w:rPr>
          <w:t>weee@defra.gov.uk</w:t>
        </w:r>
      </w:hyperlink>
      <w:r>
        <w:rPr>
          <w:b/>
          <w:bCs/>
        </w:rPr>
        <w:t xml:space="preserve"> </w:t>
      </w:r>
      <w:r w:rsidRPr="00224534">
        <w:rPr>
          <w:b/>
          <w:bCs/>
        </w:rPr>
        <w:t xml:space="preserve"> </w:t>
      </w:r>
    </w:p>
    <w:p w14:paraId="049ECB77" w14:textId="77777777" w:rsidR="00B7493C" w:rsidRPr="00224534" w:rsidRDefault="00B7493C" w:rsidP="00B7493C">
      <w:pPr>
        <w:spacing w:before="0" w:after="0" w:line="240" w:lineRule="auto"/>
        <w:jc w:val="both"/>
      </w:pPr>
    </w:p>
    <w:p w14:paraId="5AF0399E" w14:textId="77777777" w:rsidR="00B7493C" w:rsidRDefault="00B7493C" w:rsidP="00B7493C">
      <w:pPr>
        <w:spacing w:before="0" w:after="0" w:line="240" w:lineRule="auto"/>
        <w:jc w:val="both"/>
        <w:rPr>
          <w:b/>
          <w:bCs/>
        </w:rPr>
      </w:pPr>
      <w:r w:rsidRPr="00224534">
        <w:rPr>
          <w:b/>
          <w:bCs/>
        </w:rPr>
        <w:t xml:space="preserve">Responses </w:t>
      </w:r>
    </w:p>
    <w:p w14:paraId="4CDF54BD" w14:textId="77777777" w:rsidR="00B7493C" w:rsidRPr="00224534" w:rsidRDefault="00B7493C" w:rsidP="00B7493C">
      <w:pPr>
        <w:spacing w:before="0" w:after="0" w:line="240" w:lineRule="auto"/>
        <w:jc w:val="both"/>
      </w:pPr>
    </w:p>
    <w:p w14:paraId="2EC2B78B" w14:textId="77777777" w:rsidR="00B7493C" w:rsidRPr="00224534" w:rsidRDefault="00B7493C" w:rsidP="00B7493C">
      <w:pPr>
        <w:spacing w:before="0" w:after="0" w:line="240" w:lineRule="auto"/>
        <w:ind w:left="426" w:hanging="284"/>
        <w:jc w:val="both"/>
      </w:pPr>
      <w:r>
        <w:t>5</w:t>
      </w:r>
      <w:r w:rsidRPr="00224534">
        <w:t xml:space="preserve">. To submit your consultation response please complete the consultation questionnaire provided through Citizen Space (Citizen Space is an on-line consultation tool). </w:t>
      </w:r>
    </w:p>
    <w:p w14:paraId="7F082403" w14:textId="77777777" w:rsidR="00B7493C" w:rsidRPr="00224534" w:rsidRDefault="00B7493C" w:rsidP="00B7493C">
      <w:pPr>
        <w:spacing w:before="0" w:after="0" w:line="240" w:lineRule="auto"/>
        <w:ind w:firstLine="142"/>
        <w:jc w:val="both"/>
      </w:pPr>
    </w:p>
    <w:p w14:paraId="765A8318" w14:textId="786E6B57" w:rsidR="00B7493C" w:rsidRPr="00224534" w:rsidRDefault="00B7493C" w:rsidP="00B7493C">
      <w:pPr>
        <w:spacing w:before="0" w:after="0" w:line="240" w:lineRule="auto"/>
        <w:ind w:left="426" w:hanging="284"/>
        <w:jc w:val="both"/>
      </w:pPr>
      <w:r>
        <w:t>6</w:t>
      </w:r>
      <w:r w:rsidRPr="00224534">
        <w:t xml:space="preserve">. Responses should be received by </w:t>
      </w:r>
      <w:r>
        <w:rPr>
          <w:b/>
          <w:bCs/>
        </w:rPr>
        <w:t>15 November 202</w:t>
      </w:r>
      <w:r w:rsidR="00931F2D">
        <w:rPr>
          <w:b/>
          <w:bCs/>
        </w:rPr>
        <w:t>2</w:t>
      </w:r>
    </w:p>
    <w:p w14:paraId="0964213D" w14:textId="77777777" w:rsidR="00B7493C" w:rsidRPr="00224534" w:rsidRDefault="00B7493C" w:rsidP="00B7493C">
      <w:pPr>
        <w:spacing w:before="0" w:after="0" w:line="240" w:lineRule="auto"/>
        <w:jc w:val="both"/>
      </w:pPr>
    </w:p>
    <w:p w14:paraId="615BDBD4" w14:textId="77777777" w:rsidR="00B7493C" w:rsidRDefault="00B7493C" w:rsidP="00B7493C">
      <w:pPr>
        <w:spacing w:before="0" w:after="0" w:line="240" w:lineRule="auto"/>
        <w:jc w:val="both"/>
        <w:rPr>
          <w:b/>
          <w:bCs/>
        </w:rPr>
      </w:pPr>
    </w:p>
    <w:p w14:paraId="1C0D3679" w14:textId="77777777" w:rsidR="00B7493C" w:rsidRDefault="00B7493C" w:rsidP="00B7493C">
      <w:pPr>
        <w:spacing w:before="0" w:after="0" w:line="240" w:lineRule="auto"/>
        <w:jc w:val="both"/>
        <w:rPr>
          <w:b/>
          <w:bCs/>
        </w:rPr>
      </w:pPr>
    </w:p>
    <w:p w14:paraId="41EF8D5C" w14:textId="77777777" w:rsidR="00B7493C" w:rsidRDefault="00B7493C" w:rsidP="00B7493C">
      <w:pPr>
        <w:spacing w:before="0" w:after="0" w:line="240" w:lineRule="auto"/>
        <w:jc w:val="both"/>
        <w:rPr>
          <w:b/>
          <w:bCs/>
        </w:rPr>
      </w:pPr>
      <w:r w:rsidRPr="00224534">
        <w:rPr>
          <w:b/>
          <w:bCs/>
        </w:rPr>
        <w:lastRenderedPageBreak/>
        <w:t xml:space="preserve">Consultation criteria </w:t>
      </w:r>
    </w:p>
    <w:p w14:paraId="1E0ECE40" w14:textId="77777777" w:rsidR="00B7493C" w:rsidRPr="00224534" w:rsidRDefault="00B7493C" w:rsidP="00B7493C">
      <w:pPr>
        <w:spacing w:before="0" w:after="0" w:line="240" w:lineRule="auto"/>
        <w:jc w:val="both"/>
      </w:pPr>
    </w:p>
    <w:p w14:paraId="390B4032" w14:textId="77777777" w:rsidR="00B7493C" w:rsidRPr="00224534" w:rsidRDefault="00B7493C" w:rsidP="00B7493C">
      <w:pPr>
        <w:spacing w:before="0" w:after="0" w:line="240" w:lineRule="auto"/>
        <w:ind w:left="426" w:hanging="284"/>
        <w:jc w:val="both"/>
      </w:pPr>
      <w:r>
        <w:t>7</w:t>
      </w:r>
      <w:r w:rsidRPr="00224534">
        <w:t xml:space="preserve">. This consultation is in line with the Consultations Principles. This can be found at </w:t>
      </w:r>
      <w:r w:rsidRPr="00224534">
        <w:rPr>
          <w:u w:val="single"/>
        </w:rPr>
        <w:t xml:space="preserve">http://www.cabinetoffice.gov.uk/resource-library/consultation-principles-guidance </w:t>
      </w:r>
    </w:p>
    <w:p w14:paraId="7FAA9AEC" w14:textId="77777777" w:rsidR="00B7493C" w:rsidRPr="00224534" w:rsidRDefault="00B7493C" w:rsidP="00B7493C">
      <w:pPr>
        <w:spacing w:before="0" w:after="0" w:line="240" w:lineRule="auto"/>
        <w:jc w:val="both"/>
      </w:pPr>
    </w:p>
    <w:p w14:paraId="4F064AFE" w14:textId="77777777" w:rsidR="00B7493C" w:rsidRPr="00224534" w:rsidRDefault="00B7493C" w:rsidP="00B7493C">
      <w:pPr>
        <w:spacing w:before="0" w:after="0" w:line="240" w:lineRule="auto"/>
        <w:jc w:val="both"/>
      </w:pPr>
      <w:r w:rsidRPr="00224534">
        <w:rPr>
          <w:b/>
          <w:bCs/>
        </w:rPr>
        <w:t xml:space="preserve">Confidentiality and data protection </w:t>
      </w:r>
    </w:p>
    <w:p w14:paraId="3F77C478" w14:textId="77777777" w:rsidR="00B7493C" w:rsidRDefault="00B7493C" w:rsidP="00B7493C">
      <w:pPr>
        <w:spacing w:before="0" w:after="0" w:line="240" w:lineRule="auto"/>
        <w:jc w:val="both"/>
      </w:pPr>
    </w:p>
    <w:p w14:paraId="70B91365" w14:textId="77777777" w:rsidR="00B7493C" w:rsidRDefault="00B7493C" w:rsidP="00B7493C">
      <w:pPr>
        <w:spacing w:before="0" w:after="0" w:line="240" w:lineRule="auto"/>
        <w:jc w:val="both"/>
      </w:pPr>
      <w:r w:rsidRPr="00224534">
        <w:t xml:space="preserve">This consultation document and consultation process have been planned to adhere to the Consultation Principles issued by the Cabinet Office. </w:t>
      </w:r>
    </w:p>
    <w:p w14:paraId="072A07CD" w14:textId="77777777" w:rsidR="00B7493C" w:rsidRPr="00224534" w:rsidRDefault="00B7493C" w:rsidP="00B7493C">
      <w:pPr>
        <w:spacing w:before="0" w:after="0" w:line="240" w:lineRule="auto"/>
        <w:jc w:val="both"/>
      </w:pPr>
    </w:p>
    <w:p w14:paraId="7279EB8E" w14:textId="77777777" w:rsidR="00B7493C" w:rsidRDefault="00B7493C" w:rsidP="00B7493C">
      <w:pPr>
        <w:spacing w:before="0" w:after="0" w:line="240" w:lineRule="auto"/>
        <w:jc w:val="both"/>
      </w:pPr>
      <w:r w:rsidRPr="00224534">
        <w:t xml:space="preserve">Representative groups are asked to give a summary of the people and organisations they represent and where relevant who else they have consulted in reaching their conclusions when they respond. </w:t>
      </w:r>
    </w:p>
    <w:p w14:paraId="4A4EAD9B" w14:textId="77777777" w:rsidR="00B7493C" w:rsidRPr="00224534" w:rsidRDefault="00B7493C" w:rsidP="00B7493C">
      <w:pPr>
        <w:spacing w:before="0" w:after="0" w:line="240" w:lineRule="auto"/>
        <w:jc w:val="both"/>
      </w:pPr>
    </w:p>
    <w:p w14:paraId="4766F970" w14:textId="77777777" w:rsidR="00B7493C" w:rsidRDefault="00B7493C" w:rsidP="00B7493C">
      <w:pPr>
        <w:spacing w:before="0" w:after="0" w:line="240" w:lineRule="auto"/>
        <w:jc w:val="both"/>
      </w:pPr>
      <w:r w:rsidRPr="00224534">
        <w:t xml:space="preserve">Information provided in response to this consultation, including personal data, may be </w:t>
      </w:r>
      <w:proofErr w:type="gramStart"/>
      <w:r w:rsidRPr="00224534">
        <w:t>published</w:t>
      </w:r>
      <w:proofErr w:type="gramEnd"/>
      <w:r w:rsidRPr="00224534">
        <w:t xml:space="preserve">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w:t>
      </w:r>
      <w:proofErr w:type="gramStart"/>
      <w:r w:rsidRPr="00224534">
        <w:t>particular recipients</w:t>
      </w:r>
      <w:proofErr w:type="gramEnd"/>
      <w:r w:rsidRPr="00224534">
        <w:t xml:space="preserve"> or to the public in certain circumstances. </w:t>
      </w:r>
    </w:p>
    <w:p w14:paraId="547C0744" w14:textId="77777777" w:rsidR="00B7493C" w:rsidRPr="00224534" w:rsidRDefault="00B7493C" w:rsidP="00B7493C">
      <w:pPr>
        <w:spacing w:before="0" w:after="0" w:line="240" w:lineRule="auto"/>
        <w:jc w:val="both"/>
      </w:pPr>
    </w:p>
    <w:p w14:paraId="352FA3C8" w14:textId="77777777" w:rsidR="00B7493C" w:rsidRDefault="00B7493C" w:rsidP="00B7493C">
      <w:pPr>
        <w:spacing w:before="0" w:after="0" w:line="240" w:lineRule="auto"/>
        <w:jc w:val="both"/>
      </w:pPr>
      <w:r w:rsidRPr="00224534">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7FAAEE98" w14:textId="77777777" w:rsidR="00B7493C" w:rsidRPr="00224534" w:rsidRDefault="00B7493C" w:rsidP="00B7493C">
      <w:pPr>
        <w:spacing w:before="0" w:after="0" w:line="240" w:lineRule="auto"/>
        <w:jc w:val="both"/>
      </w:pPr>
    </w:p>
    <w:p w14:paraId="5B902D3C" w14:textId="77777777" w:rsidR="00B7493C" w:rsidRDefault="00B7493C" w:rsidP="00B7493C">
      <w:pPr>
        <w:spacing w:before="0" w:after="0" w:line="240" w:lineRule="auto"/>
        <w:jc w:val="both"/>
      </w:pPr>
      <w:r w:rsidRPr="00224534">
        <w:t xml:space="preserve">This consultation is being conducted in line with the Cabinet Office “Consultation Principles” and be found at: </w:t>
      </w:r>
      <w:hyperlink r:id="rId9" w:history="1">
        <w:r w:rsidRPr="00802E46">
          <w:rPr>
            <w:rStyle w:val="Hyperlink"/>
          </w:rPr>
          <w:t>https://www.gov.uk/government/publications/consultation-principles-guidance</w:t>
        </w:r>
      </w:hyperlink>
      <w:r>
        <w:t>.</w:t>
      </w:r>
    </w:p>
    <w:p w14:paraId="452445EA" w14:textId="77777777" w:rsidR="00B7493C" w:rsidRPr="00224534" w:rsidRDefault="00B7493C" w:rsidP="00B7493C">
      <w:pPr>
        <w:spacing w:before="0" w:after="0" w:line="240" w:lineRule="auto"/>
        <w:jc w:val="both"/>
      </w:pPr>
      <w:r w:rsidRPr="00224534">
        <w:t xml:space="preserve"> </w:t>
      </w:r>
      <w:r>
        <w:t xml:space="preserve"> </w:t>
      </w:r>
    </w:p>
    <w:p w14:paraId="1B9B0A29" w14:textId="77777777" w:rsidR="00B7493C" w:rsidRPr="00224534" w:rsidRDefault="00B7493C" w:rsidP="00B7493C">
      <w:pPr>
        <w:spacing w:before="0" w:after="0" w:line="240" w:lineRule="auto"/>
        <w:jc w:val="both"/>
      </w:pPr>
      <w:r w:rsidRPr="00224534">
        <w:t xml:space="preserve">If you have any comments or complaints about the consultation process, please address them to: </w:t>
      </w:r>
    </w:p>
    <w:p w14:paraId="25E18CCE" w14:textId="77777777" w:rsidR="00B7493C" w:rsidRPr="00224534" w:rsidRDefault="00B7493C" w:rsidP="00B7493C">
      <w:pPr>
        <w:spacing w:before="0" w:after="0" w:line="240" w:lineRule="auto"/>
        <w:jc w:val="both"/>
      </w:pPr>
      <w:r w:rsidRPr="00224534">
        <w:t xml:space="preserve"> </w:t>
      </w:r>
    </w:p>
    <w:p w14:paraId="58E3805E" w14:textId="77777777" w:rsidR="00B7493C" w:rsidRPr="00224534" w:rsidRDefault="00B7493C" w:rsidP="00B7493C">
      <w:pPr>
        <w:spacing w:before="0" w:after="0" w:line="240" w:lineRule="auto"/>
        <w:ind w:left="567"/>
        <w:jc w:val="both"/>
      </w:pPr>
      <w:r w:rsidRPr="00224534">
        <w:t xml:space="preserve">Or email: </w:t>
      </w:r>
      <w:hyperlink r:id="rId10" w:history="1">
        <w:r w:rsidRPr="00802E46">
          <w:rPr>
            <w:rStyle w:val="Hyperlink"/>
          </w:rPr>
          <w:t>consultation.coordinator@defra.gov.uk</w:t>
        </w:r>
      </w:hyperlink>
      <w:r>
        <w:t xml:space="preserve"> </w:t>
      </w:r>
      <w:r w:rsidRPr="00224534">
        <w:t xml:space="preserve"> </w:t>
      </w:r>
    </w:p>
    <w:p w14:paraId="2AC08592" w14:textId="77777777" w:rsidR="00B7493C" w:rsidRDefault="00B7493C" w:rsidP="00B7493C">
      <w:pPr>
        <w:spacing w:before="0" w:after="0" w:line="240" w:lineRule="auto"/>
        <w:jc w:val="both"/>
      </w:pPr>
    </w:p>
    <w:p w14:paraId="36D0E956" w14:textId="77777777" w:rsidR="00B7493C" w:rsidRPr="00224534" w:rsidRDefault="00B7493C" w:rsidP="00B7493C">
      <w:pPr>
        <w:spacing w:before="0" w:after="0" w:line="240" w:lineRule="auto"/>
        <w:jc w:val="both"/>
      </w:pPr>
      <w:r w:rsidRPr="00224534">
        <w:t xml:space="preserve">Thank you for your help in this matter. If you have any queries, please contact us as above. </w:t>
      </w:r>
    </w:p>
    <w:p w14:paraId="07946408" w14:textId="77777777" w:rsidR="00B7493C" w:rsidRDefault="00B7493C" w:rsidP="00B7493C">
      <w:pPr>
        <w:spacing w:before="0" w:after="0" w:line="240" w:lineRule="auto"/>
        <w:jc w:val="both"/>
      </w:pPr>
    </w:p>
    <w:p w14:paraId="62CE4DF0" w14:textId="77777777" w:rsidR="00B7493C" w:rsidRDefault="00B7493C" w:rsidP="00B7493C">
      <w:pPr>
        <w:spacing w:before="0" w:after="0" w:line="240" w:lineRule="auto"/>
        <w:jc w:val="both"/>
      </w:pPr>
      <w:r w:rsidRPr="00224534">
        <w:t xml:space="preserve">Yours Faithfully </w:t>
      </w:r>
    </w:p>
    <w:p w14:paraId="1F90D186" w14:textId="77777777" w:rsidR="00B7493C" w:rsidRDefault="00B7493C" w:rsidP="00B7493C">
      <w:pPr>
        <w:spacing w:before="0" w:after="0" w:line="240" w:lineRule="auto"/>
        <w:jc w:val="both"/>
      </w:pPr>
    </w:p>
    <w:p w14:paraId="11C2B349" w14:textId="77777777" w:rsidR="00B7493C" w:rsidRDefault="00B7493C" w:rsidP="00B7493C">
      <w:pPr>
        <w:spacing w:before="0" w:after="0" w:line="240" w:lineRule="auto"/>
        <w:jc w:val="both"/>
      </w:pPr>
      <w:r>
        <w:t>Resources and Waste Division – Producer Responsibility and Product Regulation Tea,</w:t>
      </w:r>
    </w:p>
    <w:p w14:paraId="7564B46F" w14:textId="77777777" w:rsidR="00B7493C" w:rsidRDefault="00B7493C" w:rsidP="00B7493C">
      <w:pPr>
        <w:spacing w:before="0" w:after="0" w:line="240" w:lineRule="auto"/>
        <w:jc w:val="both"/>
      </w:pPr>
    </w:p>
    <w:p w14:paraId="336AFA04" w14:textId="77777777" w:rsidR="00B7493C" w:rsidRDefault="00B7493C" w:rsidP="00B7493C">
      <w:pPr>
        <w:spacing w:before="0" w:after="0" w:line="240" w:lineRule="auto"/>
        <w:jc w:val="both"/>
      </w:pPr>
      <w:r>
        <w:t>weee@defra.gov.uk</w:t>
      </w:r>
    </w:p>
    <w:p w14:paraId="2A063050" w14:textId="77777777" w:rsidR="00B7493C" w:rsidRDefault="00B7493C" w:rsidP="00B7493C">
      <w:pPr>
        <w:spacing w:before="0" w:after="0" w:line="240" w:lineRule="auto"/>
        <w:jc w:val="both"/>
      </w:pPr>
      <w:r w:rsidRPr="00224534">
        <w:t xml:space="preserve"> </w:t>
      </w:r>
    </w:p>
    <w:p w14:paraId="4A784421" w14:textId="77777777" w:rsidR="00B7493C" w:rsidRPr="00224534" w:rsidRDefault="00B7493C" w:rsidP="00B7493C">
      <w:pPr>
        <w:spacing w:before="0" w:after="0" w:line="240" w:lineRule="auto"/>
        <w:jc w:val="both"/>
      </w:pPr>
    </w:p>
    <w:p w14:paraId="02DA8261" w14:textId="77777777" w:rsidR="00B7493C" w:rsidRPr="006D3998" w:rsidRDefault="00B7493C" w:rsidP="00B7493C">
      <w:pPr>
        <w:spacing w:before="0" w:after="0" w:line="240" w:lineRule="auto"/>
        <w:jc w:val="both"/>
        <w:rPr>
          <w:sz w:val="22"/>
        </w:rPr>
      </w:pPr>
      <w:r w:rsidRPr="00224534">
        <w:rPr>
          <w:b/>
          <w:bCs/>
        </w:rPr>
        <w:t xml:space="preserve">Department for Environment, Food and Rural Affairs </w:t>
      </w:r>
    </w:p>
    <w:p w14:paraId="3D9842AA" w14:textId="77777777" w:rsidR="000B015A" w:rsidRPr="00B7493C" w:rsidRDefault="000B015A">
      <w:pPr>
        <w:rPr>
          <w:b/>
          <w:bCs/>
        </w:rPr>
      </w:pPr>
    </w:p>
    <w:sectPr w:rsidR="000B015A" w:rsidRPr="00B7493C" w:rsidSect="00B7493C">
      <w:footerReference w:type="first" r:id="rId11"/>
      <w:pgSz w:w="11906" w:h="16838"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EE28" w14:textId="77777777" w:rsidR="001B6B04" w:rsidRDefault="001B6B04">
      <w:pPr>
        <w:spacing w:before="0" w:after="0" w:line="240" w:lineRule="auto"/>
      </w:pPr>
      <w:r>
        <w:separator/>
      </w:r>
    </w:p>
  </w:endnote>
  <w:endnote w:type="continuationSeparator" w:id="0">
    <w:p w14:paraId="0D0A4856" w14:textId="77777777" w:rsidR="001B6B04" w:rsidRDefault="001B6B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B87" w14:textId="77777777" w:rsidR="00EC486F" w:rsidRDefault="00B7493C">
    <w:pPr>
      <w:pStyle w:val="Footer"/>
    </w:pPr>
    <w:r>
      <w:rPr>
        <w:noProof/>
        <w:lang w:eastAsia="en-GB"/>
      </w:rPr>
      <w:drawing>
        <wp:anchor distT="0" distB="0" distL="114300" distR="114300" simplePos="0" relativeHeight="251659264" behindDoc="0" locked="1" layoutInCell="0" allowOverlap="1" wp14:anchorId="4C465377" wp14:editId="40FCCA28">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3570" w14:textId="77777777" w:rsidR="001B6B04" w:rsidRDefault="001B6B04">
      <w:pPr>
        <w:spacing w:before="0" w:after="0" w:line="240" w:lineRule="auto"/>
      </w:pPr>
      <w:r>
        <w:separator/>
      </w:r>
    </w:p>
  </w:footnote>
  <w:footnote w:type="continuationSeparator" w:id="0">
    <w:p w14:paraId="4AE2FE06" w14:textId="77777777" w:rsidR="001B6B04" w:rsidRDefault="001B6B0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5448"/>
    <w:multiLevelType w:val="hybridMultilevel"/>
    <w:tmpl w:val="8ADA5C8C"/>
    <w:lvl w:ilvl="0" w:tplc="42DC6C62">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CDA0A4A"/>
    <w:multiLevelType w:val="hybridMultilevel"/>
    <w:tmpl w:val="4AFAE510"/>
    <w:lvl w:ilvl="0" w:tplc="CC686BCE">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3C"/>
    <w:rsid w:val="000B015A"/>
    <w:rsid w:val="001B6B04"/>
    <w:rsid w:val="00931F2D"/>
    <w:rsid w:val="00B7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FEC"/>
  <w15:chartTrackingRefBased/>
  <w15:docId w15:val="{A4031196-B1F7-4AE2-9C8E-E919CC3D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7493C"/>
    <w:pPr>
      <w:spacing w:before="240" w:after="12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3C"/>
    <w:rPr>
      <w:color w:val="0000FF"/>
      <w:u w:val="single"/>
    </w:rPr>
  </w:style>
  <w:style w:type="paragraph" w:styleId="Footer">
    <w:name w:val="footer"/>
    <w:basedOn w:val="Normal"/>
    <w:link w:val="FooterChar"/>
    <w:rsid w:val="00B7493C"/>
    <w:pPr>
      <w:tabs>
        <w:tab w:val="center" w:pos="4153"/>
        <w:tab w:val="right" w:pos="8306"/>
      </w:tabs>
    </w:pPr>
    <w:rPr>
      <w:sz w:val="18"/>
    </w:rPr>
  </w:style>
  <w:style w:type="character" w:customStyle="1" w:styleId="FooterChar">
    <w:name w:val="Footer Char"/>
    <w:basedOn w:val="DefaultParagraphFont"/>
    <w:link w:val="Footer"/>
    <w:rsid w:val="00B7493C"/>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e@defra.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sultation.coordinator@defra.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Stocks, Matt</cp:lastModifiedBy>
  <cp:revision>2</cp:revision>
  <dcterms:created xsi:type="dcterms:W3CDTF">2022-10-04T16:57:00Z</dcterms:created>
  <dcterms:modified xsi:type="dcterms:W3CDTF">2022-10-04T16:57:00Z</dcterms:modified>
</cp:coreProperties>
</file>