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30FF" w14:textId="77777777" w:rsidR="008A1EA3" w:rsidRDefault="57271A11" w:rsidP="006D7832">
      <w:pPr>
        <w:rPr>
          <w:noProof/>
          <w:lang w:eastAsia="en-GB"/>
        </w:rPr>
      </w:pPr>
      <w:r>
        <w:rPr>
          <w:noProof/>
        </w:rPr>
        <w:drawing>
          <wp:inline distT="0" distB="0" distL="0" distR="0" wp14:anchorId="44C3D69F" wp14:editId="71B357C7">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59D4E2AC" w14:textId="49BA149C" w:rsidR="008E53C7" w:rsidRPr="00C367B5" w:rsidRDefault="00AC731C" w:rsidP="00B042F6">
      <w:pPr>
        <w:pStyle w:val="Reporttitledarkgreen"/>
        <w:rPr>
          <w:b/>
        </w:rPr>
      </w:pPr>
      <w:r w:rsidRPr="00C367B5">
        <w:rPr>
          <w:b/>
        </w:rPr>
        <w:t xml:space="preserve">National Implementation Plan for the Stockholm Convention on Persistent Organic Pollutants </w:t>
      </w:r>
    </w:p>
    <w:p w14:paraId="5708C99C" w14:textId="58792C73" w:rsidR="00EE32ED" w:rsidRPr="00C367B5" w:rsidRDefault="00AC731C" w:rsidP="00EE32ED">
      <w:pPr>
        <w:pStyle w:val="Reportsubtitle"/>
        <w:rPr>
          <w:b/>
          <w:sz w:val="36"/>
          <w:szCs w:val="36"/>
        </w:rPr>
      </w:pPr>
      <w:r w:rsidRPr="00C367B5">
        <w:rPr>
          <w:b/>
          <w:sz w:val="36"/>
          <w:szCs w:val="36"/>
        </w:rPr>
        <w:t xml:space="preserve">United Kingdom of Great Britain and Northern Ireland </w:t>
      </w:r>
    </w:p>
    <w:p w14:paraId="5804F2DD" w14:textId="77777777" w:rsidR="00A725DE" w:rsidRDefault="00A725DE" w:rsidP="00646B20">
      <w:pPr>
        <w:pStyle w:val="Dateandversion"/>
      </w:pPr>
    </w:p>
    <w:p w14:paraId="072B3972" w14:textId="0C19E222" w:rsidR="00261CCA" w:rsidRDefault="00261CCA" w:rsidP="00646B20">
      <w:pPr>
        <w:pStyle w:val="Dateandversion"/>
      </w:pPr>
      <w:r>
        <w:t xml:space="preserve">Date: </w:t>
      </w:r>
      <w:r w:rsidR="00A725DE">
        <w:t>19</w:t>
      </w:r>
      <w:r w:rsidR="00A725DE" w:rsidRPr="00A725DE">
        <w:rPr>
          <w:vertAlign w:val="superscript"/>
        </w:rPr>
        <w:t>th</w:t>
      </w:r>
      <w:r w:rsidR="00A725DE">
        <w:t xml:space="preserve"> </w:t>
      </w:r>
      <w:r w:rsidR="0093107D" w:rsidRPr="0093107D">
        <w:t>March</w:t>
      </w:r>
      <w:r w:rsidRPr="0093107D">
        <w:t xml:space="preserve"> 202</w:t>
      </w:r>
      <w:r w:rsidR="009C0210" w:rsidRPr="0093107D">
        <w:t>1</w:t>
      </w:r>
    </w:p>
    <w:p w14:paraId="204780BD" w14:textId="0AB04E76" w:rsidR="00261CCA" w:rsidRDefault="00261CCA" w:rsidP="00646B20">
      <w:pPr>
        <w:pStyle w:val="Dateandversion"/>
      </w:pPr>
      <w:r w:rsidRPr="00D64EC8">
        <w:t xml:space="preserve"> </w:t>
      </w:r>
    </w:p>
    <w:p w14:paraId="7222A095" w14:textId="77777777" w:rsidR="00845AB8" w:rsidRPr="00F6274F" w:rsidRDefault="00845AB8" w:rsidP="00D121EF">
      <w:pPr>
        <w:pStyle w:val="Reportsubtitle"/>
      </w:pPr>
      <w:r>
        <w:br w:type="page"/>
      </w:r>
    </w:p>
    <w:p w14:paraId="357770BC" w14:textId="77777777" w:rsidR="006E4FDF" w:rsidRDefault="006E4FDF" w:rsidP="006E4FDF">
      <w:pPr>
        <w:spacing w:after="0"/>
      </w:pPr>
      <w:bookmarkStart w:id="0" w:name="_Toc473641177"/>
      <w:r>
        <w:lastRenderedPageBreak/>
        <w:t xml:space="preserve">We are the Department for Environment, Food and Rural Affairs. We’re responsible for improving and protecting the environment, growing the green economy and supporting our world-class food, farming and fishing industries. </w:t>
      </w:r>
    </w:p>
    <w:p w14:paraId="422CB8D5" w14:textId="77777777" w:rsidR="006E4FDF" w:rsidRDefault="006E4FDF" w:rsidP="00706BBA">
      <w:pPr>
        <w:spacing w:after="0"/>
      </w:pPr>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Default="006E4FDF" w:rsidP="00706BBA">
      <w:pPr>
        <w:spacing w:after="0"/>
      </w:pPr>
    </w:p>
    <w:p w14:paraId="626B496B" w14:textId="77777777" w:rsidR="00706BBA" w:rsidRPr="001276F9" w:rsidRDefault="57271A11" w:rsidP="00706BBA">
      <w:pPr>
        <w:spacing w:after="0"/>
      </w:pPr>
      <w:r>
        <w:rPr>
          <w:noProof/>
        </w:rPr>
        <w:drawing>
          <wp:inline distT="0" distB="0" distL="0" distR="0" wp14:anchorId="236A8133" wp14:editId="1A1F85EF">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48EC6995" w14:textId="77777777" w:rsidR="00706BBA" w:rsidRPr="00927D4B" w:rsidRDefault="00706BBA" w:rsidP="00706BBA">
      <w:r w:rsidRPr="001276F9">
        <w:t xml:space="preserve">© Crown copyright </w:t>
      </w:r>
      <w:r>
        <w:t>2020</w:t>
      </w:r>
    </w:p>
    <w:p w14:paraId="309B5F8F" w14:textId="77777777" w:rsidR="00706BBA" w:rsidRDefault="00706BBA" w:rsidP="00706BBA">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Pr="009C068B">
          <w:rPr>
            <w:rStyle w:val="Hyperlink"/>
            <w:rFonts w:ascii="Arial" w:hAnsi="Arial" w:cs="Arial"/>
          </w:rPr>
          <w:t>www.nationalarchives.gov.uk/doc/open-government-licence/</w:t>
        </w:r>
      </w:hyperlink>
      <w:r>
        <w:rPr>
          <w:rFonts w:ascii="Arial" w:hAnsi="Arial" w:cs="Arial"/>
          <w:color w:val="333333"/>
        </w:rPr>
        <w:t> </w:t>
      </w:r>
    </w:p>
    <w:p w14:paraId="53ADB00A" w14:textId="0D80760A" w:rsidR="00706BBA" w:rsidRPr="001276F9" w:rsidRDefault="00706BBA" w:rsidP="00706BBA">
      <w:r w:rsidRPr="001276F9">
        <w:t xml:space="preserve">This publication </w:t>
      </w:r>
      <w:r w:rsidR="00A725DE">
        <w:t xml:space="preserve">will be </w:t>
      </w:r>
      <w:bookmarkStart w:id="1" w:name="_GoBack"/>
      <w:bookmarkEnd w:id="1"/>
      <w:r w:rsidRPr="001276F9">
        <w:t xml:space="preserve">available at </w:t>
      </w:r>
      <w:hyperlink r:id="rId15" w:history="1">
        <w:r w:rsidRPr="001276F9">
          <w:rPr>
            <w:rStyle w:val="Hyperlink"/>
          </w:rPr>
          <w:t>www.gov.uk/government/publications</w:t>
        </w:r>
      </w:hyperlink>
      <w:r w:rsidRPr="001276F9">
        <w:t xml:space="preserve">  </w:t>
      </w:r>
    </w:p>
    <w:p w14:paraId="49474739" w14:textId="77777777" w:rsidR="00706BBA" w:rsidRPr="001276F9" w:rsidRDefault="00706BBA" w:rsidP="00706BBA">
      <w:r w:rsidRPr="001276F9">
        <w:t>Any enquiries regarding this publ</w:t>
      </w:r>
      <w:r>
        <w:t>ication should be sent to us at</w:t>
      </w:r>
    </w:p>
    <w:p w14:paraId="5F280FAB" w14:textId="1ADF9875" w:rsidR="0093107D" w:rsidRDefault="00A725DE" w:rsidP="00706BBA">
      <w:hyperlink r:id="rId16" w:history="1">
        <w:r w:rsidRPr="006578C6">
          <w:rPr>
            <w:rStyle w:val="Hyperlink"/>
          </w:rPr>
          <w:t>POPs@defra.gov.uk</w:t>
        </w:r>
      </w:hyperlink>
    </w:p>
    <w:p w14:paraId="1EDDBC6A" w14:textId="77777777" w:rsidR="00A52EAA" w:rsidRDefault="00A52EAA" w:rsidP="00706BBA">
      <w:pPr>
        <w:rPr>
          <w:color w:val="008631"/>
          <w:sz w:val="48"/>
        </w:rPr>
      </w:pPr>
      <w:r>
        <w:br w:type="page"/>
      </w:r>
    </w:p>
    <w:p w14:paraId="3B91FED5" w14:textId="77777777" w:rsidR="002D2206" w:rsidRDefault="00CD3AC4" w:rsidP="009808F8">
      <w:pPr>
        <w:pStyle w:val="Contents"/>
      </w:pPr>
      <w:bookmarkStart w:id="2" w:name="_Toc522629670"/>
      <w:bookmarkEnd w:id="0"/>
      <w:r>
        <w:lastRenderedPageBreak/>
        <w:t>Contents</w:t>
      </w:r>
      <w:bookmarkEnd w:id="2"/>
    </w:p>
    <w:bookmarkStart w:id="3" w:name="_Toc473641179"/>
    <w:p w14:paraId="4D579ACC" w14:textId="2F488EF2" w:rsidR="00A35E4E" w:rsidRDefault="000239B6">
      <w:pPr>
        <w:pStyle w:val="TOC1"/>
        <w:rPr>
          <w:rFonts w:asciiTheme="minorHAnsi" w:eastAsiaTheme="minorEastAsia" w:hAnsiTheme="minorHAnsi" w:cstheme="minorBidi"/>
          <w:noProof/>
          <w:sz w:val="22"/>
          <w:lang w:eastAsia="en-GB"/>
        </w:rPr>
      </w:pPr>
      <w:r>
        <w:rPr>
          <w:b/>
          <w:color w:val="2B579A"/>
          <w:shd w:val="clear" w:color="auto" w:fill="E6E6E6"/>
        </w:rPr>
        <w:fldChar w:fldCharType="begin"/>
      </w:r>
      <w:r>
        <w:rPr>
          <w:b/>
        </w:rPr>
        <w:instrText xml:space="preserve"> TOC \o "1-2" \h \z \u </w:instrText>
      </w:r>
      <w:r>
        <w:rPr>
          <w:b/>
          <w:color w:val="2B579A"/>
          <w:shd w:val="clear" w:color="auto" w:fill="E6E6E6"/>
        </w:rPr>
        <w:fldChar w:fldCharType="separate"/>
      </w:r>
      <w:hyperlink w:anchor="_Toc67030054" w:history="1">
        <w:r w:rsidR="00A35E4E" w:rsidRPr="00D70CBE">
          <w:rPr>
            <w:rStyle w:val="Hyperlink"/>
            <w:noProof/>
          </w:rPr>
          <w:t>Executive summary</w:t>
        </w:r>
        <w:r w:rsidR="00A35E4E">
          <w:rPr>
            <w:noProof/>
            <w:webHidden/>
          </w:rPr>
          <w:tab/>
        </w:r>
        <w:r w:rsidR="00A35E4E">
          <w:rPr>
            <w:noProof/>
            <w:webHidden/>
          </w:rPr>
          <w:fldChar w:fldCharType="begin"/>
        </w:r>
        <w:r w:rsidR="00A35E4E">
          <w:rPr>
            <w:noProof/>
            <w:webHidden/>
          </w:rPr>
          <w:instrText xml:space="preserve"> PAGEREF _Toc67030054 \h </w:instrText>
        </w:r>
        <w:r w:rsidR="00A35E4E">
          <w:rPr>
            <w:noProof/>
            <w:webHidden/>
          </w:rPr>
        </w:r>
        <w:r w:rsidR="00A35E4E">
          <w:rPr>
            <w:noProof/>
            <w:webHidden/>
          </w:rPr>
          <w:fldChar w:fldCharType="separate"/>
        </w:r>
        <w:r w:rsidR="00A35E4E">
          <w:rPr>
            <w:noProof/>
            <w:webHidden/>
          </w:rPr>
          <w:t>4</w:t>
        </w:r>
        <w:r w:rsidR="00A35E4E">
          <w:rPr>
            <w:noProof/>
            <w:webHidden/>
          </w:rPr>
          <w:fldChar w:fldCharType="end"/>
        </w:r>
      </w:hyperlink>
    </w:p>
    <w:p w14:paraId="34DA57E1" w14:textId="3EF658CA" w:rsidR="00A35E4E" w:rsidRDefault="00787E0D">
      <w:pPr>
        <w:pStyle w:val="TOC1"/>
        <w:rPr>
          <w:rFonts w:asciiTheme="minorHAnsi" w:eastAsiaTheme="minorEastAsia" w:hAnsiTheme="minorHAnsi" w:cstheme="minorBidi"/>
          <w:noProof/>
          <w:sz w:val="22"/>
          <w:lang w:eastAsia="en-GB"/>
        </w:rPr>
      </w:pPr>
      <w:hyperlink w:anchor="_Toc67030055" w:history="1">
        <w:r w:rsidR="00A35E4E" w:rsidRPr="00D70CBE">
          <w:rPr>
            <w:rStyle w:val="Hyperlink"/>
            <w:noProof/>
          </w:rPr>
          <w:t>Introduction</w:t>
        </w:r>
        <w:r w:rsidR="00A35E4E">
          <w:rPr>
            <w:noProof/>
            <w:webHidden/>
          </w:rPr>
          <w:tab/>
        </w:r>
        <w:r w:rsidR="00A35E4E">
          <w:rPr>
            <w:noProof/>
            <w:webHidden/>
          </w:rPr>
          <w:fldChar w:fldCharType="begin"/>
        </w:r>
        <w:r w:rsidR="00A35E4E">
          <w:rPr>
            <w:noProof/>
            <w:webHidden/>
          </w:rPr>
          <w:instrText xml:space="preserve"> PAGEREF _Toc67030055 \h </w:instrText>
        </w:r>
        <w:r w:rsidR="00A35E4E">
          <w:rPr>
            <w:noProof/>
            <w:webHidden/>
          </w:rPr>
        </w:r>
        <w:r w:rsidR="00A35E4E">
          <w:rPr>
            <w:noProof/>
            <w:webHidden/>
          </w:rPr>
          <w:fldChar w:fldCharType="separate"/>
        </w:r>
        <w:r w:rsidR="00A35E4E">
          <w:rPr>
            <w:noProof/>
            <w:webHidden/>
          </w:rPr>
          <w:t>6</w:t>
        </w:r>
        <w:r w:rsidR="00A35E4E">
          <w:rPr>
            <w:noProof/>
            <w:webHidden/>
          </w:rPr>
          <w:fldChar w:fldCharType="end"/>
        </w:r>
      </w:hyperlink>
    </w:p>
    <w:p w14:paraId="376A2F6D" w14:textId="33EC8003" w:rsidR="00A35E4E" w:rsidRDefault="00787E0D">
      <w:pPr>
        <w:pStyle w:val="TOC2"/>
        <w:rPr>
          <w:rFonts w:asciiTheme="minorHAnsi" w:eastAsiaTheme="minorEastAsia" w:hAnsiTheme="minorHAnsi" w:cstheme="minorBidi"/>
          <w:noProof/>
          <w:sz w:val="22"/>
          <w:lang w:eastAsia="en-GB"/>
        </w:rPr>
      </w:pPr>
      <w:hyperlink w:anchor="_Toc67030056" w:history="1">
        <w:r w:rsidR="00A35E4E" w:rsidRPr="00D70CBE">
          <w:rPr>
            <w:rStyle w:val="Hyperlink"/>
            <w:noProof/>
          </w:rPr>
          <w:t>What are Persistent Organic Pollutants?</w:t>
        </w:r>
        <w:r w:rsidR="00A35E4E">
          <w:rPr>
            <w:noProof/>
            <w:webHidden/>
          </w:rPr>
          <w:tab/>
        </w:r>
        <w:r w:rsidR="00A35E4E">
          <w:rPr>
            <w:noProof/>
            <w:webHidden/>
          </w:rPr>
          <w:fldChar w:fldCharType="begin"/>
        </w:r>
        <w:r w:rsidR="00A35E4E">
          <w:rPr>
            <w:noProof/>
            <w:webHidden/>
          </w:rPr>
          <w:instrText xml:space="preserve"> PAGEREF _Toc67030056 \h </w:instrText>
        </w:r>
        <w:r w:rsidR="00A35E4E">
          <w:rPr>
            <w:noProof/>
            <w:webHidden/>
          </w:rPr>
        </w:r>
        <w:r w:rsidR="00A35E4E">
          <w:rPr>
            <w:noProof/>
            <w:webHidden/>
          </w:rPr>
          <w:fldChar w:fldCharType="separate"/>
        </w:r>
        <w:r w:rsidR="00A35E4E">
          <w:rPr>
            <w:noProof/>
            <w:webHidden/>
          </w:rPr>
          <w:t>6</w:t>
        </w:r>
        <w:r w:rsidR="00A35E4E">
          <w:rPr>
            <w:noProof/>
            <w:webHidden/>
          </w:rPr>
          <w:fldChar w:fldCharType="end"/>
        </w:r>
      </w:hyperlink>
    </w:p>
    <w:p w14:paraId="7FAA3685" w14:textId="23E573B1" w:rsidR="00A35E4E" w:rsidRDefault="00787E0D">
      <w:pPr>
        <w:pStyle w:val="TOC2"/>
        <w:rPr>
          <w:rFonts w:asciiTheme="minorHAnsi" w:eastAsiaTheme="minorEastAsia" w:hAnsiTheme="minorHAnsi" w:cstheme="minorBidi"/>
          <w:noProof/>
          <w:sz w:val="22"/>
          <w:lang w:eastAsia="en-GB"/>
        </w:rPr>
      </w:pPr>
      <w:hyperlink w:anchor="_Toc67030057" w:history="1">
        <w:r w:rsidR="00A35E4E" w:rsidRPr="00D70CBE">
          <w:rPr>
            <w:rStyle w:val="Hyperlink"/>
            <w:noProof/>
          </w:rPr>
          <w:t>Provisions of the Stockholm Convention</w:t>
        </w:r>
        <w:r w:rsidR="00A35E4E">
          <w:rPr>
            <w:noProof/>
            <w:webHidden/>
          </w:rPr>
          <w:tab/>
        </w:r>
        <w:r w:rsidR="00A35E4E">
          <w:rPr>
            <w:noProof/>
            <w:webHidden/>
          </w:rPr>
          <w:fldChar w:fldCharType="begin"/>
        </w:r>
        <w:r w:rsidR="00A35E4E">
          <w:rPr>
            <w:noProof/>
            <w:webHidden/>
          </w:rPr>
          <w:instrText xml:space="preserve"> PAGEREF _Toc67030057 \h </w:instrText>
        </w:r>
        <w:r w:rsidR="00A35E4E">
          <w:rPr>
            <w:noProof/>
            <w:webHidden/>
          </w:rPr>
        </w:r>
        <w:r w:rsidR="00A35E4E">
          <w:rPr>
            <w:noProof/>
            <w:webHidden/>
          </w:rPr>
          <w:fldChar w:fldCharType="separate"/>
        </w:r>
        <w:r w:rsidR="00A35E4E">
          <w:rPr>
            <w:noProof/>
            <w:webHidden/>
          </w:rPr>
          <w:t>6</w:t>
        </w:r>
        <w:r w:rsidR="00A35E4E">
          <w:rPr>
            <w:noProof/>
            <w:webHidden/>
          </w:rPr>
          <w:fldChar w:fldCharType="end"/>
        </w:r>
      </w:hyperlink>
    </w:p>
    <w:p w14:paraId="3FFA88EC" w14:textId="3C39C993" w:rsidR="00A35E4E" w:rsidRDefault="00787E0D">
      <w:pPr>
        <w:pStyle w:val="TOC2"/>
        <w:rPr>
          <w:rFonts w:asciiTheme="minorHAnsi" w:eastAsiaTheme="minorEastAsia" w:hAnsiTheme="minorHAnsi" w:cstheme="minorBidi"/>
          <w:noProof/>
          <w:sz w:val="22"/>
          <w:lang w:eastAsia="en-GB"/>
        </w:rPr>
      </w:pPr>
      <w:hyperlink w:anchor="_Toc67030058" w:history="1">
        <w:r w:rsidR="00A35E4E" w:rsidRPr="00D70CBE">
          <w:rPr>
            <w:rStyle w:val="Hyperlink"/>
            <w:noProof/>
          </w:rPr>
          <w:t>Purpose of this 2021 update to the UK National Implementation Plan</w:t>
        </w:r>
        <w:r w:rsidR="00A35E4E">
          <w:rPr>
            <w:noProof/>
            <w:webHidden/>
          </w:rPr>
          <w:tab/>
        </w:r>
        <w:r w:rsidR="00A35E4E">
          <w:rPr>
            <w:noProof/>
            <w:webHidden/>
          </w:rPr>
          <w:fldChar w:fldCharType="begin"/>
        </w:r>
        <w:r w:rsidR="00A35E4E">
          <w:rPr>
            <w:noProof/>
            <w:webHidden/>
          </w:rPr>
          <w:instrText xml:space="preserve"> PAGEREF _Toc67030058 \h </w:instrText>
        </w:r>
        <w:r w:rsidR="00A35E4E">
          <w:rPr>
            <w:noProof/>
            <w:webHidden/>
          </w:rPr>
        </w:r>
        <w:r w:rsidR="00A35E4E">
          <w:rPr>
            <w:noProof/>
            <w:webHidden/>
          </w:rPr>
          <w:fldChar w:fldCharType="separate"/>
        </w:r>
        <w:r w:rsidR="00A35E4E">
          <w:rPr>
            <w:noProof/>
            <w:webHidden/>
          </w:rPr>
          <w:t>7</w:t>
        </w:r>
        <w:r w:rsidR="00A35E4E">
          <w:rPr>
            <w:noProof/>
            <w:webHidden/>
          </w:rPr>
          <w:fldChar w:fldCharType="end"/>
        </w:r>
      </w:hyperlink>
    </w:p>
    <w:p w14:paraId="0963A246" w14:textId="70C25E73" w:rsidR="00A35E4E" w:rsidRDefault="00787E0D">
      <w:pPr>
        <w:pStyle w:val="TOC2"/>
        <w:rPr>
          <w:rFonts w:asciiTheme="minorHAnsi" w:eastAsiaTheme="minorEastAsia" w:hAnsiTheme="minorHAnsi" w:cstheme="minorBidi"/>
          <w:noProof/>
          <w:sz w:val="22"/>
          <w:lang w:eastAsia="en-GB"/>
        </w:rPr>
      </w:pPr>
      <w:hyperlink w:anchor="_Toc67030059" w:history="1">
        <w:r w:rsidR="00A35E4E" w:rsidRPr="00D70CBE">
          <w:rPr>
            <w:rStyle w:val="Hyperlink"/>
            <w:noProof/>
          </w:rPr>
          <w:t>Development of the UK National Implementation Plan</w:t>
        </w:r>
        <w:r w:rsidR="00A35E4E">
          <w:rPr>
            <w:noProof/>
            <w:webHidden/>
          </w:rPr>
          <w:tab/>
        </w:r>
        <w:r w:rsidR="00A35E4E">
          <w:rPr>
            <w:noProof/>
            <w:webHidden/>
          </w:rPr>
          <w:fldChar w:fldCharType="begin"/>
        </w:r>
        <w:r w:rsidR="00A35E4E">
          <w:rPr>
            <w:noProof/>
            <w:webHidden/>
          </w:rPr>
          <w:instrText xml:space="preserve"> PAGEREF _Toc67030059 \h </w:instrText>
        </w:r>
        <w:r w:rsidR="00A35E4E">
          <w:rPr>
            <w:noProof/>
            <w:webHidden/>
          </w:rPr>
        </w:r>
        <w:r w:rsidR="00A35E4E">
          <w:rPr>
            <w:noProof/>
            <w:webHidden/>
          </w:rPr>
          <w:fldChar w:fldCharType="separate"/>
        </w:r>
        <w:r w:rsidR="00A35E4E">
          <w:rPr>
            <w:noProof/>
            <w:webHidden/>
          </w:rPr>
          <w:t>9</w:t>
        </w:r>
        <w:r w:rsidR="00A35E4E">
          <w:rPr>
            <w:noProof/>
            <w:webHidden/>
          </w:rPr>
          <w:fldChar w:fldCharType="end"/>
        </w:r>
      </w:hyperlink>
    </w:p>
    <w:p w14:paraId="4E55176B" w14:textId="140D9FB5" w:rsidR="00A35E4E" w:rsidRDefault="00787E0D">
      <w:pPr>
        <w:pStyle w:val="TOC1"/>
        <w:rPr>
          <w:rFonts w:asciiTheme="minorHAnsi" w:eastAsiaTheme="minorEastAsia" w:hAnsiTheme="minorHAnsi" w:cstheme="minorBidi"/>
          <w:noProof/>
          <w:sz w:val="22"/>
          <w:lang w:eastAsia="en-GB"/>
        </w:rPr>
      </w:pPr>
      <w:hyperlink w:anchor="_Toc67030060" w:history="1">
        <w:r w:rsidR="00A35E4E" w:rsidRPr="00D70CBE">
          <w:rPr>
            <w:rStyle w:val="Hyperlink"/>
            <w:noProof/>
          </w:rPr>
          <w:t>Country baseline</w:t>
        </w:r>
        <w:r w:rsidR="00A35E4E">
          <w:rPr>
            <w:noProof/>
            <w:webHidden/>
          </w:rPr>
          <w:tab/>
        </w:r>
        <w:r w:rsidR="00A35E4E">
          <w:rPr>
            <w:noProof/>
            <w:webHidden/>
          </w:rPr>
          <w:fldChar w:fldCharType="begin"/>
        </w:r>
        <w:r w:rsidR="00A35E4E">
          <w:rPr>
            <w:noProof/>
            <w:webHidden/>
          </w:rPr>
          <w:instrText xml:space="preserve"> PAGEREF _Toc67030060 \h </w:instrText>
        </w:r>
        <w:r w:rsidR="00A35E4E">
          <w:rPr>
            <w:noProof/>
            <w:webHidden/>
          </w:rPr>
        </w:r>
        <w:r w:rsidR="00A35E4E">
          <w:rPr>
            <w:noProof/>
            <w:webHidden/>
          </w:rPr>
          <w:fldChar w:fldCharType="separate"/>
        </w:r>
        <w:r w:rsidR="00A35E4E">
          <w:rPr>
            <w:noProof/>
            <w:webHidden/>
          </w:rPr>
          <w:t>10</w:t>
        </w:r>
        <w:r w:rsidR="00A35E4E">
          <w:rPr>
            <w:noProof/>
            <w:webHidden/>
          </w:rPr>
          <w:fldChar w:fldCharType="end"/>
        </w:r>
      </w:hyperlink>
    </w:p>
    <w:p w14:paraId="3170425B" w14:textId="4C505521" w:rsidR="00A35E4E" w:rsidRDefault="00787E0D">
      <w:pPr>
        <w:pStyle w:val="TOC2"/>
        <w:rPr>
          <w:rFonts w:asciiTheme="minorHAnsi" w:eastAsiaTheme="minorEastAsia" w:hAnsiTheme="minorHAnsi" w:cstheme="minorBidi"/>
          <w:noProof/>
          <w:sz w:val="22"/>
          <w:lang w:eastAsia="en-GB"/>
        </w:rPr>
      </w:pPr>
      <w:hyperlink w:anchor="_Toc67030061" w:history="1">
        <w:r w:rsidR="00A35E4E" w:rsidRPr="00D70CBE">
          <w:rPr>
            <w:rStyle w:val="Hyperlink"/>
            <w:noProof/>
          </w:rPr>
          <w:t>Regulation of POPs</w:t>
        </w:r>
        <w:r w:rsidR="00A35E4E">
          <w:rPr>
            <w:noProof/>
            <w:webHidden/>
          </w:rPr>
          <w:tab/>
        </w:r>
        <w:r w:rsidR="00A35E4E">
          <w:rPr>
            <w:noProof/>
            <w:webHidden/>
          </w:rPr>
          <w:fldChar w:fldCharType="begin"/>
        </w:r>
        <w:r w:rsidR="00A35E4E">
          <w:rPr>
            <w:noProof/>
            <w:webHidden/>
          </w:rPr>
          <w:instrText xml:space="preserve"> PAGEREF _Toc67030061 \h </w:instrText>
        </w:r>
        <w:r w:rsidR="00A35E4E">
          <w:rPr>
            <w:noProof/>
            <w:webHidden/>
          </w:rPr>
        </w:r>
        <w:r w:rsidR="00A35E4E">
          <w:rPr>
            <w:noProof/>
            <w:webHidden/>
          </w:rPr>
          <w:fldChar w:fldCharType="separate"/>
        </w:r>
        <w:r w:rsidR="00A35E4E">
          <w:rPr>
            <w:noProof/>
            <w:webHidden/>
          </w:rPr>
          <w:t>10</w:t>
        </w:r>
        <w:r w:rsidR="00A35E4E">
          <w:rPr>
            <w:noProof/>
            <w:webHidden/>
          </w:rPr>
          <w:fldChar w:fldCharType="end"/>
        </w:r>
      </w:hyperlink>
    </w:p>
    <w:p w14:paraId="3AAE78C5" w14:textId="321E7B70" w:rsidR="00A35E4E" w:rsidRDefault="00787E0D">
      <w:pPr>
        <w:pStyle w:val="TOC2"/>
        <w:rPr>
          <w:rFonts w:asciiTheme="minorHAnsi" w:eastAsiaTheme="minorEastAsia" w:hAnsiTheme="minorHAnsi" w:cstheme="minorBidi"/>
          <w:noProof/>
          <w:sz w:val="22"/>
          <w:lang w:eastAsia="en-GB"/>
        </w:rPr>
      </w:pPr>
      <w:hyperlink w:anchor="_Toc67030062" w:history="1">
        <w:r w:rsidR="00A35E4E" w:rsidRPr="00D70CBE">
          <w:rPr>
            <w:rStyle w:val="Hyperlink"/>
            <w:noProof/>
          </w:rPr>
          <w:t>Decabromodiphenyl ether (decaBDE)</w:t>
        </w:r>
        <w:r w:rsidR="00A35E4E">
          <w:rPr>
            <w:noProof/>
            <w:webHidden/>
          </w:rPr>
          <w:tab/>
        </w:r>
        <w:r w:rsidR="00A35E4E">
          <w:rPr>
            <w:noProof/>
            <w:webHidden/>
          </w:rPr>
          <w:fldChar w:fldCharType="begin"/>
        </w:r>
        <w:r w:rsidR="00A35E4E">
          <w:rPr>
            <w:noProof/>
            <w:webHidden/>
          </w:rPr>
          <w:instrText xml:space="preserve"> PAGEREF _Toc67030062 \h </w:instrText>
        </w:r>
        <w:r w:rsidR="00A35E4E">
          <w:rPr>
            <w:noProof/>
            <w:webHidden/>
          </w:rPr>
        </w:r>
        <w:r w:rsidR="00A35E4E">
          <w:rPr>
            <w:noProof/>
            <w:webHidden/>
          </w:rPr>
          <w:fldChar w:fldCharType="separate"/>
        </w:r>
        <w:r w:rsidR="00A35E4E">
          <w:rPr>
            <w:noProof/>
            <w:webHidden/>
          </w:rPr>
          <w:t>13</w:t>
        </w:r>
        <w:r w:rsidR="00A35E4E">
          <w:rPr>
            <w:noProof/>
            <w:webHidden/>
          </w:rPr>
          <w:fldChar w:fldCharType="end"/>
        </w:r>
      </w:hyperlink>
    </w:p>
    <w:p w14:paraId="525C03FE" w14:textId="6DC66ABF" w:rsidR="00A35E4E" w:rsidRDefault="00787E0D">
      <w:pPr>
        <w:pStyle w:val="TOC2"/>
        <w:rPr>
          <w:rFonts w:asciiTheme="minorHAnsi" w:eastAsiaTheme="minorEastAsia" w:hAnsiTheme="minorHAnsi" w:cstheme="minorBidi"/>
          <w:noProof/>
          <w:sz w:val="22"/>
          <w:lang w:eastAsia="en-GB"/>
        </w:rPr>
      </w:pPr>
      <w:hyperlink w:anchor="_Toc67030063" w:history="1">
        <w:r w:rsidR="00A35E4E" w:rsidRPr="00D70CBE">
          <w:rPr>
            <w:rStyle w:val="Hyperlink"/>
            <w:noProof/>
          </w:rPr>
          <w:t>Short-chain chlorinated paraffins (SCCPs)</w:t>
        </w:r>
        <w:r w:rsidR="00A35E4E">
          <w:rPr>
            <w:noProof/>
            <w:webHidden/>
          </w:rPr>
          <w:tab/>
        </w:r>
        <w:r w:rsidR="00A35E4E">
          <w:rPr>
            <w:noProof/>
            <w:webHidden/>
          </w:rPr>
          <w:fldChar w:fldCharType="begin"/>
        </w:r>
        <w:r w:rsidR="00A35E4E">
          <w:rPr>
            <w:noProof/>
            <w:webHidden/>
          </w:rPr>
          <w:instrText xml:space="preserve"> PAGEREF _Toc67030063 \h </w:instrText>
        </w:r>
        <w:r w:rsidR="00A35E4E">
          <w:rPr>
            <w:noProof/>
            <w:webHidden/>
          </w:rPr>
        </w:r>
        <w:r w:rsidR="00A35E4E">
          <w:rPr>
            <w:noProof/>
            <w:webHidden/>
          </w:rPr>
          <w:fldChar w:fldCharType="separate"/>
        </w:r>
        <w:r w:rsidR="00A35E4E">
          <w:rPr>
            <w:noProof/>
            <w:webHidden/>
          </w:rPr>
          <w:t>15</w:t>
        </w:r>
        <w:r w:rsidR="00A35E4E">
          <w:rPr>
            <w:noProof/>
            <w:webHidden/>
          </w:rPr>
          <w:fldChar w:fldCharType="end"/>
        </w:r>
      </w:hyperlink>
    </w:p>
    <w:p w14:paraId="2F120CBA" w14:textId="7F456231" w:rsidR="00A35E4E" w:rsidRDefault="00787E0D">
      <w:pPr>
        <w:pStyle w:val="TOC2"/>
        <w:rPr>
          <w:rFonts w:asciiTheme="minorHAnsi" w:eastAsiaTheme="minorEastAsia" w:hAnsiTheme="minorHAnsi" w:cstheme="minorBidi"/>
          <w:noProof/>
          <w:sz w:val="22"/>
          <w:lang w:eastAsia="en-GB"/>
        </w:rPr>
      </w:pPr>
      <w:hyperlink w:anchor="_Toc67030064" w:history="1">
        <w:r w:rsidR="00A35E4E" w:rsidRPr="00D70CBE">
          <w:rPr>
            <w:rStyle w:val="Hyperlink"/>
            <w:noProof/>
          </w:rPr>
          <w:t>Hexachlorobutadiene (HCBD)</w:t>
        </w:r>
        <w:r w:rsidR="00A35E4E">
          <w:rPr>
            <w:noProof/>
            <w:webHidden/>
          </w:rPr>
          <w:tab/>
        </w:r>
        <w:r w:rsidR="00A35E4E">
          <w:rPr>
            <w:noProof/>
            <w:webHidden/>
          </w:rPr>
          <w:fldChar w:fldCharType="begin"/>
        </w:r>
        <w:r w:rsidR="00A35E4E">
          <w:rPr>
            <w:noProof/>
            <w:webHidden/>
          </w:rPr>
          <w:instrText xml:space="preserve"> PAGEREF _Toc67030064 \h </w:instrText>
        </w:r>
        <w:r w:rsidR="00A35E4E">
          <w:rPr>
            <w:noProof/>
            <w:webHidden/>
          </w:rPr>
        </w:r>
        <w:r w:rsidR="00A35E4E">
          <w:rPr>
            <w:noProof/>
            <w:webHidden/>
          </w:rPr>
          <w:fldChar w:fldCharType="separate"/>
        </w:r>
        <w:r w:rsidR="00A35E4E">
          <w:rPr>
            <w:noProof/>
            <w:webHidden/>
          </w:rPr>
          <w:t>17</w:t>
        </w:r>
        <w:r w:rsidR="00A35E4E">
          <w:rPr>
            <w:noProof/>
            <w:webHidden/>
          </w:rPr>
          <w:fldChar w:fldCharType="end"/>
        </w:r>
      </w:hyperlink>
    </w:p>
    <w:p w14:paraId="627F1329" w14:textId="1799F920" w:rsidR="00A35E4E" w:rsidRDefault="00787E0D">
      <w:pPr>
        <w:pStyle w:val="TOC2"/>
        <w:rPr>
          <w:rFonts w:asciiTheme="minorHAnsi" w:eastAsiaTheme="minorEastAsia" w:hAnsiTheme="minorHAnsi" w:cstheme="minorBidi"/>
          <w:noProof/>
          <w:sz w:val="22"/>
          <w:lang w:eastAsia="en-GB"/>
        </w:rPr>
      </w:pPr>
      <w:hyperlink w:anchor="_Toc67030065" w:history="1">
        <w:r w:rsidR="00A35E4E" w:rsidRPr="00D70CBE">
          <w:rPr>
            <w:rStyle w:val="Hyperlink"/>
            <w:noProof/>
          </w:rPr>
          <w:t>PFOA</w:t>
        </w:r>
        <w:r w:rsidR="00A35E4E">
          <w:rPr>
            <w:noProof/>
            <w:webHidden/>
          </w:rPr>
          <w:tab/>
        </w:r>
        <w:r w:rsidR="00A35E4E">
          <w:rPr>
            <w:noProof/>
            <w:webHidden/>
          </w:rPr>
          <w:fldChar w:fldCharType="begin"/>
        </w:r>
        <w:r w:rsidR="00A35E4E">
          <w:rPr>
            <w:noProof/>
            <w:webHidden/>
          </w:rPr>
          <w:instrText xml:space="preserve"> PAGEREF _Toc67030065 \h </w:instrText>
        </w:r>
        <w:r w:rsidR="00A35E4E">
          <w:rPr>
            <w:noProof/>
            <w:webHidden/>
          </w:rPr>
        </w:r>
        <w:r w:rsidR="00A35E4E">
          <w:rPr>
            <w:noProof/>
            <w:webHidden/>
          </w:rPr>
          <w:fldChar w:fldCharType="separate"/>
        </w:r>
        <w:r w:rsidR="00A35E4E">
          <w:rPr>
            <w:noProof/>
            <w:webHidden/>
          </w:rPr>
          <w:t>19</w:t>
        </w:r>
        <w:r w:rsidR="00A35E4E">
          <w:rPr>
            <w:noProof/>
            <w:webHidden/>
          </w:rPr>
          <w:fldChar w:fldCharType="end"/>
        </w:r>
      </w:hyperlink>
    </w:p>
    <w:p w14:paraId="400EF2B2" w14:textId="1B248095" w:rsidR="00A35E4E" w:rsidRDefault="00787E0D">
      <w:pPr>
        <w:pStyle w:val="TOC2"/>
        <w:rPr>
          <w:rFonts w:asciiTheme="minorHAnsi" w:eastAsiaTheme="minorEastAsia" w:hAnsiTheme="minorHAnsi" w:cstheme="minorBidi"/>
          <w:noProof/>
          <w:sz w:val="22"/>
          <w:lang w:eastAsia="en-GB"/>
        </w:rPr>
      </w:pPr>
      <w:hyperlink w:anchor="_Toc67030066" w:history="1">
        <w:r w:rsidR="00A35E4E" w:rsidRPr="00D70CBE">
          <w:rPr>
            <w:rStyle w:val="Hyperlink"/>
            <w:noProof/>
          </w:rPr>
          <w:t>Dicofol</w:t>
        </w:r>
        <w:r w:rsidR="00A35E4E">
          <w:rPr>
            <w:noProof/>
            <w:webHidden/>
          </w:rPr>
          <w:tab/>
        </w:r>
        <w:r w:rsidR="00A35E4E">
          <w:rPr>
            <w:noProof/>
            <w:webHidden/>
          </w:rPr>
          <w:fldChar w:fldCharType="begin"/>
        </w:r>
        <w:r w:rsidR="00A35E4E">
          <w:rPr>
            <w:noProof/>
            <w:webHidden/>
          </w:rPr>
          <w:instrText xml:space="preserve"> PAGEREF _Toc67030066 \h </w:instrText>
        </w:r>
        <w:r w:rsidR="00A35E4E">
          <w:rPr>
            <w:noProof/>
            <w:webHidden/>
          </w:rPr>
        </w:r>
        <w:r w:rsidR="00A35E4E">
          <w:rPr>
            <w:noProof/>
            <w:webHidden/>
          </w:rPr>
          <w:fldChar w:fldCharType="separate"/>
        </w:r>
        <w:r w:rsidR="00A35E4E">
          <w:rPr>
            <w:noProof/>
            <w:webHidden/>
          </w:rPr>
          <w:t>22</w:t>
        </w:r>
        <w:r w:rsidR="00A35E4E">
          <w:rPr>
            <w:noProof/>
            <w:webHidden/>
          </w:rPr>
          <w:fldChar w:fldCharType="end"/>
        </w:r>
      </w:hyperlink>
    </w:p>
    <w:p w14:paraId="18817899" w14:textId="6A93DFDC" w:rsidR="00A35E4E" w:rsidRDefault="00787E0D">
      <w:pPr>
        <w:pStyle w:val="TOC1"/>
        <w:rPr>
          <w:rFonts w:asciiTheme="minorHAnsi" w:eastAsiaTheme="minorEastAsia" w:hAnsiTheme="minorHAnsi" w:cstheme="minorBidi"/>
          <w:noProof/>
          <w:sz w:val="22"/>
          <w:lang w:eastAsia="en-GB"/>
        </w:rPr>
      </w:pPr>
      <w:hyperlink w:anchor="_Toc67030067" w:history="1">
        <w:r w:rsidR="00A35E4E" w:rsidRPr="00D70CBE">
          <w:rPr>
            <w:rStyle w:val="Hyperlink"/>
            <w:noProof/>
          </w:rPr>
          <w:t>Strategies and action plans</w:t>
        </w:r>
        <w:r w:rsidR="00A35E4E">
          <w:rPr>
            <w:noProof/>
            <w:webHidden/>
          </w:rPr>
          <w:tab/>
        </w:r>
        <w:r w:rsidR="00A35E4E">
          <w:rPr>
            <w:noProof/>
            <w:webHidden/>
          </w:rPr>
          <w:fldChar w:fldCharType="begin"/>
        </w:r>
        <w:r w:rsidR="00A35E4E">
          <w:rPr>
            <w:noProof/>
            <w:webHidden/>
          </w:rPr>
          <w:instrText xml:space="preserve"> PAGEREF _Toc67030067 \h </w:instrText>
        </w:r>
        <w:r w:rsidR="00A35E4E">
          <w:rPr>
            <w:noProof/>
            <w:webHidden/>
          </w:rPr>
        </w:r>
        <w:r w:rsidR="00A35E4E">
          <w:rPr>
            <w:noProof/>
            <w:webHidden/>
          </w:rPr>
          <w:fldChar w:fldCharType="separate"/>
        </w:r>
        <w:r w:rsidR="00A35E4E">
          <w:rPr>
            <w:noProof/>
            <w:webHidden/>
          </w:rPr>
          <w:t>24</w:t>
        </w:r>
        <w:r w:rsidR="00A35E4E">
          <w:rPr>
            <w:noProof/>
            <w:webHidden/>
          </w:rPr>
          <w:fldChar w:fldCharType="end"/>
        </w:r>
      </w:hyperlink>
    </w:p>
    <w:p w14:paraId="39FC4892" w14:textId="7180F6C0" w:rsidR="00A35E4E" w:rsidRDefault="00787E0D">
      <w:pPr>
        <w:pStyle w:val="TOC2"/>
        <w:rPr>
          <w:rFonts w:asciiTheme="minorHAnsi" w:eastAsiaTheme="minorEastAsia" w:hAnsiTheme="minorHAnsi" w:cstheme="minorBidi"/>
          <w:noProof/>
          <w:sz w:val="22"/>
          <w:lang w:eastAsia="en-GB"/>
        </w:rPr>
      </w:pPr>
      <w:hyperlink w:anchor="_Toc67030068" w:history="1">
        <w:r w:rsidR="00A35E4E" w:rsidRPr="00D70CBE">
          <w:rPr>
            <w:rStyle w:val="Hyperlink"/>
            <w:noProof/>
          </w:rPr>
          <w:t>Overarching environmental policies</w:t>
        </w:r>
        <w:r w:rsidR="00A35E4E">
          <w:rPr>
            <w:noProof/>
            <w:webHidden/>
          </w:rPr>
          <w:tab/>
        </w:r>
        <w:r w:rsidR="00A35E4E">
          <w:rPr>
            <w:noProof/>
            <w:webHidden/>
          </w:rPr>
          <w:fldChar w:fldCharType="begin"/>
        </w:r>
        <w:r w:rsidR="00A35E4E">
          <w:rPr>
            <w:noProof/>
            <w:webHidden/>
          </w:rPr>
          <w:instrText xml:space="preserve"> PAGEREF _Toc67030068 \h </w:instrText>
        </w:r>
        <w:r w:rsidR="00A35E4E">
          <w:rPr>
            <w:noProof/>
            <w:webHidden/>
          </w:rPr>
        </w:r>
        <w:r w:rsidR="00A35E4E">
          <w:rPr>
            <w:noProof/>
            <w:webHidden/>
          </w:rPr>
          <w:fldChar w:fldCharType="separate"/>
        </w:r>
        <w:r w:rsidR="00A35E4E">
          <w:rPr>
            <w:noProof/>
            <w:webHidden/>
          </w:rPr>
          <w:t>24</w:t>
        </w:r>
        <w:r w:rsidR="00A35E4E">
          <w:rPr>
            <w:noProof/>
            <w:webHidden/>
          </w:rPr>
          <w:fldChar w:fldCharType="end"/>
        </w:r>
      </w:hyperlink>
    </w:p>
    <w:p w14:paraId="1E78CB5A" w14:textId="561B6714" w:rsidR="00A35E4E" w:rsidRDefault="00787E0D">
      <w:pPr>
        <w:pStyle w:val="TOC2"/>
        <w:rPr>
          <w:rFonts w:asciiTheme="minorHAnsi" w:eastAsiaTheme="minorEastAsia" w:hAnsiTheme="minorHAnsi" w:cstheme="minorBidi"/>
          <w:noProof/>
          <w:sz w:val="22"/>
          <w:lang w:eastAsia="en-GB"/>
        </w:rPr>
      </w:pPr>
      <w:hyperlink w:anchor="_Toc67030069" w:history="1">
        <w:r w:rsidR="00A35E4E" w:rsidRPr="00D70CBE">
          <w:rPr>
            <w:rStyle w:val="Hyperlink"/>
            <w:noProof/>
          </w:rPr>
          <w:t>Action on new POPs</w:t>
        </w:r>
        <w:r w:rsidR="00A35E4E">
          <w:rPr>
            <w:noProof/>
            <w:webHidden/>
          </w:rPr>
          <w:tab/>
        </w:r>
        <w:r w:rsidR="00A35E4E">
          <w:rPr>
            <w:noProof/>
            <w:webHidden/>
          </w:rPr>
          <w:fldChar w:fldCharType="begin"/>
        </w:r>
        <w:r w:rsidR="00A35E4E">
          <w:rPr>
            <w:noProof/>
            <w:webHidden/>
          </w:rPr>
          <w:instrText xml:space="preserve"> PAGEREF _Toc67030069 \h </w:instrText>
        </w:r>
        <w:r w:rsidR="00A35E4E">
          <w:rPr>
            <w:noProof/>
            <w:webHidden/>
          </w:rPr>
        </w:r>
        <w:r w:rsidR="00A35E4E">
          <w:rPr>
            <w:noProof/>
            <w:webHidden/>
          </w:rPr>
          <w:fldChar w:fldCharType="separate"/>
        </w:r>
        <w:r w:rsidR="00A35E4E">
          <w:rPr>
            <w:noProof/>
            <w:webHidden/>
          </w:rPr>
          <w:t>26</w:t>
        </w:r>
        <w:r w:rsidR="00A35E4E">
          <w:rPr>
            <w:noProof/>
            <w:webHidden/>
          </w:rPr>
          <w:fldChar w:fldCharType="end"/>
        </w:r>
      </w:hyperlink>
    </w:p>
    <w:p w14:paraId="1B1E0C05" w14:textId="130ACEF1" w:rsidR="00A35E4E" w:rsidRDefault="00787E0D">
      <w:pPr>
        <w:pStyle w:val="TOC2"/>
        <w:rPr>
          <w:rFonts w:asciiTheme="minorHAnsi" w:eastAsiaTheme="minorEastAsia" w:hAnsiTheme="minorHAnsi" w:cstheme="minorBidi"/>
          <w:noProof/>
          <w:sz w:val="22"/>
          <w:lang w:eastAsia="en-GB"/>
        </w:rPr>
      </w:pPr>
      <w:hyperlink w:anchor="_Toc67030070" w:history="1">
        <w:r w:rsidR="00A35E4E" w:rsidRPr="00D70CBE">
          <w:rPr>
            <w:rStyle w:val="Hyperlink"/>
            <w:noProof/>
          </w:rPr>
          <w:t>Action on existing POPs</w:t>
        </w:r>
        <w:r w:rsidR="00A35E4E">
          <w:rPr>
            <w:noProof/>
            <w:webHidden/>
          </w:rPr>
          <w:tab/>
        </w:r>
        <w:r w:rsidR="00A35E4E">
          <w:rPr>
            <w:noProof/>
            <w:webHidden/>
          </w:rPr>
          <w:fldChar w:fldCharType="begin"/>
        </w:r>
        <w:r w:rsidR="00A35E4E">
          <w:rPr>
            <w:noProof/>
            <w:webHidden/>
          </w:rPr>
          <w:instrText xml:space="preserve"> PAGEREF _Toc67030070 \h </w:instrText>
        </w:r>
        <w:r w:rsidR="00A35E4E">
          <w:rPr>
            <w:noProof/>
            <w:webHidden/>
          </w:rPr>
        </w:r>
        <w:r w:rsidR="00A35E4E">
          <w:rPr>
            <w:noProof/>
            <w:webHidden/>
          </w:rPr>
          <w:fldChar w:fldCharType="separate"/>
        </w:r>
        <w:r w:rsidR="00A35E4E">
          <w:rPr>
            <w:noProof/>
            <w:webHidden/>
          </w:rPr>
          <w:t>29</w:t>
        </w:r>
        <w:r w:rsidR="00A35E4E">
          <w:rPr>
            <w:noProof/>
            <w:webHidden/>
          </w:rPr>
          <w:fldChar w:fldCharType="end"/>
        </w:r>
      </w:hyperlink>
    </w:p>
    <w:p w14:paraId="6ABFEADD" w14:textId="570FE59C" w:rsidR="00A35E4E" w:rsidRDefault="00787E0D">
      <w:pPr>
        <w:pStyle w:val="TOC2"/>
        <w:rPr>
          <w:rFonts w:asciiTheme="minorHAnsi" w:eastAsiaTheme="minorEastAsia" w:hAnsiTheme="minorHAnsi" w:cstheme="minorBidi"/>
          <w:noProof/>
          <w:sz w:val="22"/>
          <w:lang w:eastAsia="en-GB"/>
        </w:rPr>
      </w:pPr>
      <w:hyperlink w:anchor="_Toc67030071" w:history="1">
        <w:r w:rsidR="00A35E4E" w:rsidRPr="00D70CBE">
          <w:rPr>
            <w:rStyle w:val="Hyperlink"/>
            <w:noProof/>
          </w:rPr>
          <w:t>Update of the UK MMEI</w:t>
        </w:r>
        <w:r w:rsidR="00A35E4E">
          <w:rPr>
            <w:noProof/>
            <w:webHidden/>
          </w:rPr>
          <w:tab/>
        </w:r>
        <w:r w:rsidR="00A35E4E">
          <w:rPr>
            <w:noProof/>
            <w:webHidden/>
          </w:rPr>
          <w:fldChar w:fldCharType="begin"/>
        </w:r>
        <w:r w:rsidR="00A35E4E">
          <w:rPr>
            <w:noProof/>
            <w:webHidden/>
          </w:rPr>
          <w:instrText xml:space="preserve"> PAGEREF _Toc67030071 \h </w:instrText>
        </w:r>
        <w:r w:rsidR="00A35E4E">
          <w:rPr>
            <w:noProof/>
            <w:webHidden/>
          </w:rPr>
        </w:r>
        <w:r w:rsidR="00A35E4E">
          <w:rPr>
            <w:noProof/>
            <w:webHidden/>
          </w:rPr>
          <w:fldChar w:fldCharType="separate"/>
        </w:r>
        <w:r w:rsidR="00A35E4E">
          <w:rPr>
            <w:noProof/>
            <w:webHidden/>
          </w:rPr>
          <w:t>41</w:t>
        </w:r>
        <w:r w:rsidR="00A35E4E">
          <w:rPr>
            <w:noProof/>
            <w:webHidden/>
          </w:rPr>
          <w:fldChar w:fldCharType="end"/>
        </w:r>
      </w:hyperlink>
    </w:p>
    <w:p w14:paraId="5FA21253" w14:textId="61FD6405" w:rsidR="00A35E4E" w:rsidRDefault="00787E0D">
      <w:pPr>
        <w:pStyle w:val="TOC2"/>
        <w:rPr>
          <w:rFonts w:asciiTheme="minorHAnsi" w:eastAsiaTheme="minorEastAsia" w:hAnsiTheme="minorHAnsi" w:cstheme="minorBidi"/>
          <w:noProof/>
          <w:sz w:val="22"/>
          <w:lang w:eastAsia="en-GB"/>
        </w:rPr>
      </w:pPr>
      <w:hyperlink w:anchor="_Toc67030072" w:history="1">
        <w:r w:rsidR="00A35E4E" w:rsidRPr="00D70CBE">
          <w:rPr>
            <w:rStyle w:val="Hyperlink"/>
            <w:noProof/>
          </w:rPr>
          <w:t>Update on monitoring</w:t>
        </w:r>
        <w:r w:rsidR="00A35E4E">
          <w:rPr>
            <w:noProof/>
            <w:webHidden/>
          </w:rPr>
          <w:tab/>
        </w:r>
        <w:r w:rsidR="00A35E4E">
          <w:rPr>
            <w:noProof/>
            <w:webHidden/>
          </w:rPr>
          <w:fldChar w:fldCharType="begin"/>
        </w:r>
        <w:r w:rsidR="00A35E4E">
          <w:rPr>
            <w:noProof/>
            <w:webHidden/>
          </w:rPr>
          <w:instrText xml:space="preserve"> PAGEREF _Toc67030072 \h </w:instrText>
        </w:r>
        <w:r w:rsidR="00A35E4E">
          <w:rPr>
            <w:noProof/>
            <w:webHidden/>
          </w:rPr>
        </w:r>
        <w:r w:rsidR="00A35E4E">
          <w:rPr>
            <w:noProof/>
            <w:webHidden/>
          </w:rPr>
          <w:fldChar w:fldCharType="separate"/>
        </w:r>
        <w:r w:rsidR="00A35E4E">
          <w:rPr>
            <w:noProof/>
            <w:webHidden/>
          </w:rPr>
          <w:t>43</w:t>
        </w:r>
        <w:r w:rsidR="00A35E4E">
          <w:rPr>
            <w:noProof/>
            <w:webHidden/>
          </w:rPr>
          <w:fldChar w:fldCharType="end"/>
        </w:r>
      </w:hyperlink>
    </w:p>
    <w:p w14:paraId="67A5E586" w14:textId="7ED1B4C2" w:rsidR="00A35E4E" w:rsidRDefault="00787E0D">
      <w:pPr>
        <w:pStyle w:val="TOC1"/>
        <w:rPr>
          <w:rFonts w:asciiTheme="minorHAnsi" w:eastAsiaTheme="minorEastAsia" w:hAnsiTheme="minorHAnsi" w:cstheme="minorBidi"/>
          <w:noProof/>
          <w:sz w:val="22"/>
          <w:lang w:eastAsia="en-GB"/>
        </w:rPr>
      </w:pPr>
      <w:hyperlink w:anchor="_Toc67030073" w:history="1">
        <w:r w:rsidR="00A35E4E" w:rsidRPr="00D70CBE">
          <w:rPr>
            <w:rStyle w:val="Hyperlink"/>
            <w:noProof/>
          </w:rPr>
          <w:t>Annex I: Glossary of abbreviations and units</w:t>
        </w:r>
        <w:r w:rsidR="00A35E4E">
          <w:rPr>
            <w:noProof/>
            <w:webHidden/>
          </w:rPr>
          <w:tab/>
        </w:r>
        <w:r w:rsidR="00A35E4E">
          <w:rPr>
            <w:noProof/>
            <w:webHidden/>
          </w:rPr>
          <w:fldChar w:fldCharType="begin"/>
        </w:r>
        <w:r w:rsidR="00A35E4E">
          <w:rPr>
            <w:noProof/>
            <w:webHidden/>
          </w:rPr>
          <w:instrText xml:space="preserve"> PAGEREF _Toc67030073 \h </w:instrText>
        </w:r>
        <w:r w:rsidR="00A35E4E">
          <w:rPr>
            <w:noProof/>
            <w:webHidden/>
          </w:rPr>
        </w:r>
        <w:r w:rsidR="00A35E4E">
          <w:rPr>
            <w:noProof/>
            <w:webHidden/>
          </w:rPr>
          <w:fldChar w:fldCharType="separate"/>
        </w:r>
        <w:r w:rsidR="00A35E4E">
          <w:rPr>
            <w:noProof/>
            <w:webHidden/>
          </w:rPr>
          <w:t>47</w:t>
        </w:r>
        <w:r w:rsidR="00A35E4E">
          <w:rPr>
            <w:noProof/>
            <w:webHidden/>
          </w:rPr>
          <w:fldChar w:fldCharType="end"/>
        </w:r>
      </w:hyperlink>
    </w:p>
    <w:p w14:paraId="62632AAE" w14:textId="40A7946B" w:rsidR="00A35E4E" w:rsidRDefault="00787E0D">
      <w:pPr>
        <w:pStyle w:val="TOC1"/>
        <w:rPr>
          <w:rFonts w:asciiTheme="minorHAnsi" w:eastAsiaTheme="minorEastAsia" w:hAnsiTheme="minorHAnsi" w:cstheme="minorBidi"/>
          <w:noProof/>
          <w:sz w:val="22"/>
          <w:lang w:eastAsia="en-GB"/>
        </w:rPr>
      </w:pPr>
      <w:hyperlink w:anchor="_Toc67030074" w:history="1">
        <w:r w:rsidR="00A35E4E" w:rsidRPr="00D70CBE">
          <w:rPr>
            <w:rStyle w:val="Hyperlink"/>
            <w:noProof/>
          </w:rPr>
          <w:t>Annex II: List of POPs</w:t>
        </w:r>
        <w:r w:rsidR="00A35E4E">
          <w:rPr>
            <w:noProof/>
            <w:webHidden/>
          </w:rPr>
          <w:tab/>
        </w:r>
        <w:r w:rsidR="00A35E4E">
          <w:rPr>
            <w:noProof/>
            <w:webHidden/>
          </w:rPr>
          <w:fldChar w:fldCharType="begin"/>
        </w:r>
        <w:r w:rsidR="00A35E4E">
          <w:rPr>
            <w:noProof/>
            <w:webHidden/>
          </w:rPr>
          <w:instrText xml:space="preserve"> PAGEREF _Toc67030074 \h </w:instrText>
        </w:r>
        <w:r w:rsidR="00A35E4E">
          <w:rPr>
            <w:noProof/>
            <w:webHidden/>
          </w:rPr>
        </w:r>
        <w:r w:rsidR="00A35E4E">
          <w:rPr>
            <w:noProof/>
            <w:webHidden/>
          </w:rPr>
          <w:fldChar w:fldCharType="separate"/>
        </w:r>
        <w:r w:rsidR="00A35E4E">
          <w:rPr>
            <w:noProof/>
            <w:webHidden/>
          </w:rPr>
          <w:t>57</w:t>
        </w:r>
        <w:r w:rsidR="00A35E4E">
          <w:rPr>
            <w:noProof/>
            <w:webHidden/>
          </w:rPr>
          <w:fldChar w:fldCharType="end"/>
        </w:r>
      </w:hyperlink>
    </w:p>
    <w:p w14:paraId="11694FB9" w14:textId="39872567" w:rsidR="00A35E4E" w:rsidRDefault="00787E0D">
      <w:pPr>
        <w:pStyle w:val="TOC1"/>
        <w:rPr>
          <w:rFonts w:asciiTheme="minorHAnsi" w:eastAsiaTheme="minorEastAsia" w:hAnsiTheme="minorHAnsi" w:cstheme="minorBidi"/>
          <w:noProof/>
          <w:sz w:val="22"/>
          <w:lang w:eastAsia="en-GB"/>
        </w:rPr>
      </w:pPr>
      <w:hyperlink w:anchor="_Toc67030075" w:history="1">
        <w:r w:rsidR="00A35E4E" w:rsidRPr="00D70CBE">
          <w:rPr>
            <w:rStyle w:val="Hyperlink"/>
            <w:noProof/>
          </w:rPr>
          <w:t>Annex III: Summary of future actions</w:t>
        </w:r>
        <w:r w:rsidR="00A35E4E">
          <w:rPr>
            <w:noProof/>
            <w:webHidden/>
          </w:rPr>
          <w:tab/>
        </w:r>
        <w:r w:rsidR="00A35E4E">
          <w:rPr>
            <w:noProof/>
            <w:webHidden/>
          </w:rPr>
          <w:fldChar w:fldCharType="begin"/>
        </w:r>
        <w:r w:rsidR="00A35E4E">
          <w:rPr>
            <w:noProof/>
            <w:webHidden/>
          </w:rPr>
          <w:instrText xml:space="preserve"> PAGEREF _Toc67030075 \h </w:instrText>
        </w:r>
        <w:r w:rsidR="00A35E4E">
          <w:rPr>
            <w:noProof/>
            <w:webHidden/>
          </w:rPr>
        </w:r>
        <w:r w:rsidR="00A35E4E">
          <w:rPr>
            <w:noProof/>
            <w:webHidden/>
          </w:rPr>
          <w:fldChar w:fldCharType="separate"/>
        </w:r>
        <w:r w:rsidR="00A35E4E">
          <w:rPr>
            <w:noProof/>
            <w:webHidden/>
          </w:rPr>
          <w:t>60</w:t>
        </w:r>
        <w:r w:rsidR="00A35E4E">
          <w:rPr>
            <w:noProof/>
            <w:webHidden/>
          </w:rPr>
          <w:fldChar w:fldCharType="end"/>
        </w:r>
      </w:hyperlink>
    </w:p>
    <w:p w14:paraId="10241F03" w14:textId="69425E13" w:rsidR="00A35E4E" w:rsidRDefault="00787E0D">
      <w:pPr>
        <w:pStyle w:val="TOC1"/>
        <w:rPr>
          <w:rFonts w:asciiTheme="minorHAnsi" w:eastAsiaTheme="minorEastAsia" w:hAnsiTheme="minorHAnsi" w:cstheme="minorBidi"/>
          <w:noProof/>
          <w:sz w:val="22"/>
          <w:lang w:eastAsia="en-GB"/>
        </w:rPr>
      </w:pPr>
      <w:hyperlink w:anchor="_Toc67030076" w:history="1">
        <w:r w:rsidR="00A35E4E" w:rsidRPr="00D70CBE">
          <w:rPr>
            <w:rStyle w:val="Hyperlink"/>
            <w:noProof/>
          </w:rPr>
          <w:t>Annex IV: References</w:t>
        </w:r>
        <w:r w:rsidR="00A35E4E">
          <w:rPr>
            <w:noProof/>
            <w:webHidden/>
          </w:rPr>
          <w:tab/>
        </w:r>
        <w:r w:rsidR="00A35E4E">
          <w:rPr>
            <w:noProof/>
            <w:webHidden/>
          </w:rPr>
          <w:fldChar w:fldCharType="begin"/>
        </w:r>
        <w:r w:rsidR="00A35E4E">
          <w:rPr>
            <w:noProof/>
            <w:webHidden/>
          </w:rPr>
          <w:instrText xml:space="preserve"> PAGEREF _Toc67030076 \h </w:instrText>
        </w:r>
        <w:r w:rsidR="00A35E4E">
          <w:rPr>
            <w:noProof/>
            <w:webHidden/>
          </w:rPr>
        </w:r>
        <w:r w:rsidR="00A35E4E">
          <w:rPr>
            <w:noProof/>
            <w:webHidden/>
          </w:rPr>
          <w:fldChar w:fldCharType="separate"/>
        </w:r>
        <w:r w:rsidR="00A35E4E">
          <w:rPr>
            <w:noProof/>
            <w:webHidden/>
          </w:rPr>
          <w:t>62</w:t>
        </w:r>
        <w:r w:rsidR="00A35E4E">
          <w:rPr>
            <w:noProof/>
            <w:webHidden/>
          </w:rPr>
          <w:fldChar w:fldCharType="end"/>
        </w:r>
      </w:hyperlink>
    </w:p>
    <w:p w14:paraId="001E9BBA" w14:textId="54C66F69" w:rsidR="00566F6F" w:rsidRPr="00F6274F" w:rsidRDefault="000239B6" w:rsidP="00654C24">
      <w:r>
        <w:rPr>
          <w:b/>
          <w:color w:val="2B579A"/>
          <w:shd w:val="clear" w:color="auto" w:fill="E6E6E6"/>
        </w:rPr>
        <w:fldChar w:fldCharType="end"/>
      </w:r>
      <w:r w:rsidR="00566F6F">
        <w:br w:type="page"/>
      </w:r>
    </w:p>
    <w:p w14:paraId="2D925AA4" w14:textId="4B97B5A3" w:rsidR="00DB646E" w:rsidRDefault="00DB646E" w:rsidP="00DB646E">
      <w:pPr>
        <w:pStyle w:val="Heading1"/>
      </w:pPr>
      <w:bookmarkStart w:id="4" w:name="_Toc473641178"/>
      <w:bookmarkStart w:id="5" w:name="_Toc522629669"/>
      <w:bookmarkStart w:id="6" w:name="_Toc51079269"/>
      <w:bookmarkStart w:id="7" w:name="_Toc67030054"/>
      <w:bookmarkStart w:id="8" w:name="_Toc522629671"/>
      <w:bookmarkEnd w:id="3"/>
      <w:r w:rsidRPr="00073B0F">
        <w:lastRenderedPageBreak/>
        <w:t>Executive summary</w:t>
      </w:r>
      <w:bookmarkEnd w:id="4"/>
      <w:bookmarkEnd w:id="5"/>
      <w:bookmarkEnd w:id="6"/>
      <w:bookmarkEnd w:id="7"/>
    </w:p>
    <w:p w14:paraId="7926DECD" w14:textId="0AC47D33" w:rsidR="00AC731C" w:rsidRDefault="00AC731C" w:rsidP="00AC731C">
      <w:bookmarkStart w:id="9" w:name="_Toc51079270"/>
      <w:r w:rsidRPr="00E60F19">
        <w:t xml:space="preserve">The Stockholm Convention is a global treaty </w:t>
      </w:r>
      <w:r>
        <w:t xml:space="preserve">with an objective </w:t>
      </w:r>
      <w:r w:rsidRPr="00E60F19">
        <w:t xml:space="preserve">to protect human health and the environment from Persistent Organic Pollutants (POPs). </w:t>
      </w:r>
      <w:r>
        <w:t>POPs are organic substances that remain intact in the environment for long periods (</w:t>
      </w:r>
      <w:r w:rsidRPr="00E60F19">
        <w:t>persist</w:t>
      </w:r>
      <w:r>
        <w:t>)</w:t>
      </w:r>
      <w:r w:rsidRPr="00E60F19">
        <w:t xml:space="preserve">, </w:t>
      </w:r>
      <w:r>
        <w:t>accumulate in the fatty tissue of human and wildlife (</w:t>
      </w:r>
      <w:r w:rsidRPr="00E60F19">
        <w:t>bioaccumulate</w:t>
      </w:r>
      <w:r>
        <w:t>) have harmful impacts on human health or on the environment</w:t>
      </w:r>
      <w:r w:rsidRPr="00E60F19">
        <w:t xml:space="preserve"> </w:t>
      </w:r>
      <w:r>
        <w:t>(</w:t>
      </w:r>
      <w:r w:rsidRPr="00E60F19">
        <w:t>toxic</w:t>
      </w:r>
      <w:r>
        <w:t>) and become widely distributed geographically,</w:t>
      </w:r>
      <w:r w:rsidRPr="00E60F19">
        <w:t xml:space="preserve"> deposited far from their place of manufacture</w:t>
      </w:r>
      <w:r w:rsidR="00646A41">
        <w:t xml:space="preserve"> </w:t>
      </w:r>
      <w:r w:rsidRPr="00E60F19">
        <w:t>/</w:t>
      </w:r>
      <w:r w:rsidR="00646A41">
        <w:t xml:space="preserve"> </w:t>
      </w:r>
      <w:r w:rsidRPr="00E60F19">
        <w:t>release</w:t>
      </w:r>
      <w:r>
        <w:t xml:space="preserve"> (long-range transport)</w:t>
      </w:r>
      <w:r w:rsidRPr="00E60F19">
        <w:t xml:space="preserve">. The Convention requires that Parties adopt and introduce measures to </w:t>
      </w:r>
      <w:r>
        <w:t xml:space="preserve">eliminate or </w:t>
      </w:r>
      <w:r w:rsidRPr="00E60F19">
        <w:t xml:space="preserve">reduce </w:t>
      </w:r>
      <w:r w:rsidR="003A54A0">
        <w:t xml:space="preserve">production, use and </w:t>
      </w:r>
      <w:r w:rsidRPr="00E60F19">
        <w:t>releases of POPs into the environment</w:t>
      </w:r>
      <w:r>
        <w:t>.</w:t>
      </w:r>
    </w:p>
    <w:p w14:paraId="4FC76A89" w14:textId="2D4DCD0B" w:rsidR="00940F66" w:rsidRDefault="3DE6EFB2">
      <w:r>
        <w:t xml:space="preserve">The UK was one of the original parties to the Convention in 2004 and produced </w:t>
      </w:r>
      <w:r w:rsidR="00240ACA">
        <w:t xml:space="preserve">a </w:t>
      </w:r>
      <w:r>
        <w:t>Nation</w:t>
      </w:r>
      <w:r w:rsidR="320CBDB6">
        <w:t>a</w:t>
      </w:r>
      <w:r>
        <w:t>l Imple</w:t>
      </w:r>
      <w:r w:rsidR="00940F66">
        <w:t>m</w:t>
      </w:r>
      <w:r w:rsidR="03B41C1C">
        <w:t>e</w:t>
      </w:r>
      <w:r w:rsidR="44BC4EC0">
        <w:t xml:space="preserve">ntation Plan </w:t>
      </w:r>
      <w:r w:rsidR="00656940">
        <w:t>(NIP)</w:t>
      </w:r>
      <w:r w:rsidR="44BC4EC0">
        <w:t xml:space="preserve"> </w:t>
      </w:r>
      <w:r w:rsidR="00240ACA">
        <w:t xml:space="preserve">for POPs </w:t>
      </w:r>
      <w:r w:rsidR="44BC4EC0">
        <w:t xml:space="preserve">in 2007. </w:t>
      </w:r>
      <w:r w:rsidR="00A6041D">
        <w:t>T</w:t>
      </w:r>
      <w:r w:rsidR="009E2506">
        <w:t xml:space="preserve">he </w:t>
      </w:r>
      <w:r w:rsidR="00E72778">
        <w:t>UK provided u</w:t>
      </w:r>
      <w:r w:rsidR="00940F66">
        <w:t xml:space="preserve">pdates </w:t>
      </w:r>
      <w:r w:rsidR="44BC4EC0">
        <w:t>to this plan in</w:t>
      </w:r>
      <w:r w:rsidR="59A513A3">
        <w:t xml:space="preserve"> 2013 and 2017</w:t>
      </w:r>
      <w:r w:rsidR="00940F66">
        <w:t xml:space="preserve"> to reflect decisions made at th</w:t>
      </w:r>
      <w:r w:rsidR="00104022">
        <w:t>e</w:t>
      </w:r>
      <w:r w:rsidR="00940F66">
        <w:t xml:space="preserve"> </w:t>
      </w:r>
      <w:r w:rsidR="00104022">
        <w:t>C</w:t>
      </w:r>
      <w:r w:rsidR="00940F66">
        <w:t>onference</w:t>
      </w:r>
      <w:r w:rsidR="00646A41">
        <w:t>s</w:t>
      </w:r>
      <w:r w:rsidR="00940F66">
        <w:t xml:space="preserve"> of </w:t>
      </w:r>
      <w:r w:rsidR="00104022">
        <w:t>the P</w:t>
      </w:r>
      <w:r w:rsidR="00940F66">
        <w:t>arties.</w:t>
      </w:r>
      <w:r w:rsidR="59A513A3">
        <w:t xml:space="preserve"> </w:t>
      </w:r>
      <w:r w:rsidR="00646A41">
        <w:t>Therefore t</w:t>
      </w:r>
      <w:r w:rsidR="00AC21E5">
        <w:t>his update</w:t>
      </w:r>
      <w:r w:rsidR="00A62ACB">
        <w:t xml:space="preserve"> </w:t>
      </w:r>
      <w:r w:rsidR="00AC21E5">
        <w:t xml:space="preserve">should be read alongside earlier versions of the NIP that can be found at </w:t>
      </w:r>
      <w:hyperlink r:id="rId17">
        <w:r w:rsidR="00AC21E5" w:rsidRPr="1D7A264A">
          <w:rPr>
            <w:rStyle w:val="Hyperlink"/>
          </w:rPr>
          <w:t>http://chm.pops.int/Implementation/NIPs/NIPTransmission/tabid/253/Default.aspx</w:t>
        </w:r>
      </w:hyperlink>
      <w:r w:rsidR="00AC21E5" w:rsidRPr="1D7A264A">
        <w:rPr>
          <w:rStyle w:val="Hyperlink"/>
        </w:rPr>
        <w:t>.</w:t>
      </w:r>
      <w:r w:rsidR="00AC21E5">
        <w:t xml:space="preserve">  </w:t>
      </w:r>
    </w:p>
    <w:p w14:paraId="513785A9" w14:textId="1E140BDA" w:rsidR="009B78B5" w:rsidRDefault="00E42FED">
      <w:r>
        <w:t xml:space="preserve">This </w:t>
      </w:r>
      <w:r w:rsidR="00646A41">
        <w:t>2021</w:t>
      </w:r>
      <w:r>
        <w:t xml:space="preserve"> update </w:t>
      </w:r>
      <w:r w:rsidR="02478EFD">
        <w:t xml:space="preserve">covers </w:t>
      </w:r>
      <w:r w:rsidR="009B78B5">
        <w:t xml:space="preserve">the UK </w:t>
      </w:r>
      <w:r w:rsidR="002924E8">
        <w:t>implementation</w:t>
      </w:r>
      <w:r w:rsidR="009B78B5">
        <w:t xml:space="preserve"> of </w:t>
      </w:r>
      <w:r w:rsidR="02478EFD">
        <w:t xml:space="preserve">decisions made at </w:t>
      </w:r>
      <w:r w:rsidR="009B78B5">
        <w:t>the 8</w:t>
      </w:r>
      <w:r w:rsidR="009B78B5" w:rsidRPr="002924E8">
        <w:rPr>
          <w:vertAlign w:val="superscript"/>
        </w:rPr>
        <w:t>th</w:t>
      </w:r>
      <w:r w:rsidR="009B78B5">
        <w:t xml:space="preserve"> </w:t>
      </w:r>
      <w:r w:rsidR="02478EFD">
        <w:t>C</w:t>
      </w:r>
      <w:r w:rsidR="009B78B5">
        <w:t>onference of the Parties</w:t>
      </w:r>
      <w:r w:rsidR="003A54A0">
        <w:t xml:space="preserve"> (COP 8)</w:t>
      </w:r>
      <w:r w:rsidR="009B78B5">
        <w:t xml:space="preserve"> to the Stockholm Convention held in 2017. </w:t>
      </w:r>
    </w:p>
    <w:p w14:paraId="73EBFADE" w14:textId="7704E888" w:rsidR="00C45D09" w:rsidRDefault="00E47A1D" w:rsidP="0065713B">
      <w:r>
        <w:t>It</w:t>
      </w:r>
      <w:r w:rsidR="6208CA3F">
        <w:t xml:space="preserve"> provides baseline information on </w:t>
      </w:r>
      <w:proofErr w:type="spellStart"/>
      <w:r w:rsidR="00420FCC" w:rsidRPr="00420FCC">
        <w:t>decabromodiphenyl</w:t>
      </w:r>
      <w:proofErr w:type="spellEnd"/>
      <w:r w:rsidR="00420FCC" w:rsidRPr="00420FCC">
        <w:t xml:space="preserve"> ether </w:t>
      </w:r>
      <w:r w:rsidR="00420FCC">
        <w:t>(</w:t>
      </w:r>
      <w:proofErr w:type="spellStart"/>
      <w:r w:rsidR="000672F7">
        <w:t>decaBDE</w:t>
      </w:r>
      <w:proofErr w:type="spellEnd"/>
      <w:r w:rsidR="00420FCC">
        <w:t>)</w:t>
      </w:r>
      <w:r w:rsidR="009C0210">
        <w:t xml:space="preserve"> and</w:t>
      </w:r>
      <w:r w:rsidR="00076A69">
        <w:t xml:space="preserve"> </w:t>
      </w:r>
      <w:r w:rsidR="00FC06FF">
        <w:t>short-chain chlorinated paraffins (</w:t>
      </w:r>
      <w:r w:rsidR="00076A69">
        <w:t>SCCPs</w:t>
      </w:r>
      <w:r w:rsidR="00FC06FF">
        <w:t>)</w:t>
      </w:r>
      <w:r w:rsidR="009C0210">
        <w:t>, which were listed in Annex A</w:t>
      </w:r>
      <w:r w:rsidR="00404F83">
        <w:t xml:space="preserve"> to the Convention</w:t>
      </w:r>
      <w:r w:rsidR="007A37A7">
        <w:t xml:space="preserve"> as </w:t>
      </w:r>
      <w:r w:rsidR="002E2148">
        <w:t>substances to be eliminated</w:t>
      </w:r>
      <w:r w:rsidR="009C0210">
        <w:t>,</w:t>
      </w:r>
      <w:r w:rsidR="000672F7">
        <w:t xml:space="preserve"> </w:t>
      </w:r>
      <w:r w:rsidR="00076A69">
        <w:t xml:space="preserve">and </w:t>
      </w:r>
      <w:r w:rsidR="00E97CFD">
        <w:t>h</w:t>
      </w:r>
      <w:r w:rsidR="00FC06FF" w:rsidRPr="00FC06FF">
        <w:t xml:space="preserve">exachlorobutadiene </w:t>
      </w:r>
      <w:r w:rsidR="00742B0D">
        <w:t>(</w:t>
      </w:r>
      <w:r w:rsidR="00076A69">
        <w:t>HCBD</w:t>
      </w:r>
      <w:r w:rsidR="00742B0D">
        <w:t>)</w:t>
      </w:r>
      <w:r w:rsidR="00076A69">
        <w:t>, which has been added to Annex C</w:t>
      </w:r>
      <w:r w:rsidR="00404F83">
        <w:t xml:space="preserve"> to the Convention</w:t>
      </w:r>
      <w:r w:rsidR="00BC2108">
        <w:t xml:space="preserve"> as a substance </w:t>
      </w:r>
      <w:r w:rsidR="000F7E35">
        <w:t>subject to release reducti</w:t>
      </w:r>
      <w:r w:rsidR="008F74DB">
        <w:t>on</w:t>
      </w:r>
      <w:r w:rsidR="00806C09">
        <w:t>. It</w:t>
      </w:r>
      <w:r w:rsidR="105A2A76">
        <w:t xml:space="preserve"> details action plans</w:t>
      </w:r>
      <w:r w:rsidR="002172CA">
        <w:t xml:space="preserve"> to </w:t>
      </w:r>
      <w:r w:rsidR="00E97CFD">
        <w:t xml:space="preserve">monitor, </w:t>
      </w:r>
      <w:r w:rsidR="002172CA">
        <w:t>reduce and eliminate the</w:t>
      </w:r>
      <w:r w:rsidR="00E97CFD">
        <w:t xml:space="preserve">se substances </w:t>
      </w:r>
      <w:r w:rsidR="002172CA">
        <w:t>from the environment</w:t>
      </w:r>
      <w:r w:rsidR="105A2A76">
        <w:t>.</w:t>
      </w:r>
      <w:r w:rsidR="00076A69">
        <w:t xml:space="preserve"> </w:t>
      </w:r>
    </w:p>
    <w:p w14:paraId="4801DF4F" w14:textId="66F67920" w:rsidR="0065713B" w:rsidRPr="0065713B" w:rsidRDefault="00C45D09" w:rsidP="0065713B">
      <w:r>
        <w:t>We</w:t>
      </w:r>
      <w:r w:rsidR="00572D0D" w:rsidRPr="00572D0D">
        <w:t xml:space="preserve"> have </w:t>
      </w:r>
      <w:r w:rsidR="00C46DAC" w:rsidRPr="00C46DAC">
        <w:t>also include</w:t>
      </w:r>
      <w:r>
        <w:t>d</w:t>
      </w:r>
      <w:r w:rsidR="00C46DAC" w:rsidRPr="00C46DAC">
        <w:t xml:space="preserve"> available information on the implementation of decisions made at COP 9 in 2019</w:t>
      </w:r>
      <w:r>
        <w:t>,</w:t>
      </w:r>
      <w:r w:rsidR="008142F4">
        <w:t xml:space="preserve"> </w:t>
      </w:r>
      <w:r w:rsidR="00486EC5">
        <w:t xml:space="preserve">namely </w:t>
      </w:r>
      <w:r w:rsidR="00D561B5">
        <w:t xml:space="preserve">the addition of </w:t>
      </w:r>
      <w:proofErr w:type="spellStart"/>
      <w:r w:rsidR="009C0210">
        <w:t>p</w:t>
      </w:r>
      <w:r w:rsidRPr="00C45D09">
        <w:t>erflourooctanoic</w:t>
      </w:r>
      <w:proofErr w:type="spellEnd"/>
      <w:r w:rsidRPr="00C45D09">
        <w:t xml:space="preserve"> acid (</w:t>
      </w:r>
      <w:r w:rsidR="00076A69">
        <w:t>PFOA</w:t>
      </w:r>
      <w:r w:rsidRPr="00C45D09">
        <w:t>) its salts and PFOA related compounds</w:t>
      </w:r>
      <w:r w:rsidR="009C0210">
        <w:t>,</w:t>
      </w:r>
      <w:r w:rsidR="00486EC5">
        <w:t xml:space="preserve"> and dicofol</w:t>
      </w:r>
      <w:r w:rsidR="009C0210">
        <w:t>,</w:t>
      </w:r>
      <w:r w:rsidR="00486EC5">
        <w:t xml:space="preserve"> to Annex A</w:t>
      </w:r>
      <w:r w:rsidR="00D561B5">
        <w:t>.</w:t>
      </w:r>
      <w:r w:rsidR="00486EC5">
        <w:t xml:space="preserve"> A further update on these substances will be provided </w:t>
      </w:r>
      <w:r w:rsidR="00CE03DB">
        <w:t>in the next NIP update.</w:t>
      </w:r>
      <w:r w:rsidR="00076A69">
        <w:t xml:space="preserve"> </w:t>
      </w:r>
    </w:p>
    <w:p w14:paraId="017093EC" w14:textId="59164AB4" w:rsidR="0043739A" w:rsidRDefault="008046B1" w:rsidP="0ACF7FF0">
      <w:r>
        <w:t xml:space="preserve">Good progress has been made </w:t>
      </w:r>
      <w:r w:rsidR="005E0BF6">
        <w:t xml:space="preserve">on these and older POPs </w:t>
      </w:r>
      <w:r>
        <w:t xml:space="preserve">since our last update in 2017. </w:t>
      </w:r>
      <w:r w:rsidR="00292966">
        <w:t xml:space="preserve">All </w:t>
      </w:r>
      <w:r w:rsidR="00C660A2">
        <w:t xml:space="preserve">Stockholm Convention </w:t>
      </w:r>
      <w:r w:rsidR="00AF0E86">
        <w:t xml:space="preserve">decisions </w:t>
      </w:r>
      <w:r w:rsidR="00C660A2">
        <w:t>to date have been included in domestic legislation.</w:t>
      </w:r>
      <w:r w:rsidR="00C660A2" w:rsidDel="003A54A0">
        <w:t xml:space="preserve"> </w:t>
      </w:r>
      <w:r w:rsidRPr="008046B1">
        <w:t xml:space="preserve">Our multi-media </w:t>
      </w:r>
      <w:r w:rsidR="00835EF5">
        <w:t>emissions</w:t>
      </w:r>
      <w:r w:rsidRPr="008046B1">
        <w:t xml:space="preserve"> inventory (MMEI), which was developed in 2007</w:t>
      </w:r>
      <w:r w:rsidR="005E0BF6">
        <w:t>,</w:t>
      </w:r>
      <w:r w:rsidRPr="008046B1">
        <w:t xml:space="preserve"> continues to be added to and improved, providing us with valuable long-term trend data</w:t>
      </w:r>
      <w:r w:rsidR="00835EF5">
        <w:t xml:space="preserve"> for </w:t>
      </w:r>
      <w:proofErr w:type="gramStart"/>
      <w:r w:rsidR="00835EF5">
        <w:t>a number of</w:t>
      </w:r>
      <w:proofErr w:type="gramEnd"/>
      <w:r w:rsidR="00835EF5">
        <w:t xml:space="preserve"> </w:t>
      </w:r>
      <w:r w:rsidR="009C0210">
        <w:t>POPs listed in</w:t>
      </w:r>
      <w:r w:rsidR="00835EF5">
        <w:t xml:space="preserve"> Annex C</w:t>
      </w:r>
      <w:r w:rsidR="009C0210">
        <w:t xml:space="preserve">, which are </w:t>
      </w:r>
      <w:r w:rsidR="00835EF5">
        <w:t>unintentionally produced</w:t>
      </w:r>
      <w:r w:rsidRPr="008046B1">
        <w:t xml:space="preserve">. </w:t>
      </w:r>
      <w:r w:rsidR="003A54A0">
        <w:t xml:space="preserve">These </w:t>
      </w:r>
      <w:r w:rsidR="00FA7107">
        <w:t>data</w:t>
      </w:r>
      <w:r w:rsidR="00FA7107" w:rsidDel="003A54A0">
        <w:t xml:space="preserve"> </w:t>
      </w:r>
      <w:r w:rsidR="003A54A0">
        <w:t xml:space="preserve">are </w:t>
      </w:r>
      <w:r w:rsidR="00FA7107">
        <w:t>showing that</w:t>
      </w:r>
      <w:r w:rsidR="0043739A" w:rsidRPr="00883369">
        <w:t xml:space="preserve"> estimates of emissions to air, land and water for all Stockholm Convention Annex C substances have declined significantly in the UK </w:t>
      </w:r>
      <w:r w:rsidR="00887D65">
        <w:t>since</w:t>
      </w:r>
      <w:r w:rsidR="0043739A" w:rsidRPr="00883369">
        <w:t xml:space="preserve"> 1990</w:t>
      </w:r>
      <w:r w:rsidR="00AF4410">
        <w:t>.</w:t>
      </w:r>
      <w:r w:rsidR="0043739A" w:rsidRPr="00883369">
        <w:t xml:space="preserve"> This is largely due to policy actions targeting major UK point sources.</w:t>
      </w:r>
      <w:r w:rsidR="00EF008B">
        <w:t xml:space="preserve"> </w:t>
      </w:r>
    </w:p>
    <w:p w14:paraId="075480D7" w14:textId="5DB65F02" w:rsidR="00A96ACF" w:rsidRPr="00A96ACF" w:rsidRDefault="001250BB" w:rsidP="00A96ACF">
      <w:r>
        <w:t>This update also reports on the outcomes and progress in delivering on commitments made in the 2017 NIP update</w:t>
      </w:r>
      <w:r w:rsidR="0047292A">
        <w:t xml:space="preserve">. These </w:t>
      </w:r>
      <w:r w:rsidR="00E72CBD">
        <w:t>have mostly been completed, with a few</w:t>
      </w:r>
      <w:r w:rsidR="00882AB7">
        <w:t>,</w:t>
      </w:r>
      <w:r w:rsidR="00E72CBD">
        <w:t xml:space="preserve"> subject to ongoing action.</w:t>
      </w:r>
      <w:r w:rsidDel="00E72CBD">
        <w:t xml:space="preserve"> </w:t>
      </w:r>
      <w:r w:rsidR="00430E01">
        <w:t>F</w:t>
      </w:r>
      <w:r>
        <w:t>urther action</w:t>
      </w:r>
      <w:r w:rsidR="00430E01">
        <w:t>s</w:t>
      </w:r>
      <w:r>
        <w:t xml:space="preserve"> planned</w:t>
      </w:r>
      <w:r w:rsidR="00430E01">
        <w:t xml:space="preserve"> for next few years are set out below and </w:t>
      </w:r>
      <w:r>
        <w:t xml:space="preserve">summarised in Annex III. </w:t>
      </w:r>
      <w:r w:rsidR="00A96ACF" w:rsidRPr="00A96ACF">
        <w:t xml:space="preserve">Since the last UK NIP </w:t>
      </w:r>
      <w:r w:rsidR="003A54A0">
        <w:t xml:space="preserve">update </w:t>
      </w:r>
      <w:r w:rsidR="00A96ACF" w:rsidRPr="00A96ACF">
        <w:t xml:space="preserve">was prepared, </w:t>
      </w:r>
      <w:r w:rsidR="005C2234">
        <w:t xml:space="preserve">England, </w:t>
      </w:r>
      <w:r w:rsidR="009C0210">
        <w:t>W</w:t>
      </w:r>
      <w:r w:rsidR="005C2234">
        <w:t>ales and Scotland have</w:t>
      </w:r>
      <w:r w:rsidR="00A96ACF" w:rsidRPr="00A96ACF">
        <w:t xml:space="preserve"> published </w:t>
      </w:r>
      <w:r w:rsidR="00646A41">
        <w:t>e</w:t>
      </w:r>
      <w:r w:rsidR="00A96ACF" w:rsidRPr="00A96ACF">
        <w:t xml:space="preserve">nvironment </w:t>
      </w:r>
      <w:r w:rsidR="00646A41">
        <w:t>s</w:t>
      </w:r>
      <w:r w:rsidR="00165230">
        <w:t>trateg</w:t>
      </w:r>
      <w:r w:rsidR="005C2234">
        <w:t>ies</w:t>
      </w:r>
      <w:r w:rsidR="00165230">
        <w:t xml:space="preserve"> and Northern Ireland </w:t>
      </w:r>
      <w:r w:rsidR="005C1F5D">
        <w:t xml:space="preserve">is currently developing </w:t>
      </w:r>
      <w:r w:rsidR="00646A41">
        <w:t>its</w:t>
      </w:r>
      <w:r w:rsidR="005C1F5D">
        <w:t xml:space="preserve"> environment strategy. </w:t>
      </w:r>
      <w:r w:rsidR="00BB39DF">
        <w:t xml:space="preserve">These, coupled with </w:t>
      </w:r>
      <w:r w:rsidR="000B2B6A">
        <w:t xml:space="preserve">national </w:t>
      </w:r>
      <w:r w:rsidR="00BB39DF">
        <w:t>clean air strategies,</w:t>
      </w:r>
      <w:r w:rsidR="00006DCA">
        <w:t xml:space="preserve"> </w:t>
      </w:r>
      <w:r w:rsidR="00FF72A3">
        <w:lastRenderedPageBreak/>
        <w:t>include a focus</w:t>
      </w:r>
      <w:r w:rsidR="00006DCA">
        <w:t xml:space="preserve"> for</w:t>
      </w:r>
      <w:r w:rsidR="00080D7F">
        <w:t xml:space="preserve"> </w:t>
      </w:r>
      <w:r w:rsidR="00CD2C1A">
        <w:t>action</w:t>
      </w:r>
      <w:r w:rsidR="00BB39DF">
        <w:t xml:space="preserve"> </w:t>
      </w:r>
      <w:r w:rsidR="005F5DDD">
        <w:t xml:space="preserve">on environmental </w:t>
      </w:r>
      <w:r w:rsidR="00FA1475">
        <w:t xml:space="preserve">chemical </w:t>
      </w:r>
      <w:r w:rsidR="005F5DDD">
        <w:t>pollution</w:t>
      </w:r>
      <w:r w:rsidR="009B4265">
        <w:t xml:space="preserve">. </w:t>
      </w:r>
      <w:r w:rsidR="008F6057">
        <w:t>T</w:t>
      </w:r>
      <w:r w:rsidR="00A96ACF" w:rsidRPr="00A96ACF">
        <w:t>he</w:t>
      </w:r>
      <w:r w:rsidR="009B4265">
        <w:t>y</w:t>
      </w:r>
      <w:r w:rsidR="00A96ACF" w:rsidRPr="00A96ACF">
        <w:t xml:space="preserve"> set goals for managing exposure to </w:t>
      </w:r>
      <w:r w:rsidR="00421270">
        <w:t>harmful</w:t>
      </w:r>
      <w:r w:rsidR="00A96ACF" w:rsidRPr="00A96ACF">
        <w:t xml:space="preserve"> chemicals </w:t>
      </w:r>
      <w:r w:rsidR="001B7D39">
        <w:t>and</w:t>
      </w:r>
      <w:r w:rsidR="008142F4">
        <w:t xml:space="preserve"> </w:t>
      </w:r>
      <w:r w:rsidR="00A96ACF" w:rsidRPr="00A96ACF">
        <w:t>provide additional driver</w:t>
      </w:r>
      <w:r w:rsidR="009B4265">
        <w:t>s</w:t>
      </w:r>
      <w:r w:rsidR="00A96ACF" w:rsidRPr="00A96ACF">
        <w:t xml:space="preserve"> for our work to reduce the impact of POPs on the environment.          </w:t>
      </w:r>
    </w:p>
    <w:p w14:paraId="353B6290" w14:textId="77777777" w:rsidR="00123E31" w:rsidRPr="00123E31" w:rsidRDefault="00123E31" w:rsidP="00123E31">
      <w:r w:rsidRPr="00123E31">
        <w:t>This updated UK NIP has been developed by the Department for Environment, Food and Rural Affairs (Defra) in agreement with the Scottish Government, the Welsh Government, the Department of Agriculture, Environment and Rural Affairs (DAERA), Northern Ireland and other relevant Government Departments and Agencies.</w:t>
      </w:r>
    </w:p>
    <w:bookmarkEnd w:id="8"/>
    <w:bookmarkEnd w:id="9"/>
    <w:p w14:paraId="42D2B2D7" w14:textId="77777777" w:rsidR="00351A31" w:rsidRDefault="00351A31">
      <w:pPr>
        <w:spacing w:before="0" w:after="0" w:line="240" w:lineRule="auto"/>
        <w:rPr>
          <w:rFonts w:eastAsia="Times New Roman"/>
          <w:b/>
          <w:bCs/>
          <w:color w:val="008938"/>
          <w:sz w:val="44"/>
          <w:szCs w:val="28"/>
        </w:rPr>
      </w:pPr>
      <w:r>
        <w:br w:type="page"/>
      </w:r>
    </w:p>
    <w:p w14:paraId="29411896" w14:textId="49D671A5" w:rsidR="00AC731C" w:rsidRDefault="00AC731C" w:rsidP="00AC731C">
      <w:pPr>
        <w:pStyle w:val="Heading1"/>
      </w:pPr>
      <w:bookmarkStart w:id="10" w:name="_Toc67030055"/>
      <w:r>
        <w:lastRenderedPageBreak/>
        <w:t>Introduction</w:t>
      </w:r>
      <w:bookmarkEnd w:id="10"/>
    </w:p>
    <w:p w14:paraId="23014125" w14:textId="3B76F014" w:rsidR="00AC731C" w:rsidRDefault="00AC731C" w:rsidP="00EB778D">
      <w:pPr>
        <w:pStyle w:val="Heading2"/>
      </w:pPr>
      <w:bookmarkStart w:id="11" w:name="_Toc67030056"/>
      <w:r>
        <w:t>What are Persistent Organic Pollutants?</w:t>
      </w:r>
      <w:bookmarkEnd w:id="11"/>
    </w:p>
    <w:p w14:paraId="56CC82D0" w14:textId="13EA2320" w:rsidR="00AC731C" w:rsidRPr="00A971D2" w:rsidRDefault="00AC731C" w:rsidP="00AC731C">
      <w:r w:rsidRPr="00A971D2">
        <w:t>Persistent Organic Pollutants (POPs) are organic</w:t>
      </w:r>
      <w:r>
        <w:rPr>
          <w:rStyle w:val="FootnoteReference"/>
          <w:b/>
          <w:bCs/>
          <w:sz w:val="22"/>
        </w:rPr>
        <w:footnoteReference w:id="2"/>
      </w:r>
      <w:r w:rsidRPr="00A971D2">
        <w:t xml:space="preserve"> chemical substances that have been identified as meeting the four criteria set out </w:t>
      </w:r>
      <w:r w:rsidR="2CD3A00C" w:rsidRPr="00A971D2">
        <w:t>in</w:t>
      </w:r>
      <w:r w:rsidRPr="00A971D2">
        <w:t xml:space="preserve"> the Stockholm Convention, namely that th</w:t>
      </w:r>
      <w:r>
        <w:t>e</w:t>
      </w:r>
      <w:r w:rsidRPr="00A971D2">
        <w:t>y:</w:t>
      </w:r>
    </w:p>
    <w:p w14:paraId="7EC33967" w14:textId="24B5FE20" w:rsidR="00AC731C" w:rsidRPr="00A971D2" w:rsidRDefault="12940109" w:rsidP="00586953">
      <w:pPr>
        <w:pStyle w:val="ListParagraph"/>
        <w:numPr>
          <w:ilvl w:val="0"/>
          <w:numId w:val="10"/>
        </w:numPr>
      </w:pPr>
      <w:r>
        <w:t xml:space="preserve">Are </w:t>
      </w:r>
      <w:r w:rsidRPr="0ACF7FF0">
        <w:rPr>
          <w:b/>
          <w:bCs/>
        </w:rPr>
        <w:t>p</w:t>
      </w:r>
      <w:r w:rsidR="00AC731C" w:rsidRPr="0ACF7FF0">
        <w:rPr>
          <w:b/>
          <w:bCs/>
        </w:rPr>
        <w:t>ersistent</w:t>
      </w:r>
      <w:r w:rsidR="00AC731C" w:rsidRPr="00A971D2">
        <w:t xml:space="preserve"> – they do not </w:t>
      </w:r>
      <w:r w:rsidR="3F8358B8">
        <w:t xml:space="preserve">readily </w:t>
      </w:r>
      <w:r w:rsidR="00AC731C" w:rsidRPr="00A971D2">
        <w:t>break down</w:t>
      </w:r>
      <w:r w:rsidR="15C02FAE">
        <w:t>, so</w:t>
      </w:r>
      <w:r w:rsidR="62515A82">
        <w:t xml:space="preserve"> </w:t>
      </w:r>
      <w:r w:rsidR="00AC731C">
        <w:t xml:space="preserve">remain </w:t>
      </w:r>
      <w:r w:rsidR="00AC731C" w:rsidRPr="00A971D2">
        <w:t>in the environment</w:t>
      </w:r>
      <w:r w:rsidR="00AC731C">
        <w:t xml:space="preserve"> for long periods</w:t>
      </w:r>
      <w:r w:rsidR="003A54A0">
        <w:t xml:space="preserve"> of time</w:t>
      </w:r>
      <w:r w:rsidR="00AC731C" w:rsidRPr="00A971D2">
        <w:t xml:space="preserve"> </w:t>
      </w:r>
    </w:p>
    <w:p w14:paraId="227E2E70" w14:textId="0755C13E" w:rsidR="00AC731C" w:rsidRPr="00A971D2" w:rsidRDefault="00AC731C" w:rsidP="001A5709">
      <w:pPr>
        <w:pStyle w:val="ListParagraph"/>
        <w:numPr>
          <w:ilvl w:val="0"/>
          <w:numId w:val="10"/>
        </w:numPr>
      </w:pPr>
      <w:r w:rsidRPr="0ACF7FF0">
        <w:rPr>
          <w:b/>
        </w:rPr>
        <w:t>Bioaccumulate</w:t>
      </w:r>
      <w:r>
        <w:t xml:space="preserve"> </w:t>
      </w:r>
      <w:r w:rsidR="4A5C56CE">
        <w:t xml:space="preserve">– </w:t>
      </w:r>
      <w:r w:rsidR="63DA3E2A">
        <w:t xml:space="preserve">they </w:t>
      </w:r>
      <w:r w:rsidR="4A5C56CE">
        <w:t>build up</w:t>
      </w:r>
      <w:r>
        <w:t xml:space="preserve"> in the tissue of humans and wildlife </w:t>
      </w:r>
    </w:p>
    <w:p w14:paraId="6797A021" w14:textId="720E8B1B" w:rsidR="00AC731C" w:rsidRPr="006B7F3B" w:rsidRDefault="3C658ACF" w:rsidP="001A5709">
      <w:pPr>
        <w:pStyle w:val="ListParagraph"/>
        <w:numPr>
          <w:ilvl w:val="0"/>
          <w:numId w:val="10"/>
        </w:numPr>
      </w:pPr>
      <w:r>
        <w:t xml:space="preserve">Cause </w:t>
      </w:r>
      <w:r w:rsidRPr="0ACF7FF0">
        <w:rPr>
          <w:b/>
          <w:bCs/>
        </w:rPr>
        <w:t>a</w:t>
      </w:r>
      <w:r w:rsidR="00AC731C" w:rsidRPr="0ACF7FF0">
        <w:rPr>
          <w:b/>
          <w:bCs/>
        </w:rPr>
        <w:t>dverse</w:t>
      </w:r>
      <w:r w:rsidR="00AC731C" w:rsidRPr="0ACF7FF0">
        <w:rPr>
          <w:b/>
        </w:rPr>
        <w:t xml:space="preserve"> effects</w:t>
      </w:r>
      <w:r w:rsidR="00AC731C">
        <w:t xml:space="preserve"> – </w:t>
      </w:r>
      <w:r w:rsidR="054A559B">
        <w:t xml:space="preserve">they </w:t>
      </w:r>
      <w:r w:rsidR="00AC731C">
        <w:t>have harmful impacts on human health or on the environment</w:t>
      </w:r>
    </w:p>
    <w:p w14:paraId="219A1AE6" w14:textId="25D65FB5" w:rsidR="7609BD5C" w:rsidRDefault="7609BD5C" w:rsidP="001A5709">
      <w:pPr>
        <w:pStyle w:val="ListParagraph"/>
        <w:numPr>
          <w:ilvl w:val="0"/>
          <w:numId w:val="10"/>
        </w:numPr>
        <w:rPr>
          <w:rFonts w:cs="Arial"/>
        </w:rPr>
      </w:pPr>
      <w:r>
        <w:t xml:space="preserve">Are subject to </w:t>
      </w:r>
      <w:r w:rsidRPr="0ACF7FF0">
        <w:rPr>
          <w:b/>
          <w:bCs/>
        </w:rPr>
        <w:t>long-range environmental transport</w:t>
      </w:r>
      <w:r>
        <w:t xml:space="preserve"> – </w:t>
      </w:r>
      <w:r w:rsidR="68C3F82A">
        <w:t xml:space="preserve">they </w:t>
      </w:r>
      <w:r>
        <w:t>become widely distributed geographically</w:t>
      </w:r>
      <w:r w:rsidR="187D95A9">
        <w:t>, being found far</w:t>
      </w:r>
      <w:r>
        <w:t xml:space="preserve"> </w:t>
      </w:r>
      <w:r w:rsidR="60310DC1">
        <w:t>from</w:t>
      </w:r>
      <w:r>
        <w:t xml:space="preserve"> where </w:t>
      </w:r>
      <w:r w:rsidR="5ACBAB43">
        <w:t xml:space="preserve">they were </w:t>
      </w:r>
      <w:r>
        <w:t>used or produced</w:t>
      </w:r>
    </w:p>
    <w:p w14:paraId="1D0E8ED9" w14:textId="27B26028" w:rsidR="00AC731C" w:rsidRDefault="11A9595C" w:rsidP="00AC731C">
      <w:r>
        <w:t xml:space="preserve">POPs have been identified as priority substances for many years and the international community has called for actions to reduce and eliminate their production, use and release. </w:t>
      </w:r>
    </w:p>
    <w:p w14:paraId="41453CAF" w14:textId="1B737D9B" w:rsidR="00AC731C" w:rsidRDefault="11A9595C" w:rsidP="00AC731C">
      <w:r>
        <w:t xml:space="preserve">There are currently 30 POPs listed in the Convention. These fall into three broad categories: pesticides, industrial chemicals and unintentional by-products of combustion and some industrial and non-industrial processes. </w:t>
      </w:r>
      <w:r w:rsidR="00AC731C">
        <w:t>See A</w:t>
      </w:r>
      <w:r w:rsidR="4C3AF466">
        <w:t>nnex I</w:t>
      </w:r>
      <w:r w:rsidR="00600049">
        <w:t>I</w:t>
      </w:r>
      <w:r w:rsidR="00AC731C">
        <w:t xml:space="preserve"> for the </w:t>
      </w:r>
      <w:r w:rsidR="3C48C957">
        <w:t>full</w:t>
      </w:r>
      <w:r w:rsidR="00AC731C">
        <w:t xml:space="preserve"> list of POP substances </w:t>
      </w:r>
      <w:r w:rsidR="61D78378">
        <w:t>listed</w:t>
      </w:r>
      <w:r w:rsidR="00AC731C">
        <w:t xml:space="preserve"> </w:t>
      </w:r>
      <w:r w:rsidR="496065E8">
        <w:t>under</w:t>
      </w:r>
      <w:r w:rsidR="00AC731C">
        <w:t xml:space="preserve"> the </w:t>
      </w:r>
      <w:r w:rsidR="496065E8">
        <w:t>Convention</w:t>
      </w:r>
      <w:r w:rsidR="00AC731C">
        <w:t xml:space="preserve">.   </w:t>
      </w:r>
    </w:p>
    <w:p w14:paraId="1835E5C9" w14:textId="42AFEA66" w:rsidR="00AC731C" w:rsidRDefault="00AC731C" w:rsidP="00EB778D">
      <w:pPr>
        <w:pStyle w:val="Heading2"/>
      </w:pPr>
      <w:bookmarkStart w:id="12" w:name="_Toc67030057"/>
      <w:r>
        <w:t>Provisions of the Stockholm Convention</w:t>
      </w:r>
      <w:bookmarkEnd w:id="12"/>
    </w:p>
    <w:p w14:paraId="2ECE20F8" w14:textId="7960D6B0" w:rsidR="00743444" w:rsidRDefault="006F5149" w:rsidP="00743444">
      <w:r>
        <w:t xml:space="preserve">The Stockholm Convention </w:t>
      </w:r>
      <w:r w:rsidR="620FFA9D">
        <w:t xml:space="preserve">on Persistent Organic Pollutants entered into force on 17 May 2004. The Convention’s objective is to protect human health and the environment from these chemicals which have a long-term, cumulative adverse impact on human and </w:t>
      </w:r>
      <w:r w:rsidR="00BF05A2">
        <w:t xml:space="preserve">wildlife </w:t>
      </w:r>
      <w:r w:rsidR="620FFA9D">
        <w:t xml:space="preserve">health. </w:t>
      </w:r>
      <w:r w:rsidR="001179FD">
        <w:t>It</w:t>
      </w:r>
      <w:r w:rsidR="00743444">
        <w:t xml:space="preserve"> establishes a strong international framework for promoting global action on POPs, which are divided into three groups according to their mechanism of production and level of restriction.</w:t>
      </w:r>
    </w:p>
    <w:p w14:paraId="3616DB91" w14:textId="42A726E5" w:rsidR="00743444" w:rsidRDefault="00743444" w:rsidP="00743444">
      <w:r>
        <w:t xml:space="preserve">The POPs listed in Annex A and Annex B of the Convention are subject to measures to reduce or eliminate releases from international production and use. </w:t>
      </w:r>
      <w:r w:rsidR="005B1BFA">
        <w:t>Time limited e</w:t>
      </w:r>
      <w:r>
        <w:t xml:space="preserve">xemptions are available in some specific cases and some uses remain acceptable. </w:t>
      </w:r>
    </w:p>
    <w:p w14:paraId="7186B953" w14:textId="5994487E" w:rsidR="00743444" w:rsidRDefault="00743444" w:rsidP="00743444">
      <w:r>
        <w:lastRenderedPageBreak/>
        <w:t xml:space="preserve">The POPs listed </w:t>
      </w:r>
      <w:r w:rsidR="009C0210">
        <w:t>i</w:t>
      </w:r>
      <w:r>
        <w:t>n Annex C of the Convention are unintentionally produced and parties are required to take measures to reduce their release with the goal</w:t>
      </w:r>
      <w:r w:rsidR="009C0210">
        <w:t xml:space="preserve"> of ultimate elimination, where feasible</w:t>
      </w:r>
      <w:r>
        <w:t>. The main tool for this is the development of source inventories and release estimates as well as plans for release reductions. The use of Best Available Techniques (BAT) to limit releases of unintentionally produced POPs from the major sources, as categorised in the Convention, is also required.</w:t>
      </w:r>
    </w:p>
    <w:p w14:paraId="46BC0EC3" w14:textId="77777777" w:rsidR="00743444" w:rsidRDefault="00743444" w:rsidP="00743444">
      <w:r>
        <w:t>There are special provisions for those Parties with regulatory assessment schemes to both review existing chemicals for POP characteristics and to take regulatory measures to prevent the development, production and marketing of new substances with POP characteristics.</w:t>
      </w:r>
    </w:p>
    <w:p w14:paraId="1A9380C5" w14:textId="15CA867B" w:rsidR="00743444" w:rsidRDefault="00743444" w:rsidP="00743444">
      <w:r>
        <w:t>The Convention also makes provision for the identification and safe management of stockpiles containing or consisting of POPs. Waste containing, consisting of or contaminated with</w:t>
      </w:r>
      <w:r w:rsidR="00F10492">
        <w:t>,</w:t>
      </w:r>
      <w:r>
        <w:t xml:space="preserve"> POPs should be disposed of in such a way that the POP content is destroyed or irreversibly transformed.</w:t>
      </w:r>
      <w:r w:rsidR="00A001D4">
        <w:t xml:space="preserve"> </w:t>
      </w:r>
      <w:r>
        <w:t>Where this does not represent the environmentally preferable option or where the POP content is low, waste shall be otherwise disposed of in an environmentally sound manner. Disposal operations that may lead to the recovery or re-use of POPs are forbidden.</w:t>
      </w:r>
    </w:p>
    <w:p w14:paraId="5CE4F65F" w14:textId="47D09EB4" w:rsidR="00AC731C" w:rsidRDefault="006F5149" w:rsidP="00EB778D">
      <w:pPr>
        <w:pStyle w:val="Heading2"/>
      </w:pPr>
      <w:bookmarkStart w:id="13" w:name="_Toc67030058"/>
      <w:r>
        <w:t>Purpose of th</w:t>
      </w:r>
      <w:r w:rsidR="00883369">
        <w:t xml:space="preserve">is </w:t>
      </w:r>
      <w:r w:rsidR="64CD38F6">
        <w:t xml:space="preserve">2021 </w:t>
      </w:r>
      <w:r w:rsidR="00883369">
        <w:t xml:space="preserve">update to </w:t>
      </w:r>
      <w:r>
        <w:t>the UK National Implementation Plan</w:t>
      </w:r>
      <w:bookmarkEnd w:id="13"/>
    </w:p>
    <w:p w14:paraId="172B7892" w14:textId="732B66A0" w:rsidR="003F6C6D" w:rsidRDefault="2C8F11CB" w:rsidP="003F6C6D">
      <w:r>
        <w:t xml:space="preserve">All </w:t>
      </w:r>
      <w:r w:rsidR="003F6C6D">
        <w:t xml:space="preserve">Parties to the </w:t>
      </w:r>
      <w:r w:rsidR="1AC7D096">
        <w:t>Stockholm</w:t>
      </w:r>
      <w:r w:rsidR="003F6C6D">
        <w:t xml:space="preserve"> Convention are required to develop and endeavour to put into practice</w:t>
      </w:r>
      <w:r w:rsidR="00104022">
        <w:t>,</w:t>
      </w:r>
      <w:r w:rsidR="003F6C6D">
        <w:t xml:space="preserve"> a National Implementation Plan (NIP) setting out how they will implement their obligations under the Convention</w:t>
      </w:r>
      <w:r w:rsidR="00104022">
        <w:t>, within two years of the Convention’s entry into force.</w:t>
      </w:r>
      <w:r w:rsidR="003F6C6D">
        <w:t xml:space="preserve"> The UK ratified the Stockholm Convention on 17 April 2005 and submitted its initial NIP in 2007. </w:t>
      </w:r>
    </w:p>
    <w:p w14:paraId="00EBF8AB" w14:textId="11334F0E" w:rsidR="003F6C6D" w:rsidRDefault="5C9C5F05" w:rsidP="003F6C6D">
      <w:r>
        <w:t>The</w:t>
      </w:r>
      <w:r w:rsidR="003F6C6D">
        <w:t xml:space="preserve"> Stockholm Convention </w:t>
      </w:r>
      <w:r w:rsidR="2EA88B21">
        <w:t xml:space="preserve">is dynamic and </w:t>
      </w:r>
      <w:r w:rsidR="003F6C6D">
        <w:t xml:space="preserve">there is a requirement to periodically update the NIP in response to </w:t>
      </w:r>
      <w:r w:rsidR="4366B83F">
        <w:t>new decisions</w:t>
      </w:r>
      <w:r w:rsidR="003F6C6D">
        <w:t>, s</w:t>
      </w:r>
      <w:r w:rsidR="1A0B5E76">
        <w:t>uch as the listing</w:t>
      </w:r>
      <w:r w:rsidR="003F6C6D">
        <w:t xml:space="preserve"> of </w:t>
      </w:r>
      <w:r w:rsidR="4E9E62A8">
        <w:t>new substances as</w:t>
      </w:r>
      <w:r w:rsidR="003F6C6D">
        <w:t xml:space="preserve"> POPs. Parties are expected to update their NIPs within two years of any changes to the Convention coming into force</w:t>
      </w:r>
      <w:r w:rsidR="00BE752E">
        <w:t xml:space="preserve"> (normally </w:t>
      </w:r>
      <w:r w:rsidR="00E77B67">
        <w:t>18 months after the decision is taken)</w:t>
      </w:r>
      <w:r w:rsidR="003F6C6D">
        <w:t>.</w:t>
      </w:r>
    </w:p>
    <w:p w14:paraId="57EEA67C" w14:textId="5773E515" w:rsidR="00883369" w:rsidRDefault="002924E8" w:rsidP="00883369">
      <w:r>
        <w:t>The</w:t>
      </w:r>
      <w:r w:rsidR="00883369" w:rsidRPr="00E60F19">
        <w:t xml:space="preserve"> 2007 </w:t>
      </w:r>
      <w:r w:rsidR="58CE828B">
        <w:t>NIP</w:t>
      </w:r>
      <w:r w:rsidR="00883369" w:rsidRPr="00E60F19">
        <w:t xml:space="preserve"> </w:t>
      </w:r>
      <w:r>
        <w:t>was updated</w:t>
      </w:r>
      <w:r w:rsidRPr="00E60F19">
        <w:t xml:space="preserve"> </w:t>
      </w:r>
      <w:r w:rsidR="00883369" w:rsidRPr="00E60F19">
        <w:t>in 2013 and 2017</w:t>
      </w:r>
      <w:r w:rsidR="00883369">
        <w:t xml:space="preserve"> to reflect decisions made at earlier COPs</w:t>
      </w:r>
      <w:r w:rsidR="00883369" w:rsidRPr="00E60F19">
        <w:t xml:space="preserve">. </w:t>
      </w:r>
    </w:p>
    <w:p w14:paraId="7975D396" w14:textId="77777777" w:rsidR="00883369" w:rsidRDefault="00883369" w:rsidP="00883369">
      <w:r w:rsidRPr="00E60F19">
        <w:t>This</w:t>
      </w:r>
      <w:r>
        <w:t xml:space="preserve"> update:</w:t>
      </w:r>
    </w:p>
    <w:p w14:paraId="38431AF4" w14:textId="2DE7D8DC" w:rsidR="00883369" w:rsidRDefault="35438557" w:rsidP="00586953">
      <w:pPr>
        <w:pStyle w:val="ListParagraph"/>
        <w:numPr>
          <w:ilvl w:val="0"/>
          <w:numId w:val="15"/>
        </w:numPr>
      </w:pPr>
      <w:r>
        <w:t>Describes</w:t>
      </w:r>
      <w:r w:rsidR="00883369" w:rsidRPr="00E60F19">
        <w:t xml:space="preserve"> the </w:t>
      </w:r>
      <w:r>
        <w:t>steps taken</w:t>
      </w:r>
      <w:r w:rsidR="00883369" w:rsidRPr="00E60F19">
        <w:t xml:space="preserve"> in the UK </w:t>
      </w:r>
      <w:r w:rsidR="2D27ED3C">
        <w:t>to implement</w:t>
      </w:r>
      <w:r w:rsidR="00883369">
        <w:t xml:space="preserve"> decisions </w:t>
      </w:r>
      <w:r w:rsidR="2D27ED3C">
        <w:t>taken in 2017 (</w:t>
      </w:r>
      <w:r w:rsidR="7FDBB8FE">
        <w:t>COP</w:t>
      </w:r>
      <w:r w:rsidR="009C0210">
        <w:t xml:space="preserve"> </w:t>
      </w:r>
      <w:r w:rsidR="7FDBB8FE">
        <w:t>8</w:t>
      </w:r>
      <w:r w:rsidR="2D27ED3C">
        <w:t>) to list</w:t>
      </w:r>
      <w:r w:rsidR="00883369">
        <w:t xml:space="preserve"> </w:t>
      </w:r>
      <w:proofErr w:type="spellStart"/>
      <w:r w:rsidR="00883369">
        <w:t>decabromodiphenyl</w:t>
      </w:r>
      <w:proofErr w:type="spellEnd"/>
      <w:r w:rsidR="00883369">
        <w:t xml:space="preserve"> ether (</w:t>
      </w:r>
      <w:proofErr w:type="spellStart"/>
      <w:r w:rsidR="00883369">
        <w:t>decaBDE</w:t>
      </w:r>
      <w:proofErr w:type="spellEnd"/>
      <w:r w:rsidR="00883369">
        <w:t>)</w:t>
      </w:r>
      <w:r w:rsidR="009C0210">
        <w:t xml:space="preserve"> and</w:t>
      </w:r>
      <w:r w:rsidR="00883369">
        <w:t xml:space="preserve"> short chained chlorinated paraffins (SCCPs)</w:t>
      </w:r>
      <w:r w:rsidR="712A8512">
        <w:t xml:space="preserve"> </w:t>
      </w:r>
      <w:r w:rsidR="00E81FE9">
        <w:t xml:space="preserve">in </w:t>
      </w:r>
      <w:r w:rsidR="000534A3">
        <w:t>A</w:t>
      </w:r>
      <w:r w:rsidR="00E81FE9">
        <w:t xml:space="preserve">nnex A </w:t>
      </w:r>
      <w:r w:rsidR="712A8512">
        <w:t>and hexachlorobutadiene (HCBD)</w:t>
      </w:r>
      <w:r w:rsidR="00F20F8C">
        <w:t xml:space="preserve"> in Annex C</w:t>
      </w:r>
      <w:r w:rsidR="00E81FE9">
        <w:t>.</w:t>
      </w:r>
      <w:r w:rsidR="00883369">
        <w:t xml:space="preserve"> </w:t>
      </w:r>
    </w:p>
    <w:p w14:paraId="192439F7" w14:textId="458159DC" w:rsidR="5DB96C98" w:rsidRDefault="5DB96C98" w:rsidP="001A5709">
      <w:pPr>
        <w:pStyle w:val="ListParagraph"/>
        <w:numPr>
          <w:ilvl w:val="0"/>
          <w:numId w:val="15"/>
        </w:numPr>
      </w:pPr>
      <w:r>
        <w:t>Describes the steps taken, to date, to implement decisions taken in 2019 (COP</w:t>
      </w:r>
      <w:r w:rsidR="00494660">
        <w:t xml:space="preserve"> </w:t>
      </w:r>
      <w:r>
        <w:t xml:space="preserve">9) to list </w:t>
      </w:r>
      <w:r w:rsidR="0BFD5E11">
        <w:t xml:space="preserve">dicofol and </w:t>
      </w:r>
      <w:proofErr w:type="spellStart"/>
      <w:r w:rsidR="0BFD5E11">
        <w:t>perflourooctanoic</w:t>
      </w:r>
      <w:proofErr w:type="spellEnd"/>
      <w:r w:rsidR="0BFD5E11">
        <w:t xml:space="preserve"> acid (PFOA) its salts and PFOA related compounds</w:t>
      </w:r>
      <w:r w:rsidR="00E81FE9">
        <w:t>.</w:t>
      </w:r>
      <w:r w:rsidR="0BFD5E11">
        <w:t xml:space="preserve"> </w:t>
      </w:r>
    </w:p>
    <w:p w14:paraId="6B7A1157" w14:textId="6E47A7B8" w:rsidR="00883369" w:rsidRDefault="00883369" w:rsidP="001A5709">
      <w:pPr>
        <w:pStyle w:val="ListParagraph"/>
        <w:numPr>
          <w:ilvl w:val="0"/>
          <w:numId w:val="15"/>
        </w:numPr>
      </w:pPr>
      <w:r>
        <w:t xml:space="preserve">Provides an update on </w:t>
      </w:r>
      <w:r w:rsidR="0C6C26BB">
        <w:t>strategies and plans described in the 2017 NIP</w:t>
      </w:r>
      <w:r w:rsidR="3FBB0C12">
        <w:t xml:space="preserve"> and s</w:t>
      </w:r>
      <w:r w:rsidR="0C6C26BB">
        <w:t>ets out new strategies and plans</w:t>
      </w:r>
      <w:r w:rsidR="00060CDF">
        <w:t>.</w:t>
      </w:r>
    </w:p>
    <w:p w14:paraId="0839185B" w14:textId="4DFA2B77" w:rsidR="39D8A7D0" w:rsidRDefault="39D8A7D0" w:rsidP="001A5709">
      <w:pPr>
        <w:pStyle w:val="ListParagraph"/>
        <w:numPr>
          <w:ilvl w:val="0"/>
          <w:numId w:val="15"/>
        </w:numPr>
      </w:pPr>
      <w:r>
        <w:lastRenderedPageBreak/>
        <w:t>Summarises work done to update the UK POPs multimedia emissions inventory (MMEI)</w:t>
      </w:r>
      <w:r w:rsidR="00060CDF">
        <w:t>.</w:t>
      </w:r>
    </w:p>
    <w:p w14:paraId="35EE0413" w14:textId="24AB8A2F" w:rsidR="39D8A7D0" w:rsidRDefault="39D8A7D0" w:rsidP="001A5709">
      <w:pPr>
        <w:pStyle w:val="ListParagraph"/>
        <w:numPr>
          <w:ilvl w:val="0"/>
          <w:numId w:val="15"/>
        </w:numPr>
        <w:spacing w:before="0" w:after="0"/>
        <w:rPr>
          <w:rFonts w:cs="Arial"/>
          <w:szCs w:val="24"/>
        </w:rPr>
      </w:pPr>
      <w:r>
        <w:t>Updates on monitoring arrangements</w:t>
      </w:r>
      <w:r w:rsidR="00060CDF">
        <w:t>.</w:t>
      </w:r>
      <w:r>
        <w:t xml:space="preserve"> </w:t>
      </w:r>
    </w:p>
    <w:p w14:paraId="7FB2139F" w14:textId="73C03B6E" w:rsidR="00883369" w:rsidRDefault="39D8A7D0" w:rsidP="001A5709">
      <w:pPr>
        <w:pStyle w:val="ListParagraph"/>
        <w:numPr>
          <w:ilvl w:val="0"/>
          <w:numId w:val="15"/>
        </w:numPr>
      </w:pPr>
      <w:r>
        <w:t>P</w:t>
      </w:r>
      <w:r w:rsidR="00883369">
        <w:t xml:space="preserve">rovides a short update on progress to eliminate older POPs. </w:t>
      </w:r>
    </w:p>
    <w:p w14:paraId="6DA7BC89" w14:textId="01D03400" w:rsidR="00883369" w:rsidRDefault="00883369" w:rsidP="00883369">
      <w:r>
        <w:t xml:space="preserve">This update </w:t>
      </w:r>
      <w:r w:rsidR="7D053689">
        <w:t xml:space="preserve">is an addendum and </w:t>
      </w:r>
      <w:r>
        <w:t xml:space="preserve">should be read alongside the 2007, 2013 and </w:t>
      </w:r>
      <w:r w:rsidRPr="002924E8">
        <w:t>201</w:t>
      </w:r>
      <w:r w:rsidR="002924E8">
        <w:t>7</w:t>
      </w:r>
      <w:r>
        <w:t xml:space="preserve"> versions of the UK NIP, which remain relevant. </w:t>
      </w:r>
    </w:p>
    <w:p w14:paraId="5C5B9E76" w14:textId="231204B2" w:rsidR="00883369" w:rsidRPr="00910E73" w:rsidRDefault="00103349" w:rsidP="00883369">
      <w:pPr>
        <w:rPr>
          <w:b/>
        </w:rPr>
      </w:pPr>
      <w:r w:rsidRPr="00910E73">
        <w:rPr>
          <w:b/>
        </w:rPr>
        <w:t xml:space="preserve">Table </w:t>
      </w:r>
      <w:r w:rsidR="004D1E2F">
        <w:rPr>
          <w:b/>
        </w:rPr>
        <w:t>1</w:t>
      </w:r>
      <w:r w:rsidRPr="00910E73">
        <w:rPr>
          <w:b/>
        </w:rPr>
        <w:t xml:space="preserve"> </w:t>
      </w:r>
      <w:r w:rsidRPr="00910E73">
        <w:rPr>
          <w:b/>
          <w:bCs/>
        </w:rPr>
        <w:t>t</w:t>
      </w:r>
      <w:r w:rsidR="00883369" w:rsidRPr="00910E73">
        <w:rPr>
          <w:b/>
          <w:bCs/>
        </w:rPr>
        <w:t>he</w:t>
      </w:r>
      <w:r w:rsidR="00883369" w:rsidRPr="00910E73">
        <w:rPr>
          <w:b/>
        </w:rPr>
        <w:t xml:space="preserve"> POPs that were added to the list</w:t>
      </w:r>
      <w:r w:rsidR="003204B0" w:rsidRPr="00910E73">
        <w:rPr>
          <w:b/>
        </w:rPr>
        <w:t>s</w:t>
      </w:r>
      <w:r w:rsidR="00883369" w:rsidRPr="00910E73">
        <w:rPr>
          <w:b/>
        </w:rPr>
        <w:t xml:space="preserve"> </w:t>
      </w:r>
      <w:r w:rsidR="003204B0" w:rsidRPr="00910E73">
        <w:rPr>
          <w:b/>
        </w:rPr>
        <w:t xml:space="preserve">in the </w:t>
      </w:r>
      <w:r w:rsidR="00883369" w:rsidRPr="00910E73">
        <w:rPr>
          <w:b/>
        </w:rPr>
        <w:t>Annexes of the Convention in 2017 (COP</w:t>
      </w:r>
      <w:r w:rsidR="009C0210" w:rsidRPr="00910E73">
        <w:rPr>
          <w:b/>
        </w:rPr>
        <w:t xml:space="preserve"> </w:t>
      </w:r>
      <w:r w:rsidR="00883369" w:rsidRPr="00910E73">
        <w:rPr>
          <w:b/>
        </w:rPr>
        <w:t>8) and in 2019 (COP 9</w:t>
      </w:r>
      <w:r w:rsidR="00883369" w:rsidRPr="00910E73">
        <w:rPr>
          <w:b/>
          <w:bCs/>
        </w:rPr>
        <w:t>):</w:t>
      </w:r>
    </w:p>
    <w:tbl>
      <w:tblPr>
        <w:tblStyle w:val="TableStyle4"/>
        <w:tblW w:w="9771" w:type="dxa"/>
        <w:tblLook w:val="04A0" w:firstRow="1" w:lastRow="0" w:firstColumn="1" w:lastColumn="0" w:noHBand="0" w:noVBand="1"/>
      </w:tblPr>
      <w:tblGrid>
        <w:gridCol w:w="2631"/>
        <w:gridCol w:w="1191"/>
        <w:gridCol w:w="1107"/>
        <w:gridCol w:w="1453"/>
        <w:gridCol w:w="1922"/>
        <w:gridCol w:w="1467"/>
      </w:tblGrid>
      <w:tr w:rsidR="00883369" w:rsidRPr="00883369" w14:paraId="14CD7EFB" w14:textId="77777777" w:rsidTr="00910E73">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14:paraId="333E68D3" w14:textId="77777777" w:rsidR="00883369" w:rsidRPr="00883369" w:rsidRDefault="00883369" w:rsidP="00883369"/>
        </w:tc>
        <w:tc>
          <w:tcPr>
            <w:tcW w:w="1191" w:type="dxa"/>
            <w:shd w:val="clear" w:color="auto" w:fill="auto"/>
          </w:tcPr>
          <w:p w14:paraId="1E494DDB" w14:textId="4C4D1B91" w:rsidR="58A7485B" w:rsidRDefault="58A7485B" w:rsidP="0ACF7FF0">
            <w:pPr>
              <w:cnfStyle w:val="100000000000" w:firstRow="1" w:lastRow="0" w:firstColumn="0" w:lastColumn="0" w:oddVBand="0" w:evenVBand="0" w:oddHBand="0" w:evenHBand="0" w:firstRowFirstColumn="0" w:firstRowLastColumn="0" w:lastRowFirstColumn="0" w:lastRowLastColumn="0"/>
            </w:pPr>
            <w:r>
              <w:t>COP Decision</w:t>
            </w:r>
          </w:p>
        </w:tc>
        <w:tc>
          <w:tcPr>
            <w:tcW w:w="1107" w:type="dxa"/>
            <w:shd w:val="clear" w:color="auto" w:fill="auto"/>
          </w:tcPr>
          <w:p w14:paraId="7C4835D9" w14:textId="2DD7C0B3" w:rsidR="00883369" w:rsidRPr="00883369" w:rsidRDefault="58A7485B" w:rsidP="00883369">
            <w:pPr>
              <w:ind w:left="0"/>
              <w:cnfStyle w:val="100000000000" w:firstRow="1" w:lastRow="0" w:firstColumn="0" w:lastColumn="0" w:oddVBand="0" w:evenVBand="0" w:oddHBand="0" w:evenHBand="0" w:firstRowFirstColumn="0" w:firstRowLastColumn="0" w:lastRowFirstColumn="0" w:lastRowLastColumn="0"/>
            </w:pPr>
            <w:r>
              <w:t xml:space="preserve">Listed in </w:t>
            </w:r>
            <w:r w:rsidR="00883369">
              <w:t>Annex</w:t>
            </w:r>
          </w:p>
        </w:tc>
        <w:tc>
          <w:tcPr>
            <w:tcW w:w="1453" w:type="dxa"/>
            <w:shd w:val="clear" w:color="auto" w:fill="auto"/>
          </w:tcPr>
          <w:p w14:paraId="7946C5CE" w14:textId="5B78236A" w:rsidR="00883369" w:rsidRPr="00883369" w:rsidRDefault="00883369" w:rsidP="00883369">
            <w:pPr>
              <w:ind w:left="0"/>
              <w:cnfStyle w:val="100000000000" w:firstRow="1" w:lastRow="0" w:firstColumn="0" w:lastColumn="0" w:oddVBand="0" w:evenVBand="0" w:oddHBand="0" w:evenHBand="0" w:firstRowFirstColumn="0" w:firstRowLastColumn="0" w:lastRowFirstColumn="0" w:lastRowLastColumn="0"/>
            </w:pPr>
            <w:r>
              <w:t xml:space="preserve">CAS </w:t>
            </w:r>
            <w:r w:rsidR="00E84E16">
              <w:t>RN</w:t>
            </w:r>
          </w:p>
        </w:tc>
        <w:tc>
          <w:tcPr>
            <w:tcW w:w="1922" w:type="dxa"/>
            <w:shd w:val="clear" w:color="auto" w:fill="auto"/>
          </w:tcPr>
          <w:p w14:paraId="2B1F7955" w14:textId="653B7C3C" w:rsidR="00883369" w:rsidRPr="00883369" w:rsidRDefault="00883369" w:rsidP="00883369">
            <w:pPr>
              <w:cnfStyle w:val="100000000000" w:firstRow="1" w:lastRow="0" w:firstColumn="0" w:lastColumn="0" w:oddVBand="0" w:evenVBand="0" w:oddHBand="0" w:evenHBand="0" w:firstRowFirstColumn="0" w:firstRowLastColumn="0" w:lastRowFirstColumn="0" w:lastRowLastColumn="0"/>
            </w:pPr>
            <w:r>
              <w:t>Main use</w:t>
            </w:r>
          </w:p>
        </w:tc>
        <w:tc>
          <w:tcPr>
            <w:tcW w:w="1467" w:type="dxa"/>
            <w:shd w:val="clear" w:color="auto" w:fill="auto"/>
          </w:tcPr>
          <w:p w14:paraId="717E7157" w14:textId="0735FD3A" w:rsidR="00883369" w:rsidRPr="00883369" w:rsidRDefault="00883369" w:rsidP="00883369">
            <w:pPr>
              <w:cnfStyle w:val="100000000000" w:firstRow="1" w:lastRow="0" w:firstColumn="0" w:lastColumn="0" w:oddVBand="0" w:evenVBand="0" w:oddHBand="0" w:evenHBand="0" w:firstRowFirstColumn="0" w:firstRowLastColumn="0" w:lastRowFirstColumn="0" w:lastRowLastColumn="0"/>
            </w:pPr>
            <w:r>
              <w:t>Listing in force</w:t>
            </w:r>
            <w:r w:rsidR="00F4089D">
              <w:t xml:space="preserve"> UK</w:t>
            </w:r>
          </w:p>
        </w:tc>
      </w:tr>
      <w:tr w:rsidR="00883369" w:rsidRPr="00883369" w14:paraId="46AC0005" w14:textId="77777777" w:rsidTr="00910E73">
        <w:tc>
          <w:tcPr>
            <w:cnfStyle w:val="001000000000" w:firstRow="0" w:lastRow="0" w:firstColumn="1" w:lastColumn="0" w:oddVBand="0" w:evenVBand="0" w:oddHBand="0" w:evenHBand="0" w:firstRowFirstColumn="0" w:firstRowLastColumn="0" w:lastRowFirstColumn="0" w:lastRowLastColumn="0"/>
            <w:tcW w:w="2631" w:type="dxa"/>
          </w:tcPr>
          <w:p w14:paraId="2A8D2E90" w14:textId="037905BD" w:rsidR="00883369" w:rsidRPr="00883369" w:rsidRDefault="00883369" w:rsidP="00883369">
            <w:proofErr w:type="spellStart"/>
            <w:r w:rsidRPr="00883369">
              <w:t>Decabromodiphenyl</w:t>
            </w:r>
            <w:proofErr w:type="spellEnd"/>
            <w:r w:rsidRPr="00883369">
              <w:t xml:space="preserve"> ether (</w:t>
            </w:r>
            <w:proofErr w:type="spellStart"/>
            <w:r w:rsidRPr="00883369">
              <w:t>decaBDE</w:t>
            </w:r>
            <w:proofErr w:type="spellEnd"/>
            <w:r w:rsidRPr="00883369">
              <w:t>)</w:t>
            </w:r>
          </w:p>
        </w:tc>
        <w:tc>
          <w:tcPr>
            <w:tcW w:w="1191" w:type="dxa"/>
          </w:tcPr>
          <w:p w14:paraId="11851FA6" w14:textId="3148A5EA" w:rsidR="0ACF7FF0" w:rsidRDefault="003204B0" w:rsidP="0ACF7FF0">
            <w:pPr>
              <w:cnfStyle w:val="000000000000" w:firstRow="0" w:lastRow="0" w:firstColumn="0" w:lastColumn="0" w:oddVBand="0" w:evenVBand="0" w:oddHBand="0" w:evenHBand="0" w:firstRowFirstColumn="0" w:firstRowLastColumn="0" w:lastRowFirstColumn="0" w:lastRowLastColumn="0"/>
            </w:pPr>
            <w:r>
              <w:t>SC-8/10</w:t>
            </w:r>
          </w:p>
        </w:tc>
        <w:tc>
          <w:tcPr>
            <w:tcW w:w="1107" w:type="dxa"/>
          </w:tcPr>
          <w:p w14:paraId="054019D1" w14:textId="3637D6CC"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A</w:t>
            </w:r>
          </w:p>
        </w:tc>
        <w:tc>
          <w:tcPr>
            <w:tcW w:w="1453" w:type="dxa"/>
          </w:tcPr>
          <w:p w14:paraId="072B0FB1" w14:textId="580F3FCC"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1163-19-5</w:t>
            </w:r>
          </w:p>
        </w:tc>
        <w:tc>
          <w:tcPr>
            <w:tcW w:w="1922" w:type="dxa"/>
          </w:tcPr>
          <w:p w14:paraId="1A05A596" w14:textId="1F15A552"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Flame retardant</w:t>
            </w:r>
          </w:p>
        </w:tc>
        <w:tc>
          <w:tcPr>
            <w:tcW w:w="1467" w:type="dxa"/>
          </w:tcPr>
          <w:p w14:paraId="65AE2C61" w14:textId="5BC38FD1"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July 2019</w:t>
            </w:r>
          </w:p>
        </w:tc>
      </w:tr>
      <w:tr w:rsidR="00883369" w:rsidRPr="00883369" w14:paraId="169D755F" w14:textId="77777777" w:rsidTr="00910E73">
        <w:tc>
          <w:tcPr>
            <w:cnfStyle w:val="001000000000" w:firstRow="0" w:lastRow="0" w:firstColumn="1" w:lastColumn="0" w:oddVBand="0" w:evenVBand="0" w:oddHBand="0" w:evenHBand="0" w:firstRowFirstColumn="0" w:firstRowLastColumn="0" w:lastRowFirstColumn="0" w:lastRowLastColumn="0"/>
            <w:tcW w:w="2631" w:type="dxa"/>
          </w:tcPr>
          <w:p w14:paraId="4F89AABD" w14:textId="71DF0D9C" w:rsidR="00883369" w:rsidRPr="00883369" w:rsidRDefault="00883369" w:rsidP="00883369">
            <w:r w:rsidRPr="00883369">
              <w:t>Short chain chlorinated paraffins (SCCPs)</w:t>
            </w:r>
          </w:p>
        </w:tc>
        <w:tc>
          <w:tcPr>
            <w:tcW w:w="1191" w:type="dxa"/>
          </w:tcPr>
          <w:p w14:paraId="218FC292" w14:textId="04648D82" w:rsidR="0ACF7FF0" w:rsidRDefault="003204B0" w:rsidP="0ACF7FF0">
            <w:pPr>
              <w:cnfStyle w:val="000000000000" w:firstRow="0" w:lastRow="0" w:firstColumn="0" w:lastColumn="0" w:oddVBand="0" w:evenVBand="0" w:oddHBand="0" w:evenHBand="0" w:firstRowFirstColumn="0" w:firstRowLastColumn="0" w:lastRowFirstColumn="0" w:lastRowLastColumn="0"/>
            </w:pPr>
            <w:r>
              <w:t>SC-8/11</w:t>
            </w:r>
          </w:p>
        </w:tc>
        <w:tc>
          <w:tcPr>
            <w:tcW w:w="1107" w:type="dxa"/>
          </w:tcPr>
          <w:p w14:paraId="6F67F637" w14:textId="5FF62939"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A</w:t>
            </w:r>
          </w:p>
        </w:tc>
        <w:tc>
          <w:tcPr>
            <w:tcW w:w="1453" w:type="dxa"/>
          </w:tcPr>
          <w:p w14:paraId="025D88DB" w14:textId="53797C7E"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85535-84-8 and others</w:t>
            </w:r>
          </w:p>
        </w:tc>
        <w:tc>
          <w:tcPr>
            <w:tcW w:w="1922" w:type="dxa"/>
          </w:tcPr>
          <w:p w14:paraId="5957EA30" w14:textId="568E786D"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Lubricants, waterpr</w:t>
            </w:r>
            <w:r>
              <w:t>oo</w:t>
            </w:r>
            <w:r w:rsidRPr="005B5F4D">
              <w:t>fing, metal working fluids, flame retardants in paint and plastici</w:t>
            </w:r>
            <w:r>
              <w:t>s</w:t>
            </w:r>
            <w:r w:rsidRPr="005B5F4D">
              <w:t>ers</w:t>
            </w:r>
            <w:r w:rsidR="00494660">
              <w:t xml:space="preserve"> and flame retardant</w:t>
            </w:r>
            <w:r w:rsidR="003A55BC">
              <w:t>s</w:t>
            </w:r>
            <w:r w:rsidR="00494660">
              <w:t xml:space="preserve"> in polymers</w:t>
            </w:r>
          </w:p>
        </w:tc>
        <w:tc>
          <w:tcPr>
            <w:tcW w:w="1467" w:type="dxa"/>
          </w:tcPr>
          <w:p w14:paraId="1CC008DC" w14:textId="2958DE56"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July 2019</w:t>
            </w:r>
          </w:p>
        </w:tc>
      </w:tr>
      <w:tr w:rsidR="00883369" w:rsidRPr="00883369" w14:paraId="0B05BD01" w14:textId="77777777" w:rsidTr="00910E73">
        <w:tc>
          <w:tcPr>
            <w:cnfStyle w:val="001000000000" w:firstRow="0" w:lastRow="0" w:firstColumn="1" w:lastColumn="0" w:oddVBand="0" w:evenVBand="0" w:oddHBand="0" w:evenHBand="0" w:firstRowFirstColumn="0" w:firstRowLastColumn="0" w:lastRowFirstColumn="0" w:lastRowLastColumn="0"/>
            <w:tcW w:w="2631" w:type="dxa"/>
          </w:tcPr>
          <w:p w14:paraId="16BC57C5" w14:textId="320E1D90" w:rsidR="00883369" w:rsidRPr="00883369" w:rsidRDefault="005B5F4D" w:rsidP="00883369">
            <w:r w:rsidRPr="005B5F4D">
              <w:t>Hexachlorobutadiene (HCBD)</w:t>
            </w:r>
          </w:p>
        </w:tc>
        <w:tc>
          <w:tcPr>
            <w:tcW w:w="1191" w:type="dxa"/>
          </w:tcPr>
          <w:p w14:paraId="51D5E0E5" w14:textId="08649BB4" w:rsidR="0ACF7FF0" w:rsidRDefault="003204B0" w:rsidP="0ACF7FF0">
            <w:pPr>
              <w:cnfStyle w:val="000000000000" w:firstRow="0" w:lastRow="0" w:firstColumn="0" w:lastColumn="0" w:oddVBand="0" w:evenVBand="0" w:oddHBand="0" w:evenHBand="0" w:firstRowFirstColumn="0" w:firstRowLastColumn="0" w:lastRowFirstColumn="0" w:lastRowLastColumn="0"/>
            </w:pPr>
            <w:r>
              <w:t>SC-8/12</w:t>
            </w:r>
          </w:p>
        </w:tc>
        <w:tc>
          <w:tcPr>
            <w:tcW w:w="1107" w:type="dxa"/>
          </w:tcPr>
          <w:p w14:paraId="527FE2BA" w14:textId="386EC993"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C</w:t>
            </w:r>
          </w:p>
        </w:tc>
        <w:tc>
          <w:tcPr>
            <w:tcW w:w="1453" w:type="dxa"/>
          </w:tcPr>
          <w:p w14:paraId="0F29E253" w14:textId="11981797"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87-68-3</w:t>
            </w:r>
          </w:p>
        </w:tc>
        <w:tc>
          <w:tcPr>
            <w:tcW w:w="1922" w:type="dxa"/>
          </w:tcPr>
          <w:p w14:paraId="54DC3B14" w14:textId="5A8F1450" w:rsidR="00883369" w:rsidRPr="00883369" w:rsidRDefault="006D4CAC" w:rsidP="00883369">
            <w:pPr>
              <w:cnfStyle w:val="000000000000" w:firstRow="0" w:lastRow="0" w:firstColumn="0" w:lastColumn="0" w:oddVBand="0" w:evenVBand="0" w:oddHBand="0" w:evenHBand="0" w:firstRowFirstColumn="0" w:firstRowLastColumn="0" w:lastRowFirstColumn="0" w:lastRowLastColumn="0"/>
            </w:pPr>
            <w:r>
              <w:t xml:space="preserve">n/a </w:t>
            </w:r>
          </w:p>
        </w:tc>
        <w:tc>
          <w:tcPr>
            <w:tcW w:w="1467" w:type="dxa"/>
          </w:tcPr>
          <w:p w14:paraId="1FD35F8F" w14:textId="2761EBBD" w:rsidR="00883369" w:rsidRPr="00883369" w:rsidRDefault="00975F14" w:rsidP="00883369">
            <w:pPr>
              <w:cnfStyle w:val="000000000000" w:firstRow="0" w:lastRow="0" w:firstColumn="0" w:lastColumn="0" w:oddVBand="0" w:evenVBand="0" w:oddHBand="0" w:evenHBand="0" w:firstRowFirstColumn="0" w:firstRowLastColumn="0" w:lastRowFirstColumn="0" w:lastRowLastColumn="0"/>
            </w:pPr>
            <w:r>
              <w:t>July 2019</w:t>
            </w:r>
          </w:p>
        </w:tc>
      </w:tr>
      <w:tr w:rsidR="00883369" w14:paraId="09D36C3B" w14:textId="77777777" w:rsidTr="00910E73">
        <w:tc>
          <w:tcPr>
            <w:cnfStyle w:val="001000000000" w:firstRow="0" w:lastRow="0" w:firstColumn="1" w:lastColumn="0" w:oddVBand="0" w:evenVBand="0" w:oddHBand="0" w:evenHBand="0" w:firstRowFirstColumn="0" w:firstRowLastColumn="0" w:lastRowFirstColumn="0" w:lastRowLastColumn="0"/>
            <w:tcW w:w="2631" w:type="dxa"/>
          </w:tcPr>
          <w:p w14:paraId="31AC7675" w14:textId="344C7EAD" w:rsidR="00883369" w:rsidRPr="00883369" w:rsidRDefault="005B5F4D" w:rsidP="00883369">
            <w:r w:rsidRPr="005B5F4D">
              <w:t>Dicofol</w:t>
            </w:r>
          </w:p>
        </w:tc>
        <w:tc>
          <w:tcPr>
            <w:tcW w:w="1191" w:type="dxa"/>
          </w:tcPr>
          <w:p w14:paraId="3FE75950" w14:textId="101A3548" w:rsidR="0ACF7FF0" w:rsidRDefault="00DA6B80" w:rsidP="0ACF7FF0">
            <w:pPr>
              <w:cnfStyle w:val="000000000000" w:firstRow="0" w:lastRow="0" w:firstColumn="0" w:lastColumn="0" w:oddVBand="0" w:evenVBand="0" w:oddHBand="0" w:evenHBand="0" w:firstRowFirstColumn="0" w:firstRowLastColumn="0" w:lastRowFirstColumn="0" w:lastRowLastColumn="0"/>
            </w:pPr>
            <w:r>
              <w:t>SC-9/11</w:t>
            </w:r>
          </w:p>
        </w:tc>
        <w:tc>
          <w:tcPr>
            <w:tcW w:w="1107" w:type="dxa"/>
          </w:tcPr>
          <w:p w14:paraId="40494224" w14:textId="4F40D85E"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t>A</w:t>
            </w:r>
          </w:p>
        </w:tc>
        <w:tc>
          <w:tcPr>
            <w:tcW w:w="1453" w:type="dxa"/>
          </w:tcPr>
          <w:p w14:paraId="557B3E89" w14:textId="62AC16AF"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115-32-2 1606-46-9</w:t>
            </w:r>
          </w:p>
        </w:tc>
        <w:tc>
          <w:tcPr>
            <w:tcW w:w="1922" w:type="dxa"/>
          </w:tcPr>
          <w:p w14:paraId="741AF757" w14:textId="0443EE17" w:rsidR="00883369"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Pesticide</w:t>
            </w:r>
          </w:p>
        </w:tc>
        <w:tc>
          <w:tcPr>
            <w:tcW w:w="1467" w:type="dxa"/>
          </w:tcPr>
          <w:p w14:paraId="498FC22F" w14:textId="5F27922F" w:rsidR="00883369" w:rsidRPr="00883369" w:rsidRDefault="00147E21" w:rsidP="00883369">
            <w:pPr>
              <w:cnfStyle w:val="000000000000" w:firstRow="0" w:lastRow="0" w:firstColumn="0" w:lastColumn="0" w:oddVBand="0" w:evenVBand="0" w:oddHBand="0" w:evenHBand="0" w:firstRowFirstColumn="0" w:firstRowLastColumn="0" w:lastRowFirstColumn="0" w:lastRowLastColumn="0"/>
            </w:pPr>
            <w:r>
              <w:t>Sept</w:t>
            </w:r>
            <w:r w:rsidR="00203083">
              <w:t xml:space="preserve"> 2020</w:t>
            </w:r>
          </w:p>
        </w:tc>
      </w:tr>
      <w:tr w:rsidR="005B5F4D" w14:paraId="4EF9B86A" w14:textId="77777777" w:rsidTr="00910E73">
        <w:tc>
          <w:tcPr>
            <w:cnfStyle w:val="001000000000" w:firstRow="0" w:lastRow="0" w:firstColumn="1" w:lastColumn="0" w:oddVBand="0" w:evenVBand="0" w:oddHBand="0" w:evenHBand="0" w:firstRowFirstColumn="0" w:firstRowLastColumn="0" w:lastRowFirstColumn="0" w:lastRowLastColumn="0"/>
            <w:tcW w:w="2631" w:type="dxa"/>
          </w:tcPr>
          <w:p w14:paraId="49B1F384" w14:textId="4ABC107F" w:rsidR="005B5F4D" w:rsidRPr="005B5F4D" w:rsidRDefault="005B5F4D" w:rsidP="00883369">
            <w:proofErr w:type="spellStart"/>
            <w:r w:rsidRPr="005B5F4D">
              <w:t>Perflourooctanoic</w:t>
            </w:r>
            <w:proofErr w:type="spellEnd"/>
            <w:r w:rsidRPr="005B5F4D">
              <w:t xml:space="preserve"> acid (PFOA) its salts and PFOA related compounds</w:t>
            </w:r>
          </w:p>
        </w:tc>
        <w:tc>
          <w:tcPr>
            <w:tcW w:w="1191" w:type="dxa"/>
          </w:tcPr>
          <w:p w14:paraId="3C372310" w14:textId="1C458EDB" w:rsidR="0ACF7FF0" w:rsidRDefault="00DA6B80" w:rsidP="0ACF7FF0">
            <w:pPr>
              <w:cnfStyle w:val="000000000000" w:firstRow="0" w:lastRow="0" w:firstColumn="0" w:lastColumn="0" w:oddVBand="0" w:evenVBand="0" w:oddHBand="0" w:evenHBand="0" w:firstRowFirstColumn="0" w:firstRowLastColumn="0" w:lastRowFirstColumn="0" w:lastRowLastColumn="0"/>
            </w:pPr>
            <w:r>
              <w:t>SC-9/12</w:t>
            </w:r>
          </w:p>
        </w:tc>
        <w:tc>
          <w:tcPr>
            <w:tcW w:w="1107" w:type="dxa"/>
          </w:tcPr>
          <w:p w14:paraId="4AD7EDAA" w14:textId="05B97B79" w:rsidR="005B5F4D" w:rsidRPr="00883369" w:rsidRDefault="005B5F4D" w:rsidP="00883369">
            <w:pPr>
              <w:cnfStyle w:val="000000000000" w:firstRow="0" w:lastRow="0" w:firstColumn="0" w:lastColumn="0" w:oddVBand="0" w:evenVBand="0" w:oddHBand="0" w:evenHBand="0" w:firstRowFirstColumn="0" w:firstRowLastColumn="0" w:lastRowFirstColumn="0" w:lastRowLastColumn="0"/>
            </w:pPr>
            <w:r>
              <w:t>A</w:t>
            </w:r>
          </w:p>
        </w:tc>
        <w:tc>
          <w:tcPr>
            <w:tcW w:w="1453" w:type="dxa"/>
          </w:tcPr>
          <w:p w14:paraId="58C55D03" w14:textId="45C65DF8" w:rsidR="005B5F4D" w:rsidRPr="00883369" w:rsidRDefault="005B5F4D" w:rsidP="00883369">
            <w:pPr>
              <w:cnfStyle w:val="000000000000" w:firstRow="0" w:lastRow="0" w:firstColumn="0" w:lastColumn="0" w:oddVBand="0" w:evenVBand="0" w:oddHBand="0" w:evenHBand="0" w:firstRowFirstColumn="0" w:firstRowLastColumn="0" w:lastRowFirstColumn="0" w:lastRowLastColumn="0"/>
            </w:pPr>
            <w:r w:rsidRPr="005B5F4D">
              <w:t>335-67-1 and others</w:t>
            </w:r>
          </w:p>
        </w:tc>
        <w:tc>
          <w:tcPr>
            <w:tcW w:w="1922" w:type="dxa"/>
          </w:tcPr>
          <w:p w14:paraId="268E1628" w14:textId="6A51589C" w:rsidR="005B5F4D" w:rsidRPr="00883369" w:rsidRDefault="00B4643E" w:rsidP="00883369">
            <w:pPr>
              <w:cnfStyle w:val="000000000000" w:firstRow="0" w:lastRow="0" w:firstColumn="0" w:lastColumn="0" w:oddVBand="0" w:evenVBand="0" w:oddHBand="0" w:evenHBand="0" w:firstRowFirstColumn="0" w:firstRowLastColumn="0" w:lastRowFirstColumn="0" w:lastRowLastColumn="0"/>
            </w:pPr>
            <w:r>
              <w:t>S</w:t>
            </w:r>
            <w:r w:rsidRPr="00B4643E">
              <w:t xml:space="preserve">urfactants (compounds that lower the surface tension between two liquids) in textiles, paper, paints </w:t>
            </w:r>
            <w:r>
              <w:t>and f</w:t>
            </w:r>
            <w:r w:rsidR="005B5F4D" w:rsidRPr="00883369">
              <w:t>irefighting foams</w:t>
            </w:r>
          </w:p>
        </w:tc>
        <w:tc>
          <w:tcPr>
            <w:tcW w:w="1467" w:type="dxa"/>
          </w:tcPr>
          <w:p w14:paraId="33F4BCBF" w14:textId="54961E7C" w:rsidR="005B5F4D" w:rsidRPr="00883369" w:rsidRDefault="005B5F4D" w:rsidP="00883369">
            <w:pPr>
              <w:cnfStyle w:val="000000000000" w:firstRow="0" w:lastRow="0" w:firstColumn="0" w:lastColumn="0" w:oddVBand="0" w:evenVBand="0" w:oddHBand="0" w:evenHBand="0" w:firstRowFirstColumn="0" w:firstRowLastColumn="0" w:lastRowFirstColumn="0" w:lastRowLastColumn="0"/>
            </w:pPr>
            <w:r>
              <w:t xml:space="preserve">July </w:t>
            </w:r>
            <w:r w:rsidR="00203083">
              <w:t>2020</w:t>
            </w:r>
          </w:p>
        </w:tc>
      </w:tr>
    </w:tbl>
    <w:p w14:paraId="167C768C" w14:textId="2081B5DE" w:rsidR="006F5149" w:rsidRDefault="006F5149" w:rsidP="00EB778D">
      <w:pPr>
        <w:pStyle w:val="Heading2"/>
      </w:pPr>
      <w:bookmarkStart w:id="14" w:name="_Toc67030059"/>
      <w:r>
        <w:lastRenderedPageBreak/>
        <w:t>Development of the UK National Implementation Plan</w:t>
      </w:r>
      <w:bookmarkEnd w:id="14"/>
    </w:p>
    <w:p w14:paraId="09196773" w14:textId="25C1B051" w:rsidR="006F5149" w:rsidRDefault="003F6C6D" w:rsidP="006F5149">
      <w:r w:rsidRPr="003F6C6D">
        <w:t>This updated UK NIP has been developed by the Department for Environment, Food and Rural Affairs (Defra) in agreement with the Scottish Government, the Welsh Government, the Department of Agriculture, Environment and Rural Affairs (DAERA), Northern Ireland and other relevant Government Departments and Agencies.</w:t>
      </w:r>
      <w:r w:rsidR="00556306">
        <w:t xml:space="preserve"> It has also been supported by </w:t>
      </w:r>
      <w:r w:rsidR="00547128">
        <w:t xml:space="preserve">other non-government agencies and bodies, including the competent </w:t>
      </w:r>
      <w:r w:rsidR="00B14204">
        <w:t>authorities</w:t>
      </w:r>
      <w:r w:rsidR="00547128">
        <w:t xml:space="preserve"> responsible for the enfo</w:t>
      </w:r>
      <w:r w:rsidR="00B14204">
        <w:t>rcement of POPs regulations.</w:t>
      </w:r>
    </w:p>
    <w:p w14:paraId="1AA29390" w14:textId="77777777" w:rsidR="00B14204" w:rsidRPr="00B14204" w:rsidRDefault="00B14204" w:rsidP="00B14204">
      <w:r w:rsidRPr="00B14204">
        <w:t>The UK Government Departments and agencies with an implementation and/or enforcement role for the Stockholm Convention include:</w:t>
      </w:r>
    </w:p>
    <w:p w14:paraId="6A03B1B5" w14:textId="070596DD" w:rsidR="00B14204" w:rsidRPr="00B14204" w:rsidRDefault="00B14204" w:rsidP="00586953">
      <w:pPr>
        <w:numPr>
          <w:ilvl w:val="0"/>
          <w:numId w:val="21"/>
        </w:numPr>
      </w:pPr>
      <w:r w:rsidRPr="00B14204">
        <w:t xml:space="preserve">Department for Environment, Food and Rural Affairs (Defra) </w:t>
      </w:r>
    </w:p>
    <w:p w14:paraId="2AC56803" w14:textId="77777777" w:rsidR="00B14204" w:rsidRPr="00B14204" w:rsidRDefault="00B14204" w:rsidP="001A5709">
      <w:pPr>
        <w:numPr>
          <w:ilvl w:val="0"/>
          <w:numId w:val="21"/>
        </w:numPr>
      </w:pPr>
      <w:r w:rsidRPr="00B14204">
        <w:t>Scottish Government</w:t>
      </w:r>
    </w:p>
    <w:p w14:paraId="72340D35" w14:textId="77777777" w:rsidR="00B14204" w:rsidRPr="00B14204" w:rsidRDefault="00B14204" w:rsidP="001A5709">
      <w:pPr>
        <w:numPr>
          <w:ilvl w:val="0"/>
          <w:numId w:val="21"/>
        </w:numPr>
        <w:rPr>
          <w:i/>
          <w:iCs/>
        </w:rPr>
      </w:pPr>
      <w:r w:rsidRPr="00B14204">
        <w:t>Welsh Government</w:t>
      </w:r>
    </w:p>
    <w:p w14:paraId="51EBAD74" w14:textId="77777777" w:rsidR="00B14204" w:rsidRPr="00B14204" w:rsidRDefault="00B14204" w:rsidP="001A5709">
      <w:pPr>
        <w:numPr>
          <w:ilvl w:val="0"/>
          <w:numId w:val="21"/>
        </w:numPr>
        <w:rPr>
          <w:i/>
          <w:iCs/>
        </w:rPr>
      </w:pPr>
      <w:r w:rsidRPr="00B14204">
        <w:t xml:space="preserve">Northern Ireland Department of Agriculture, Environment and Rural Affairs (DAERA NI) </w:t>
      </w:r>
    </w:p>
    <w:p w14:paraId="596A1714" w14:textId="56E87FFF" w:rsidR="00B14204" w:rsidRPr="00B14204" w:rsidRDefault="00B14204" w:rsidP="00B14204">
      <w:r w:rsidRPr="00B14204">
        <w:t>In England, Wales, Scotland and Northern Ireland the responsibility for enforcing environmental and chemicals legislation rests with the following bodies</w:t>
      </w:r>
      <w:r w:rsidR="007E2CCE">
        <w:t xml:space="preserve">, known as the </w:t>
      </w:r>
      <w:r w:rsidR="00EA13B4">
        <w:t>C</w:t>
      </w:r>
      <w:r w:rsidR="007E2CCE">
        <w:t xml:space="preserve">ompetent </w:t>
      </w:r>
      <w:r w:rsidR="00EA13B4">
        <w:t>A</w:t>
      </w:r>
      <w:r w:rsidR="007E2CCE">
        <w:t>uthorities</w:t>
      </w:r>
      <w:r w:rsidRPr="00B14204">
        <w:t>:</w:t>
      </w:r>
    </w:p>
    <w:p w14:paraId="56042F3C" w14:textId="77777777" w:rsidR="00B14204" w:rsidRPr="00B14204" w:rsidRDefault="00B14204" w:rsidP="00586953">
      <w:pPr>
        <w:numPr>
          <w:ilvl w:val="0"/>
          <w:numId w:val="11"/>
        </w:numPr>
      </w:pPr>
      <w:r w:rsidRPr="00B14204">
        <w:t>The Environment Agency (EA)</w:t>
      </w:r>
    </w:p>
    <w:p w14:paraId="7994E9E2" w14:textId="77777777" w:rsidR="00B14204" w:rsidRPr="00B14204" w:rsidRDefault="00B14204" w:rsidP="001A5709">
      <w:pPr>
        <w:numPr>
          <w:ilvl w:val="0"/>
          <w:numId w:val="11"/>
        </w:numPr>
      </w:pPr>
      <w:r w:rsidRPr="00B14204">
        <w:t>The Scottish Environment Protection Agency</w:t>
      </w:r>
      <w:r w:rsidRPr="00B14204">
        <w:rPr>
          <w:i/>
          <w:iCs/>
        </w:rPr>
        <w:t xml:space="preserve"> </w:t>
      </w:r>
      <w:r w:rsidRPr="00B14204">
        <w:t xml:space="preserve">(SEPA) </w:t>
      </w:r>
    </w:p>
    <w:p w14:paraId="60DD822E" w14:textId="77777777" w:rsidR="00B14204" w:rsidRPr="00B14204" w:rsidRDefault="00B14204" w:rsidP="001A5709">
      <w:pPr>
        <w:numPr>
          <w:ilvl w:val="0"/>
          <w:numId w:val="11"/>
        </w:numPr>
      </w:pPr>
      <w:r w:rsidRPr="00B14204">
        <w:t>Natural Resources Wales (NRW)</w:t>
      </w:r>
    </w:p>
    <w:p w14:paraId="2CD7FAF3" w14:textId="6C227D94" w:rsidR="00B14204" w:rsidRPr="00B14204" w:rsidRDefault="00B14204" w:rsidP="001A5709">
      <w:pPr>
        <w:numPr>
          <w:ilvl w:val="0"/>
          <w:numId w:val="11"/>
        </w:numPr>
      </w:pPr>
      <w:r w:rsidRPr="00B14204">
        <w:t>Northern Ireland Environment Agency</w:t>
      </w:r>
      <w:r w:rsidRPr="00B14204">
        <w:rPr>
          <w:i/>
          <w:iCs/>
        </w:rPr>
        <w:t xml:space="preserve"> </w:t>
      </w:r>
      <w:r w:rsidRPr="00B14204">
        <w:t xml:space="preserve">(NIEA) (an executive agency of the Department of Agriculture, Environment and Rural Affairs NI) </w:t>
      </w:r>
    </w:p>
    <w:p w14:paraId="78E70914" w14:textId="77777777" w:rsidR="00B14204" w:rsidRPr="00B14204" w:rsidRDefault="00B14204" w:rsidP="00B14204">
      <w:r w:rsidRPr="00B14204">
        <w:t xml:space="preserve">There are also </w:t>
      </w:r>
      <w:proofErr w:type="gramStart"/>
      <w:r w:rsidRPr="00B14204">
        <w:t>a number of</w:t>
      </w:r>
      <w:proofErr w:type="gramEnd"/>
      <w:r w:rsidRPr="00B14204">
        <w:t xml:space="preserve"> other UK Departments with specific responsibilities for the management of chemicals. These include: </w:t>
      </w:r>
    </w:p>
    <w:p w14:paraId="525444EB" w14:textId="77777777" w:rsidR="00B14204" w:rsidRPr="00B14204" w:rsidRDefault="00B14204" w:rsidP="00586953">
      <w:pPr>
        <w:numPr>
          <w:ilvl w:val="0"/>
          <w:numId w:val="22"/>
        </w:numPr>
      </w:pPr>
      <w:r w:rsidRPr="00B14204">
        <w:t>Health and Safety Executive</w:t>
      </w:r>
      <w:r w:rsidRPr="00B14204">
        <w:rPr>
          <w:i/>
          <w:iCs/>
        </w:rPr>
        <w:t xml:space="preserve"> </w:t>
      </w:r>
      <w:r w:rsidRPr="00B14204">
        <w:t xml:space="preserve">(HSE) </w:t>
      </w:r>
    </w:p>
    <w:p w14:paraId="05E4C092" w14:textId="4C6F1FC9" w:rsidR="00B14204" w:rsidRPr="00B14204" w:rsidRDefault="00B14204" w:rsidP="001A5709">
      <w:pPr>
        <w:numPr>
          <w:ilvl w:val="0"/>
          <w:numId w:val="22"/>
        </w:numPr>
      </w:pPr>
      <w:r w:rsidRPr="00B14204">
        <w:t xml:space="preserve">Health and Safety Executive </w:t>
      </w:r>
      <w:r w:rsidR="00F35B5C">
        <w:t xml:space="preserve">for </w:t>
      </w:r>
      <w:r w:rsidRPr="00B14204">
        <w:t>Northern Ireland</w:t>
      </w:r>
      <w:r w:rsidRPr="00B14204">
        <w:rPr>
          <w:i/>
          <w:iCs/>
        </w:rPr>
        <w:t xml:space="preserve"> </w:t>
      </w:r>
      <w:r w:rsidRPr="00B14204">
        <w:t xml:space="preserve">(HSENI) </w:t>
      </w:r>
    </w:p>
    <w:p w14:paraId="33BC424F" w14:textId="77777777" w:rsidR="00B14204" w:rsidRPr="00B14204" w:rsidRDefault="00B14204" w:rsidP="001A5709">
      <w:pPr>
        <w:numPr>
          <w:ilvl w:val="0"/>
          <w:numId w:val="22"/>
        </w:numPr>
      </w:pPr>
      <w:r w:rsidRPr="00B14204">
        <w:t>UK Health Departments.</w:t>
      </w:r>
    </w:p>
    <w:p w14:paraId="58489D0D" w14:textId="79B729EF" w:rsidR="00B14204" w:rsidRPr="00B14204" w:rsidRDefault="00B14204" w:rsidP="001A5709">
      <w:pPr>
        <w:numPr>
          <w:ilvl w:val="0"/>
          <w:numId w:val="22"/>
        </w:numPr>
      </w:pPr>
      <w:r w:rsidRPr="00B14204">
        <w:t>Food Standards Agency (FSA)</w:t>
      </w:r>
      <w:r w:rsidR="00B851FB">
        <w:t xml:space="preserve"> for England, Wales and Northern Ireland</w:t>
      </w:r>
      <w:r w:rsidRPr="00B14204">
        <w:t xml:space="preserve"> and Food Standards Scotland </w:t>
      </w:r>
    </w:p>
    <w:p w14:paraId="74BDD915" w14:textId="41F05EC0" w:rsidR="00B14204" w:rsidRPr="00B14204" w:rsidRDefault="00B14204" w:rsidP="001A5709">
      <w:pPr>
        <w:numPr>
          <w:ilvl w:val="0"/>
          <w:numId w:val="22"/>
        </w:numPr>
      </w:pPr>
      <w:r w:rsidRPr="00B14204">
        <w:t>Centre for Environment, Fisheries and Aquaculture Science (</w:t>
      </w:r>
      <w:proofErr w:type="spellStart"/>
      <w:r w:rsidRPr="00B14204">
        <w:t>Cefas</w:t>
      </w:r>
      <w:proofErr w:type="spellEnd"/>
      <w:r w:rsidRPr="00B14204">
        <w:t>)</w:t>
      </w:r>
    </w:p>
    <w:p w14:paraId="186084E1" w14:textId="77777777" w:rsidR="00351A31" w:rsidRDefault="00351A31">
      <w:pPr>
        <w:spacing w:before="0" w:after="0" w:line="240" w:lineRule="auto"/>
        <w:rPr>
          <w:rFonts w:eastAsia="Times New Roman"/>
          <w:b/>
          <w:bCs/>
          <w:color w:val="008938"/>
          <w:sz w:val="44"/>
          <w:szCs w:val="28"/>
        </w:rPr>
      </w:pPr>
      <w:r>
        <w:br w:type="page"/>
      </w:r>
    </w:p>
    <w:p w14:paraId="47BD007A" w14:textId="2CCB9003" w:rsidR="006F5149" w:rsidRDefault="006F5149" w:rsidP="006F5149">
      <w:pPr>
        <w:pStyle w:val="Heading1"/>
      </w:pPr>
      <w:bookmarkStart w:id="15" w:name="_Toc67030060"/>
      <w:r>
        <w:lastRenderedPageBreak/>
        <w:t>Country baseline</w:t>
      </w:r>
      <w:bookmarkEnd w:id="15"/>
    </w:p>
    <w:p w14:paraId="6A61EFFB" w14:textId="5BB77EB1" w:rsidR="006F5149" w:rsidRDefault="006F5149" w:rsidP="00EB778D">
      <w:pPr>
        <w:pStyle w:val="Heading2"/>
      </w:pPr>
      <w:bookmarkStart w:id="16" w:name="_Toc67030061"/>
      <w:r>
        <w:t>Regulation of POPs</w:t>
      </w:r>
      <w:bookmarkEnd w:id="16"/>
    </w:p>
    <w:p w14:paraId="2984247E" w14:textId="1A8CD9B5" w:rsidR="006F5149" w:rsidRDefault="006F5149" w:rsidP="006F5149">
      <w:pPr>
        <w:pStyle w:val="Heading3"/>
      </w:pPr>
      <w:r>
        <w:t>POPs Regulations</w:t>
      </w:r>
    </w:p>
    <w:p w14:paraId="2D4E81AD" w14:textId="1B2EFEA5" w:rsidR="00815A7A" w:rsidRPr="00815A7A" w:rsidRDefault="00104022" w:rsidP="00815A7A">
      <w:r>
        <w:t>The Stockholm Convention is implemented in Great Britain by the r</w:t>
      </w:r>
      <w:r w:rsidRPr="00104022">
        <w:t>etained</w:t>
      </w:r>
      <w:r w:rsidR="00516263">
        <w:t xml:space="preserve"> EU</w:t>
      </w:r>
      <w:r w:rsidRPr="00104022">
        <w:t xml:space="preserve"> Regulation </w:t>
      </w:r>
      <w:r w:rsidR="00E720BC">
        <w:t>2019/1021</w:t>
      </w:r>
      <w:r w:rsidRPr="00104022">
        <w:t>, as amended</w:t>
      </w:r>
      <w:r>
        <w:t xml:space="preserve"> by</w:t>
      </w:r>
      <w:r w:rsidDel="00FE0F6D">
        <w:t xml:space="preserve"> </w:t>
      </w:r>
      <w:r w:rsidR="00E720BC">
        <w:t xml:space="preserve">The Persistent Organic Pollutants </w:t>
      </w:r>
      <w:r w:rsidRPr="00104022">
        <w:t xml:space="preserve"> (Amendment) (EU Exit) Regulations 20</w:t>
      </w:r>
      <w:r>
        <w:t>20 and in Northern Irelan</w:t>
      </w:r>
      <w:r w:rsidR="00516263">
        <w:t>d,</w:t>
      </w:r>
      <w:r>
        <w:t xml:space="preserve"> by </w:t>
      </w:r>
      <w:r w:rsidRPr="00104022">
        <w:t xml:space="preserve">Regulation EC No </w:t>
      </w:r>
      <w:r w:rsidR="00E720BC">
        <w:t>2019/1021</w:t>
      </w:r>
      <w:r w:rsidR="00516263">
        <w:t>,</w:t>
      </w:r>
      <w:r w:rsidRPr="00104022">
        <w:t xml:space="preserve"> </w:t>
      </w:r>
      <w:r>
        <w:t xml:space="preserve">which </w:t>
      </w:r>
      <w:r w:rsidRPr="00104022">
        <w:t xml:space="preserve">still applies by virtue of the Protocol on Ireland/Northern Ireland </w:t>
      </w:r>
      <w:r>
        <w:t xml:space="preserve">to </w:t>
      </w:r>
      <w:r w:rsidRPr="00104022">
        <w:t>the EU withdrawal agreement</w:t>
      </w:r>
      <w:r>
        <w:t xml:space="preserve"> </w:t>
      </w:r>
      <w:r w:rsidR="000A024C" w:rsidRPr="000A024C">
        <w:t>(</w:t>
      </w:r>
      <w:r w:rsidR="00AD4C23">
        <w:t xml:space="preserve">all </w:t>
      </w:r>
      <w:r w:rsidR="000A024C" w:rsidRPr="000A024C">
        <w:t xml:space="preserve">hereinafter referred to as </w:t>
      </w:r>
      <w:r>
        <w:t>‘</w:t>
      </w:r>
      <w:r w:rsidR="000A024C" w:rsidRPr="000A024C">
        <w:t xml:space="preserve">the </w:t>
      </w:r>
      <w:r w:rsidR="00516263">
        <w:t>POPs</w:t>
      </w:r>
      <w:r w:rsidR="000A024C" w:rsidRPr="000A024C">
        <w:t xml:space="preserve"> legislation</w:t>
      </w:r>
      <w:r>
        <w:t>’</w:t>
      </w:r>
      <w:r w:rsidR="000A024C" w:rsidRPr="000A024C">
        <w:t>)</w:t>
      </w:r>
      <w:r>
        <w:t>.</w:t>
      </w:r>
      <w:r w:rsidR="00815A7A" w:rsidRPr="00815A7A">
        <w:t xml:space="preserve"> </w:t>
      </w:r>
    </w:p>
    <w:p w14:paraId="2C53D906" w14:textId="64117048" w:rsidR="007D64C7" w:rsidRDefault="00CD086B" w:rsidP="00CD086B">
      <w:r>
        <w:t xml:space="preserve">The </w:t>
      </w:r>
      <w:r w:rsidR="00516263">
        <w:t>POPs</w:t>
      </w:r>
      <w:r w:rsidR="000A024C">
        <w:t xml:space="preserve"> legislation </w:t>
      </w:r>
      <w:r w:rsidR="004E2BEF">
        <w:t>regulates and restricts all P</w:t>
      </w:r>
      <w:r w:rsidR="00AE2EE9">
        <w:t>O</w:t>
      </w:r>
      <w:r w:rsidR="004E2BEF">
        <w:t xml:space="preserve">Ps listed under the Convention and includes </w:t>
      </w:r>
      <w:r w:rsidR="002737B2">
        <w:t xml:space="preserve">listings of </w:t>
      </w:r>
      <w:r w:rsidR="004E2BEF">
        <w:t>the P</w:t>
      </w:r>
      <w:r w:rsidR="00AE2EE9">
        <w:t>O</w:t>
      </w:r>
      <w:r w:rsidR="004E2BEF">
        <w:t xml:space="preserve">Ps which are the subject of this update to the National </w:t>
      </w:r>
      <w:r w:rsidR="002737B2">
        <w:t>I</w:t>
      </w:r>
      <w:r w:rsidR="004E2BEF">
        <w:t xml:space="preserve">mplementation </w:t>
      </w:r>
      <w:r w:rsidR="002737B2">
        <w:t>P</w:t>
      </w:r>
      <w:r w:rsidR="004E2BEF">
        <w:t xml:space="preserve">lan. </w:t>
      </w:r>
    </w:p>
    <w:p w14:paraId="05024ED5" w14:textId="74EBBDE7" w:rsidR="00C74D13" w:rsidRPr="00E720BC" w:rsidRDefault="00C74D13" w:rsidP="00C74D13">
      <w:r w:rsidRPr="00E720BC">
        <w:t xml:space="preserve">The </w:t>
      </w:r>
      <w:r w:rsidR="00516263" w:rsidRPr="00E720BC">
        <w:t>POPs</w:t>
      </w:r>
      <w:r w:rsidRPr="00E720BC">
        <w:t xml:space="preserve"> legislation also includes a requirement to report to the Stockholm Convention secretariat on progress towards meeting our obligations every four years, which is published on the Stockholm Convention website.</w:t>
      </w:r>
      <w:r w:rsidRPr="00E720BC" w:rsidDel="00FE0F6D">
        <w:t xml:space="preserve"> </w:t>
      </w:r>
      <w:r w:rsidRPr="00E720BC">
        <w:t xml:space="preserve">This is in addition to the legal requirement to publish a report every three years on progress towards meeting our Stockholm Convention objectives, which includes similar data. This report will </w:t>
      </w:r>
      <w:r w:rsidR="00D81735" w:rsidRPr="00E720BC">
        <w:t xml:space="preserve">be </w:t>
      </w:r>
      <w:r w:rsidRPr="00E720BC">
        <w:t>publish</w:t>
      </w:r>
      <w:r w:rsidR="00D81735" w:rsidRPr="00E720BC">
        <w:t xml:space="preserve">ed </w:t>
      </w:r>
      <w:r w:rsidRPr="00E720BC">
        <w:t xml:space="preserve">on an appropriate website. </w:t>
      </w:r>
    </w:p>
    <w:p w14:paraId="181D11AD" w14:textId="1589C1AB" w:rsidR="00CD086B" w:rsidRPr="008A16EF" w:rsidRDefault="007D64C7" w:rsidP="00CD086B">
      <w:r w:rsidRPr="00E720BC">
        <w:t>Implementing</w:t>
      </w:r>
      <w:r w:rsidR="004E2BEF" w:rsidRPr="00E720BC">
        <w:t xml:space="preserve"> legislation</w:t>
      </w:r>
      <w:r w:rsidR="00C74D13" w:rsidRPr="00E720BC">
        <w:rPr>
          <w:rStyle w:val="FootnoteReference"/>
        </w:rPr>
        <w:footnoteReference w:id="3"/>
      </w:r>
      <w:r w:rsidR="004E2BEF" w:rsidRPr="00E720BC">
        <w:t xml:space="preserve"> sets out provisions on</w:t>
      </w:r>
      <w:r w:rsidR="005A3F82" w:rsidRPr="00E720BC">
        <w:t xml:space="preserve"> enforcement</w:t>
      </w:r>
      <w:r w:rsidR="004E2BEF" w:rsidRPr="00E720BC">
        <w:t>;</w:t>
      </w:r>
      <w:r w:rsidR="00585360" w:rsidRPr="00E720BC">
        <w:t xml:space="preserve"> </w:t>
      </w:r>
      <w:r w:rsidR="00CD086B" w:rsidRPr="00E720BC">
        <w:t>including</w:t>
      </w:r>
      <w:r w:rsidR="004E2BEF" w:rsidRPr="00E720BC">
        <w:t xml:space="preserve"> provisions relating to </w:t>
      </w:r>
      <w:r w:rsidR="00CD086B" w:rsidRPr="00E720BC">
        <w:t>offences,</w:t>
      </w:r>
      <w:r w:rsidR="004E2BEF">
        <w:t xml:space="preserve"> </w:t>
      </w:r>
      <w:r w:rsidR="00CD086B" w:rsidRPr="008A16EF">
        <w:t>penalties</w:t>
      </w:r>
      <w:r w:rsidR="004E2BEF">
        <w:t xml:space="preserve"> and </w:t>
      </w:r>
      <w:r w:rsidR="00CD086B">
        <w:t>power</w:t>
      </w:r>
      <w:r w:rsidR="004E2BEF">
        <w:t>s</w:t>
      </w:r>
      <w:r w:rsidR="00CD086B">
        <w:t xml:space="preserve"> to set </w:t>
      </w:r>
      <w:r w:rsidR="00CD086B" w:rsidRPr="008A16EF">
        <w:t xml:space="preserve">fees and </w:t>
      </w:r>
      <w:r w:rsidR="00CD086B">
        <w:t xml:space="preserve">serve </w:t>
      </w:r>
      <w:r w:rsidR="00CD086B" w:rsidRPr="008A16EF">
        <w:t xml:space="preserve">notices. </w:t>
      </w:r>
      <w:r w:rsidR="000A024C">
        <w:t>It</w:t>
      </w:r>
      <w:r w:rsidR="5682BDD1" w:rsidRPr="008A16EF">
        <w:t xml:space="preserve"> </w:t>
      </w:r>
      <w:r w:rsidR="002737B2">
        <w:t xml:space="preserve">further </w:t>
      </w:r>
      <w:r w:rsidR="5682BDD1" w:rsidRPr="008A16EF">
        <w:t>designate</w:t>
      </w:r>
      <w:r w:rsidR="000A024C">
        <w:t>s</w:t>
      </w:r>
      <w:r w:rsidR="00CD086B" w:rsidRPr="008A16EF">
        <w:t xml:space="preserve"> the Environment Agency as the </w:t>
      </w:r>
      <w:r w:rsidR="0083546C">
        <w:t>‘</w:t>
      </w:r>
      <w:r w:rsidR="00CD086B" w:rsidRPr="008A16EF">
        <w:t>Competent Authority</w:t>
      </w:r>
      <w:r w:rsidR="0083546C">
        <w:t>’</w:t>
      </w:r>
      <w:r w:rsidR="00CD086B" w:rsidRPr="008A16EF">
        <w:t xml:space="preserve"> and enforcement agency</w:t>
      </w:r>
      <w:r w:rsidR="00CD086B">
        <w:t xml:space="preserve"> in</w:t>
      </w:r>
      <w:r w:rsidR="00CD086B" w:rsidRPr="008A16EF">
        <w:t xml:space="preserve"> England, Natural Resources Wales in Wales; the Department for Agriculture, Environment and Rural Affairs (DAERA</w:t>
      </w:r>
      <w:r w:rsidR="00381DBD">
        <w:t>)</w:t>
      </w:r>
      <w:r w:rsidR="00CD086B" w:rsidRPr="008A16EF">
        <w:t xml:space="preserve"> in Northern Ireland; and the Scottish Environment Protection Agency (SEPA) in Scotland.</w:t>
      </w:r>
    </w:p>
    <w:p w14:paraId="66758C26" w14:textId="515069A2" w:rsidR="00FD4368" w:rsidRPr="00FD4368" w:rsidRDefault="00516263" w:rsidP="00FD4368">
      <w:r>
        <w:t>Recently, f</w:t>
      </w:r>
      <w:r w:rsidR="003D1AC2">
        <w:t xml:space="preserve">urther amendments </w:t>
      </w:r>
      <w:r>
        <w:t>were</w:t>
      </w:r>
      <w:r w:rsidR="003D1AC2">
        <w:t xml:space="preserve"> made to</w:t>
      </w:r>
      <w:r>
        <w:t xml:space="preserve"> the</w:t>
      </w:r>
      <w:r w:rsidR="009B7FA2" w:rsidRPr="009B7FA2">
        <w:t xml:space="preserve"> Polychlorinated Biphenyls</w:t>
      </w:r>
      <w:r w:rsidR="003D1AC2">
        <w:t xml:space="preserve"> </w:t>
      </w:r>
      <w:r w:rsidR="009B7FA2">
        <w:t>(</w:t>
      </w:r>
      <w:r w:rsidR="003D1AC2">
        <w:t>PCB</w:t>
      </w:r>
      <w:r w:rsidR="009B7FA2">
        <w:t>)</w:t>
      </w:r>
      <w:r w:rsidR="003D1AC2">
        <w:t xml:space="preserve"> </w:t>
      </w:r>
      <w:r>
        <w:t>R</w:t>
      </w:r>
      <w:r w:rsidR="003D1AC2">
        <w:t>egulations</w:t>
      </w:r>
      <w:r>
        <w:t xml:space="preserve"> in order</w:t>
      </w:r>
      <w:r w:rsidR="003D1AC2">
        <w:t xml:space="preserve"> to i</w:t>
      </w:r>
      <w:r w:rsidR="00FD4368" w:rsidRPr="00FD4368">
        <w:t>mplement the Stockholm Convention requirement to remove from use</w:t>
      </w:r>
      <w:r>
        <w:t>,</w:t>
      </w:r>
      <w:r w:rsidR="00FD4368" w:rsidRPr="00FD4368">
        <w:t xml:space="preserve"> all transformer equipment contaminated with set levels of PCBs by 31 December 2025</w:t>
      </w:r>
      <w:r>
        <w:t>:</w:t>
      </w:r>
      <w:r w:rsidR="00FD4368" w:rsidRPr="00FD4368">
        <w:t xml:space="preserve">  </w:t>
      </w:r>
    </w:p>
    <w:p w14:paraId="2BBE4E0F" w14:textId="14F147CB" w:rsidR="00CD086B" w:rsidRDefault="00516263" w:rsidP="00CD086B">
      <w:r>
        <w:t>-</w:t>
      </w:r>
      <w:r w:rsidR="00CD086B">
        <w:t>The</w:t>
      </w:r>
      <w:r w:rsidR="00CD086B" w:rsidRPr="00075A04">
        <w:t xml:space="preserve"> Environmental Protection (Disposal of Polychlorinated Biphenyls and other Dangerous Substances) (England and Wales) (Amendment) Regulations 2020</w:t>
      </w:r>
      <w:r w:rsidR="00CD086B">
        <w:rPr>
          <w:rStyle w:val="FootnoteReference"/>
        </w:rPr>
        <w:footnoteReference w:id="4"/>
      </w:r>
      <w:r w:rsidR="00CD086B">
        <w:t xml:space="preserve"> </w:t>
      </w:r>
      <w:r w:rsidR="00762B5B">
        <w:t>amend</w:t>
      </w:r>
      <w:r w:rsidR="00DE1A44">
        <w:t>s</w:t>
      </w:r>
      <w:r w:rsidR="00762B5B">
        <w:t xml:space="preserve"> </w:t>
      </w:r>
      <w:r>
        <w:lastRenderedPageBreak/>
        <w:t>t</w:t>
      </w:r>
      <w:r w:rsidR="00E43D8C" w:rsidRPr="00E43D8C">
        <w:t>he Environmental Protection (Disposal of Polychlorinated Biphenyls and other Dangerous Substances) (England and Wales) Regulations 2000</w:t>
      </w:r>
      <w:r w:rsidR="00CD086B" w:rsidDel="00FD4368">
        <w:t xml:space="preserve">.  </w:t>
      </w:r>
    </w:p>
    <w:p w14:paraId="787C4DD7" w14:textId="470563B7" w:rsidR="0772C408" w:rsidRDefault="00516263" w:rsidP="0964F37C">
      <w:pPr>
        <w:rPr>
          <w:rFonts w:cs="Arial"/>
        </w:rPr>
      </w:pPr>
      <w:bookmarkStart w:id="17" w:name="_Hlk65671048"/>
      <w:r>
        <w:rPr>
          <w:rFonts w:cs="Arial"/>
        </w:rPr>
        <w:t>-</w:t>
      </w:r>
      <w:r w:rsidR="0772C408" w:rsidRPr="007F4701">
        <w:rPr>
          <w:rFonts w:cs="Arial"/>
        </w:rPr>
        <w:t>The Environmental Protection (Disposal of Polychlorinated Biphenyls and other Dangerous Substances) (Scotland) Amendment Regulations 2020 amend</w:t>
      </w:r>
      <w:r w:rsidR="00CD0FE1">
        <w:rPr>
          <w:rFonts w:cs="Arial"/>
        </w:rPr>
        <w:t>s</w:t>
      </w:r>
      <w:r w:rsidR="0772C408" w:rsidRPr="007F4701">
        <w:rPr>
          <w:rFonts w:cs="Arial"/>
        </w:rPr>
        <w:t xml:space="preserve"> the Environmental Protection (Disposal of Polychlorinated Biphenyls and other Dangerous Substances) (Scotland) Regulations 2000 (SSI 2000/95)</w:t>
      </w:r>
      <w:r w:rsidR="0033137A">
        <w:rPr>
          <w:rStyle w:val="FootnoteReference"/>
          <w:rFonts w:cs="Arial"/>
        </w:rPr>
        <w:footnoteReference w:id="5"/>
      </w:r>
      <w:r w:rsidR="0772C408" w:rsidRPr="007F4701">
        <w:rPr>
          <w:rFonts w:cs="Arial"/>
        </w:rPr>
        <w:t>.</w:t>
      </w:r>
    </w:p>
    <w:bookmarkEnd w:id="17"/>
    <w:p w14:paraId="605751EF" w14:textId="2BA0E43B" w:rsidR="00381DBD" w:rsidRDefault="00CD0FE1" w:rsidP="0964F37C">
      <w:pPr>
        <w:rPr>
          <w:rFonts w:cs="Arial"/>
        </w:rPr>
      </w:pPr>
      <w:r>
        <w:rPr>
          <w:rFonts w:cs="Arial"/>
        </w:rPr>
        <w:t>Northern Ireland</w:t>
      </w:r>
      <w:r w:rsidR="00052D8F">
        <w:rPr>
          <w:rFonts w:cs="Arial"/>
        </w:rPr>
        <w:t xml:space="preserve"> </w:t>
      </w:r>
      <w:r w:rsidR="00381DBD">
        <w:rPr>
          <w:rFonts w:cs="Arial"/>
        </w:rPr>
        <w:t>is</w:t>
      </w:r>
      <w:r w:rsidR="00A973C3">
        <w:rPr>
          <w:rFonts w:cs="Arial"/>
        </w:rPr>
        <w:t xml:space="preserve"> planning similar legislation in 2021, with a view to meeting the 2025 </w:t>
      </w:r>
      <w:r w:rsidR="009F3761">
        <w:rPr>
          <w:rFonts w:cs="Arial"/>
        </w:rPr>
        <w:t xml:space="preserve">Stockholm Convention </w:t>
      </w:r>
      <w:r w:rsidR="00A973C3">
        <w:rPr>
          <w:rFonts w:cs="Arial"/>
        </w:rPr>
        <w:t>deadline</w:t>
      </w:r>
      <w:r w:rsidR="009F3761">
        <w:rPr>
          <w:rFonts w:cs="Arial"/>
        </w:rPr>
        <w:t xml:space="preserve"> </w:t>
      </w:r>
      <w:r w:rsidR="009E5711" w:rsidRPr="009E5711">
        <w:rPr>
          <w:rFonts w:cs="Arial"/>
        </w:rPr>
        <w:t xml:space="preserve">to remove from use all transformer equipment contaminated with set levels of PCBs by 31 December 2025. </w:t>
      </w:r>
    </w:p>
    <w:p w14:paraId="15B4FDE3" w14:textId="5AD1C819" w:rsidR="00564EAC" w:rsidRDefault="00564EAC" w:rsidP="00564EAC">
      <w:pPr>
        <w:pStyle w:val="Heading3"/>
      </w:pPr>
      <w:r>
        <w:t>Exemptions from bans and restrictions on production and use</w:t>
      </w:r>
    </w:p>
    <w:p w14:paraId="6B5A3601" w14:textId="566064D4" w:rsidR="00650AFE" w:rsidRDefault="00564EAC" w:rsidP="00564EAC">
      <w:r>
        <w:t>The Stockholm Convention allows Parties to register</w:t>
      </w:r>
      <w:r w:rsidR="00F27FCF">
        <w:t xml:space="preserve"> </w:t>
      </w:r>
      <w:r w:rsidR="00296D91">
        <w:t xml:space="preserve">exemptions to the </w:t>
      </w:r>
      <w:r w:rsidR="00975FD2">
        <w:t>prohibitions set out in Annex A of the Convention</w:t>
      </w:r>
      <w:r w:rsidR="00FE0F6D">
        <w:t>.</w:t>
      </w:r>
      <w:r w:rsidR="00FB4573">
        <w:t xml:space="preserve"> These exemptions are time-limited </w:t>
      </w:r>
      <w:r w:rsidR="0021279B">
        <w:t xml:space="preserve">to </w:t>
      </w:r>
      <w:r w:rsidR="0067549B">
        <w:t xml:space="preserve">a maximum of </w:t>
      </w:r>
      <w:r w:rsidR="0021279B">
        <w:t>5 years and, in accordance with Article</w:t>
      </w:r>
      <w:r w:rsidR="00F47DB7">
        <w:t xml:space="preserve"> 4 </w:t>
      </w:r>
      <w:r w:rsidR="0021279B">
        <w:t>of the Convention</w:t>
      </w:r>
      <w:r w:rsidR="00F47DB7">
        <w:t>,</w:t>
      </w:r>
      <w:r w:rsidR="0021279B">
        <w:t xml:space="preserve"> review</w:t>
      </w:r>
      <w:r w:rsidR="00AD7059">
        <w:t xml:space="preserve"> dates</w:t>
      </w:r>
      <w:r w:rsidR="0021279B">
        <w:t xml:space="preserve"> can be agreed</w:t>
      </w:r>
      <w:r w:rsidR="00241FEB">
        <w:t xml:space="preserve"> to consider the continued need for exemptions.</w:t>
      </w:r>
      <w:r w:rsidR="00F27FCF">
        <w:t xml:space="preserve"> </w:t>
      </w:r>
    </w:p>
    <w:p w14:paraId="132DDEF7" w14:textId="4B08F819" w:rsidR="00564EAC" w:rsidRPr="00564EAC" w:rsidRDefault="00564EAC" w:rsidP="00564EAC">
      <w:r>
        <w:t>Registrations were previously agreed at EU level and implemented through the EU POPs Regulation</w:t>
      </w:r>
      <w:r w:rsidR="00650AFE">
        <w:t xml:space="preserve">. </w:t>
      </w:r>
      <w:r w:rsidR="00716432">
        <w:t>E</w:t>
      </w:r>
      <w:r>
        <w:t xml:space="preserve">xemptions in force on 31 December 2020 have been retained in the POPs </w:t>
      </w:r>
      <w:r w:rsidR="005146C0">
        <w:t>legislation</w:t>
      </w:r>
      <w:r>
        <w:t>.</w:t>
      </w:r>
    </w:p>
    <w:p w14:paraId="72C1D57A" w14:textId="616C2528" w:rsidR="00A23479" w:rsidRPr="00A23479" w:rsidRDefault="00C56D2A" w:rsidP="00A23479">
      <w:r w:rsidRPr="00C56D2A">
        <w:t>A Party may, at any time, withdraw an entry from the Register for a specific exemption</w:t>
      </w:r>
      <w:r w:rsidR="00515074">
        <w:t>, so i</w:t>
      </w:r>
      <w:r w:rsidR="00C6169F" w:rsidRPr="00C6169F">
        <w:t>n the coming year we plan to review the exemptions we have registered</w:t>
      </w:r>
      <w:r w:rsidR="00241FEB">
        <w:t xml:space="preserve"> </w:t>
      </w:r>
      <w:r w:rsidR="008D2A0B">
        <w:t xml:space="preserve">in the 2020 Regulations </w:t>
      </w:r>
      <w:r w:rsidR="00241FEB">
        <w:t>to determine whether</w:t>
      </w:r>
      <w:r w:rsidR="00C6169F" w:rsidRPr="00C6169F">
        <w:t xml:space="preserve"> they are </w:t>
      </w:r>
      <w:r w:rsidR="00241FEB">
        <w:t xml:space="preserve">still </w:t>
      </w:r>
      <w:r w:rsidR="00C6169F" w:rsidRPr="00C6169F">
        <w:t xml:space="preserve">required by </w:t>
      </w:r>
      <w:r w:rsidR="008D2A0B">
        <w:t>G</w:t>
      </w:r>
      <w:r w:rsidR="004A0B24">
        <w:t xml:space="preserve">reat </w:t>
      </w:r>
      <w:r w:rsidR="008D2A0B">
        <w:t>B</w:t>
      </w:r>
      <w:r w:rsidR="004A0B24">
        <w:t>ritain</w:t>
      </w:r>
      <w:r w:rsidR="00C6169F" w:rsidRPr="00C6169F">
        <w:t xml:space="preserve">. </w:t>
      </w:r>
    </w:p>
    <w:p w14:paraId="7407E45B" w14:textId="33334F93" w:rsidR="006F5149" w:rsidRDefault="006F5149" w:rsidP="006F5149">
      <w:pPr>
        <w:pStyle w:val="Heading3"/>
      </w:pPr>
      <w:r>
        <w:t xml:space="preserve">Movement of POPs </w:t>
      </w:r>
    </w:p>
    <w:p w14:paraId="012C8801" w14:textId="3222C42E" w:rsidR="00B405B8" w:rsidRPr="00E720BC" w:rsidRDefault="00CD086B" w:rsidP="00B405B8">
      <w:pPr>
        <w:rPr>
          <w:rFonts w:ascii="Calibri" w:eastAsia="Calibri" w:hAnsi="Calibri" w:cs="Calibri"/>
          <w:sz w:val="22"/>
          <w:lang w:eastAsia="en-GB"/>
        </w:rPr>
      </w:pPr>
      <w:r w:rsidRPr="00CD086B">
        <w:t>Following the UK’s exit from the EU, we have established in Great Britain</w:t>
      </w:r>
      <w:r w:rsidR="004A0B24">
        <w:t xml:space="preserve"> (GB)</w:t>
      </w:r>
      <w:r w:rsidRPr="00CD086B">
        <w:t xml:space="preserve"> an independent Prior Informed Consent (PIC) regulatory regime for the export and import of certain hazardous chemicals. Businesses </w:t>
      </w:r>
      <w:r w:rsidR="00B405B8">
        <w:t>ex</w:t>
      </w:r>
      <w:r w:rsidR="00F11D02">
        <w:t xml:space="preserve">porting or </w:t>
      </w:r>
      <w:r w:rsidR="00B405B8">
        <w:t>im</w:t>
      </w:r>
      <w:r w:rsidRPr="00CD086B">
        <w:t>porting PIC-listed chemicals from GB are required to comply with the new GB PIC regime. The new</w:t>
      </w:r>
      <w:r w:rsidR="00B405B8">
        <w:t xml:space="preserve"> GB PIC</w:t>
      </w:r>
      <w:r w:rsidRPr="00CD086B">
        <w:t xml:space="preserve"> procedures and </w:t>
      </w:r>
      <w:r w:rsidR="00B405B8">
        <w:t xml:space="preserve">notification </w:t>
      </w:r>
      <w:r w:rsidRPr="00CD086B">
        <w:t>arrangements</w:t>
      </w:r>
      <w:r w:rsidR="00B405B8">
        <w:t xml:space="preserve"> apply to</w:t>
      </w:r>
      <w:r w:rsidRPr="00CD086B">
        <w:t xml:space="preserve"> exports of PIC-listed chemicals from GB </w:t>
      </w:r>
      <w:r w:rsidR="00B405B8">
        <w:t>to Northern Ireland</w:t>
      </w:r>
      <w:r w:rsidR="00FB3397">
        <w:t>.</w:t>
      </w:r>
      <w:r w:rsidR="00B405B8" w:rsidRPr="00E720BC">
        <w:rPr>
          <w:rFonts w:eastAsia="Calibri" w:cs="Arial"/>
          <w:szCs w:val="24"/>
          <w:lang w:eastAsia="en-GB"/>
        </w:rPr>
        <w:t xml:space="preserve"> POPs listed in Part 4 of the GB PIC List are banned for export and can only be exported in small quantities</w:t>
      </w:r>
      <w:r w:rsidR="008D2A0B" w:rsidRPr="00E720BC">
        <w:rPr>
          <w:rFonts w:eastAsia="Calibri" w:cs="Arial"/>
          <w:szCs w:val="24"/>
          <w:lang w:eastAsia="en-GB"/>
        </w:rPr>
        <w:t>,</w:t>
      </w:r>
      <w:r w:rsidR="00B405B8" w:rsidRPr="00E720BC">
        <w:rPr>
          <w:rFonts w:eastAsia="Calibri" w:cs="Arial"/>
          <w:szCs w:val="24"/>
          <w:lang w:eastAsia="en-GB"/>
        </w:rPr>
        <w:t xml:space="preserve"> not exceeding 10kg per year</w:t>
      </w:r>
      <w:r w:rsidR="008D2A0B" w:rsidRPr="00E720BC">
        <w:rPr>
          <w:rFonts w:eastAsia="Calibri" w:cs="Arial"/>
          <w:szCs w:val="24"/>
          <w:lang w:eastAsia="en-GB"/>
        </w:rPr>
        <w:t>,</w:t>
      </w:r>
      <w:r w:rsidR="00B405B8" w:rsidRPr="00E720BC">
        <w:rPr>
          <w:rFonts w:eastAsia="Calibri" w:cs="Arial"/>
          <w:szCs w:val="24"/>
          <w:lang w:eastAsia="en-GB"/>
        </w:rPr>
        <w:t xml:space="preserve"> from each exporter to any importing country, including Northern Ireland, for the purpose of research and analysis. </w:t>
      </w:r>
    </w:p>
    <w:p w14:paraId="7D48E982" w14:textId="6C29E9E7" w:rsidR="00CD086B" w:rsidRPr="00CD086B" w:rsidRDefault="00CD086B" w:rsidP="00B405B8">
      <w:r w:rsidRPr="00CD086B">
        <w:t xml:space="preserve">The new GB PIC regime is </w:t>
      </w:r>
      <w:proofErr w:type="gramStart"/>
      <w:r w:rsidRPr="00CD086B">
        <w:t>similar to</w:t>
      </w:r>
      <w:proofErr w:type="gramEnd"/>
      <w:r w:rsidRPr="00CD086B">
        <w:t xml:space="preserve"> the existing EU regime. The two regimes operate independently of each other and there are different procedures for notifying exports under GB PIC.</w:t>
      </w:r>
    </w:p>
    <w:p w14:paraId="71330E4B" w14:textId="71C58982" w:rsidR="00CD086B" w:rsidRDefault="00CD086B" w:rsidP="00CD086B">
      <w:r w:rsidRPr="00CD086B">
        <w:lastRenderedPageBreak/>
        <w:t>The GB PIC regime is operated by the Health and Safety Executive (HSE) as the PIC Designated National Authority (DNA).</w:t>
      </w:r>
      <w:r w:rsidR="00974335">
        <w:t xml:space="preserve"> Guidance on GB PIC is available on the HSE website </w:t>
      </w:r>
      <w:hyperlink r:id="rId18" w:history="1">
        <w:r w:rsidR="00974335" w:rsidRPr="008D6148">
          <w:rPr>
            <w:rStyle w:val="Hyperlink"/>
          </w:rPr>
          <w:t>https://www.hse.gov.uk/pic/1-jan-changes.htm</w:t>
        </w:r>
      </w:hyperlink>
      <w:r w:rsidR="00974335">
        <w:t xml:space="preserve"> </w:t>
      </w:r>
    </w:p>
    <w:p w14:paraId="42392A1A" w14:textId="602DCB9C" w:rsidR="00755295" w:rsidRPr="00E720BC" w:rsidRDefault="00755295" w:rsidP="00CD086B">
      <w:r w:rsidRPr="00E720BC">
        <w:t>Under the Northern Ireland Protocol, the EU PIC Regulation will continue to apply to Northern Ireland.</w:t>
      </w:r>
    </w:p>
    <w:p w14:paraId="276B323B" w14:textId="4E5D8ABE" w:rsidR="00241FEB" w:rsidRPr="00E720BC" w:rsidRDefault="00241FEB" w:rsidP="00241FEB">
      <w:pPr>
        <w:pStyle w:val="Heading3"/>
      </w:pPr>
      <w:r w:rsidRPr="00E720BC">
        <w:t>Movement of POPs waste</w:t>
      </w:r>
    </w:p>
    <w:p w14:paraId="4EB84D01" w14:textId="417E8EA3" w:rsidR="00CD086B" w:rsidRPr="00CD086B" w:rsidRDefault="00CD086B" w:rsidP="00CD086B">
      <w:bookmarkStart w:id="18" w:name="_Hlk66359119"/>
      <w:bookmarkStart w:id="19" w:name="_Hlk66698261"/>
      <w:r w:rsidRPr="00E720BC" w:rsidDel="005E5832">
        <w:t xml:space="preserve">The </w:t>
      </w:r>
      <w:r w:rsidR="005E5832" w:rsidRPr="00E720BC">
        <w:t xml:space="preserve">export and import </w:t>
      </w:r>
      <w:r w:rsidRPr="00E720BC">
        <w:t xml:space="preserve">of waste </w:t>
      </w:r>
      <w:proofErr w:type="gramStart"/>
      <w:r w:rsidRPr="00E720BC" w:rsidDel="005E5832">
        <w:t>is</w:t>
      </w:r>
      <w:proofErr w:type="gramEnd"/>
      <w:r w:rsidRPr="00E720BC" w:rsidDel="005E5832">
        <w:t xml:space="preserve"> </w:t>
      </w:r>
      <w:r w:rsidR="005E5832" w:rsidRPr="00E720BC">
        <w:t xml:space="preserve">subject to the controls set out in </w:t>
      </w:r>
      <w:r w:rsidR="00E36647" w:rsidRPr="00E720BC">
        <w:t xml:space="preserve">the retained </w:t>
      </w:r>
      <w:r w:rsidR="005E5832" w:rsidRPr="00E720BC">
        <w:t>Regulation (EC) No 1013/2006 on shipments of waste</w:t>
      </w:r>
      <w:r w:rsidR="007B6207" w:rsidRPr="00E720BC">
        <w:t>,</w:t>
      </w:r>
      <w:r w:rsidR="005E5832" w:rsidRPr="00E720BC">
        <w:t xml:space="preserve"> as </w:t>
      </w:r>
      <w:r w:rsidR="00105858" w:rsidRPr="00E720BC">
        <w:t xml:space="preserve">amended </w:t>
      </w:r>
      <w:r w:rsidR="00032913" w:rsidRPr="00E720BC">
        <w:t xml:space="preserve">by </w:t>
      </w:r>
      <w:r w:rsidR="008D16AA" w:rsidRPr="00E720BC">
        <w:t>The International Waste Shipments (Amendment) (EU Exit) Regulations 2019</w:t>
      </w:r>
      <w:r w:rsidR="00516263" w:rsidRPr="00E720BC">
        <w:t>,</w:t>
      </w:r>
      <w:r w:rsidR="00923DCA" w:rsidRPr="00E720BC">
        <w:t xml:space="preserve"> in respect of GB</w:t>
      </w:r>
      <w:r w:rsidR="00755295" w:rsidRPr="00E720BC">
        <w:t>.</w:t>
      </w:r>
      <w:bookmarkEnd w:id="18"/>
      <w:r w:rsidR="00755295" w:rsidRPr="00E720BC">
        <w:t xml:space="preserve"> </w:t>
      </w:r>
      <w:r w:rsidR="00923DCA" w:rsidRPr="00E720BC">
        <w:t xml:space="preserve">Regulation EC No 1013/2006 </w:t>
      </w:r>
      <w:r w:rsidR="00755295" w:rsidRPr="00E720BC">
        <w:t>still</w:t>
      </w:r>
      <w:r w:rsidR="00923DCA" w:rsidRPr="00E720BC">
        <w:t xml:space="preserve"> applies by virtue of the Protocol on Ireland/Northern Ireland in the EU withdrawal agreement in respect of Northern Ireland</w:t>
      </w:r>
      <w:bookmarkEnd w:id="19"/>
      <w:r w:rsidR="00923DCA" w:rsidRPr="00E720BC">
        <w:t>.</w:t>
      </w:r>
      <w:r w:rsidR="00923DCA" w:rsidRPr="00E720BC" w:rsidDel="005E5832">
        <w:t xml:space="preserve"> </w:t>
      </w:r>
      <w:r w:rsidRPr="00E720BC">
        <w:t>These</w:t>
      </w:r>
      <w:r>
        <w:t xml:space="preserve"> regulations apply from the point of loading the waste until it has been fully recovered or disposed of at the destination facility. The controls that apply to a waste shipment from </w:t>
      </w:r>
      <w:r w:rsidR="00923DCA">
        <w:t>GB or Northern Ireland</w:t>
      </w:r>
      <w:r>
        <w:t xml:space="preserve"> will depend on the:</w:t>
      </w:r>
    </w:p>
    <w:p w14:paraId="0F6EFFA6" w14:textId="77777777" w:rsidR="00CD086B" w:rsidRPr="00CD086B" w:rsidRDefault="00CD086B" w:rsidP="00586953">
      <w:pPr>
        <w:numPr>
          <w:ilvl w:val="0"/>
          <w:numId w:val="18"/>
        </w:numPr>
      </w:pPr>
      <w:r w:rsidRPr="00CD086B">
        <w:t>treatment planned for the waste when it reaches its destination</w:t>
      </w:r>
    </w:p>
    <w:p w14:paraId="30524671" w14:textId="77777777" w:rsidR="00CD086B" w:rsidRPr="00CD086B" w:rsidRDefault="00CD086B" w:rsidP="001A5709">
      <w:pPr>
        <w:numPr>
          <w:ilvl w:val="0"/>
          <w:numId w:val="18"/>
        </w:numPr>
      </w:pPr>
      <w:r w:rsidRPr="00CD086B">
        <w:t>country of destination and the transport route</w:t>
      </w:r>
    </w:p>
    <w:p w14:paraId="5F652D4C" w14:textId="77777777" w:rsidR="00CD086B" w:rsidRPr="00CD086B" w:rsidRDefault="00CD086B" w:rsidP="001A5709">
      <w:pPr>
        <w:numPr>
          <w:ilvl w:val="0"/>
          <w:numId w:val="18"/>
        </w:numPr>
      </w:pPr>
      <w:r w:rsidRPr="00CD086B">
        <w:t>waste type</w:t>
      </w:r>
    </w:p>
    <w:p w14:paraId="4787AB0E" w14:textId="27689DAE" w:rsidR="00CD086B" w:rsidRPr="00CD086B" w:rsidRDefault="00974335" w:rsidP="00CD086B">
      <w:r>
        <w:t xml:space="preserve">There are new controls on the movement of waste plastic, which are particularly relevant to POPs waste. </w:t>
      </w:r>
      <w:r w:rsidR="00CD086B" w:rsidRPr="00CD086B">
        <w:t xml:space="preserve">From the 1 January 2021 waste plastic can only be shipped under </w:t>
      </w:r>
      <w:hyperlink r:id="rId19" w:anchor="import-or-export-article-18-controls" w:history="1">
        <w:r w:rsidR="00CD086B" w:rsidRPr="00CD086B">
          <w:rPr>
            <w:rStyle w:val="Hyperlink"/>
          </w:rPr>
          <w:t>Article 18 controls</w:t>
        </w:r>
      </w:hyperlink>
      <w:r w:rsidR="00CD086B" w:rsidRPr="00CD086B">
        <w:t xml:space="preserve"> (also known as ‘green list’) if it meets the requirements of the Basel </w:t>
      </w:r>
      <w:r w:rsidR="00241FEB">
        <w:t xml:space="preserve">Convention waste </w:t>
      </w:r>
      <w:r w:rsidR="00CD086B" w:rsidRPr="00CD086B">
        <w:t xml:space="preserve">code B3011. This means </w:t>
      </w:r>
      <w:r w:rsidR="009D7BCC" w:rsidRPr="00CD086B">
        <w:t>all</w:t>
      </w:r>
      <w:r w:rsidR="00CD086B" w:rsidRPr="00CD086B">
        <w:t xml:space="preserve"> the following apply</w:t>
      </w:r>
      <w:r w:rsidR="00172EA0">
        <w:t>.</w:t>
      </w:r>
      <w:r w:rsidR="00CD086B" w:rsidRPr="00CD086B">
        <w:t xml:space="preserve"> </w:t>
      </w:r>
      <w:r w:rsidR="00172EA0">
        <w:t>T</w:t>
      </w:r>
      <w:r w:rsidR="00CD086B" w:rsidRPr="00CD086B">
        <w:t>he waste plastic must be:</w:t>
      </w:r>
    </w:p>
    <w:p w14:paraId="3ABA07E3" w14:textId="77777777" w:rsidR="00CD086B" w:rsidRPr="00CD086B" w:rsidRDefault="00CD086B" w:rsidP="00586953">
      <w:pPr>
        <w:numPr>
          <w:ilvl w:val="0"/>
          <w:numId w:val="19"/>
        </w:numPr>
      </w:pPr>
      <w:r w:rsidRPr="00CD086B">
        <w:t>a single polymer plastic</w:t>
      </w:r>
    </w:p>
    <w:p w14:paraId="0DCD541A" w14:textId="77777777" w:rsidR="00CD086B" w:rsidRPr="00CD086B" w:rsidRDefault="00CD086B" w:rsidP="00586953">
      <w:pPr>
        <w:numPr>
          <w:ilvl w:val="0"/>
          <w:numId w:val="19"/>
        </w:numPr>
      </w:pPr>
      <w:r w:rsidRPr="00CD086B">
        <w:t>almost free from contamination and other types of waste, including other waste plastics</w:t>
      </w:r>
    </w:p>
    <w:p w14:paraId="19202B9C" w14:textId="77777777" w:rsidR="00CD086B" w:rsidRPr="00CD086B" w:rsidRDefault="00CD086B" w:rsidP="001A5709">
      <w:pPr>
        <w:numPr>
          <w:ilvl w:val="0"/>
          <w:numId w:val="19"/>
        </w:numPr>
      </w:pPr>
      <w:r w:rsidRPr="00CD086B">
        <w:t>recycled by R3 – recycling or reclaiming organic substances that are not used as solvents in an environmentally sound manner</w:t>
      </w:r>
    </w:p>
    <w:p w14:paraId="0235C210" w14:textId="77777777" w:rsidR="00CD086B" w:rsidRPr="00CD086B" w:rsidRDefault="00CD086B" w:rsidP="00CD086B">
      <w:r w:rsidRPr="00CD086B">
        <w:t>Basel code B3011 covers the following waste plastics:</w:t>
      </w:r>
    </w:p>
    <w:p w14:paraId="636290BD" w14:textId="77777777" w:rsidR="00CD086B" w:rsidRPr="00CD086B" w:rsidRDefault="00CD086B" w:rsidP="00586953">
      <w:pPr>
        <w:numPr>
          <w:ilvl w:val="0"/>
          <w:numId w:val="20"/>
        </w:numPr>
      </w:pPr>
      <w:r w:rsidRPr="00CD086B">
        <w:t>non-halogenated polymers</w:t>
      </w:r>
    </w:p>
    <w:p w14:paraId="575793F4" w14:textId="77777777" w:rsidR="00CD086B" w:rsidRPr="00CD086B" w:rsidRDefault="00CD086B" w:rsidP="001A5709">
      <w:pPr>
        <w:numPr>
          <w:ilvl w:val="0"/>
          <w:numId w:val="20"/>
        </w:numPr>
      </w:pPr>
      <w:r w:rsidRPr="00CD086B">
        <w:t>cured resins or condensation products</w:t>
      </w:r>
    </w:p>
    <w:p w14:paraId="55D3DAB2" w14:textId="77777777" w:rsidR="00CD086B" w:rsidRPr="00CD086B" w:rsidRDefault="00CD086B" w:rsidP="001A5709">
      <w:pPr>
        <w:numPr>
          <w:ilvl w:val="0"/>
          <w:numId w:val="20"/>
        </w:numPr>
      </w:pPr>
      <w:r w:rsidRPr="00CD086B">
        <w:t>fluorinated polymers – but only those specifically named and excluding post-consumer wastes</w:t>
      </w:r>
    </w:p>
    <w:p w14:paraId="035899C2" w14:textId="4E8D93BB" w:rsidR="006F5149" w:rsidRDefault="00380D57" w:rsidP="00EB778D">
      <w:pPr>
        <w:pStyle w:val="Heading2"/>
      </w:pPr>
      <w:bookmarkStart w:id="20" w:name="_Toc67030062"/>
      <w:proofErr w:type="spellStart"/>
      <w:r>
        <w:lastRenderedPageBreak/>
        <w:t>Decabromodiphenyl</w:t>
      </w:r>
      <w:proofErr w:type="spellEnd"/>
      <w:r>
        <w:t xml:space="preserve"> ether (</w:t>
      </w:r>
      <w:proofErr w:type="spellStart"/>
      <w:r>
        <w:t>decaBDE</w:t>
      </w:r>
      <w:proofErr w:type="spellEnd"/>
      <w:r>
        <w:t>)</w:t>
      </w:r>
      <w:bookmarkEnd w:id="20"/>
    </w:p>
    <w:p w14:paraId="28695B3B" w14:textId="554FF642" w:rsidR="00380D57" w:rsidRDefault="00380D57" w:rsidP="00380D57">
      <w:pPr>
        <w:pStyle w:val="Heading3"/>
      </w:pPr>
      <w:r>
        <w:t>Production and use</w:t>
      </w:r>
    </w:p>
    <w:p w14:paraId="53F2FB82" w14:textId="5A0DF13E" w:rsidR="009A3605" w:rsidRPr="00E40932" w:rsidRDefault="25AD0589" w:rsidP="00E40932">
      <w:proofErr w:type="spellStart"/>
      <w:r w:rsidRPr="00E40932">
        <w:t>Decabrom</w:t>
      </w:r>
      <w:r w:rsidR="736EEE84" w:rsidRPr="00E40932">
        <w:t>o</w:t>
      </w:r>
      <w:r w:rsidRPr="00E40932">
        <w:t>diphenyl</w:t>
      </w:r>
      <w:proofErr w:type="spellEnd"/>
      <w:r w:rsidRPr="00E40932">
        <w:t xml:space="preserve"> ether (</w:t>
      </w:r>
      <w:proofErr w:type="spellStart"/>
      <w:r w:rsidRPr="00E40932">
        <w:t>decaBDE</w:t>
      </w:r>
      <w:proofErr w:type="spellEnd"/>
      <w:r w:rsidRPr="00E40932">
        <w:t xml:space="preserve"> or BDE-209) </w:t>
      </w:r>
      <w:r w:rsidR="007E60BF">
        <w:t>is a synthetic substance with no known natural occurrence</w:t>
      </w:r>
      <w:r w:rsidR="00241FEB">
        <w:t>. It</w:t>
      </w:r>
      <w:r w:rsidR="007E60BF">
        <w:t xml:space="preserve"> has been widely used as </w:t>
      </w:r>
      <w:r w:rsidR="00A31EA1">
        <w:t>a</w:t>
      </w:r>
      <w:r w:rsidRPr="00E40932">
        <w:t xml:space="preserve"> flame retardant</w:t>
      </w:r>
      <w:r w:rsidR="007E60BF">
        <w:t xml:space="preserve"> in a wide variety of applications such as plastics, polymers, composites, textiles, adhesives, sealants, coatings and inks</w:t>
      </w:r>
      <w:r w:rsidRPr="00E40932">
        <w:t>.</w:t>
      </w:r>
      <w:r w:rsidR="007E60BF">
        <w:t xml:space="preserve"> </w:t>
      </w:r>
      <w:r w:rsidRPr="00E40932">
        <w:t xml:space="preserve"> </w:t>
      </w:r>
    </w:p>
    <w:p w14:paraId="04674020" w14:textId="0F7D2EF6" w:rsidR="00172724" w:rsidRPr="00E40932" w:rsidRDefault="00172724" w:rsidP="00E40932">
      <w:r w:rsidRPr="00E40932">
        <w:t xml:space="preserve">Articles known to have used </w:t>
      </w:r>
      <w:proofErr w:type="spellStart"/>
      <w:r w:rsidRPr="00E40932">
        <w:t>decaBDE</w:t>
      </w:r>
      <w:proofErr w:type="spellEnd"/>
      <w:r w:rsidRPr="00E40932">
        <w:t xml:space="preserve"> include car seats, computers, soft furnishings, coated textiles, televisions, window blinds, curtains, mattresses, polymers, wire and cable, plastics, construction materials (roofing, insulation, piping, ducting, hoses, cables), car and aircraft parts.  </w:t>
      </w:r>
    </w:p>
    <w:p w14:paraId="566567AA" w14:textId="2FC61E07" w:rsidR="007E6670" w:rsidRDefault="009A3605" w:rsidP="00E40932">
      <w:pPr>
        <w:rPr>
          <w:rFonts w:eastAsia="Calibri"/>
          <w:color w:val="000000"/>
        </w:rPr>
      </w:pPr>
      <w:r w:rsidRPr="00E40932">
        <w:rPr>
          <w:rFonts w:eastAsia="Calibri"/>
          <w:color w:val="000000"/>
        </w:rPr>
        <w:t xml:space="preserve">It was </w:t>
      </w:r>
      <w:r w:rsidR="002B5412">
        <w:rPr>
          <w:rFonts w:eastAsia="Calibri"/>
          <w:color w:val="000000"/>
        </w:rPr>
        <w:t xml:space="preserve">decided to </w:t>
      </w:r>
      <w:r w:rsidRPr="00E40932">
        <w:rPr>
          <w:rFonts w:eastAsia="Calibri"/>
          <w:color w:val="000000"/>
        </w:rPr>
        <w:t>add</w:t>
      </w:r>
      <w:r w:rsidR="002B5412">
        <w:rPr>
          <w:rFonts w:eastAsia="Calibri"/>
          <w:color w:val="000000"/>
        </w:rPr>
        <w:t xml:space="preserve"> </w:t>
      </w:r>
      <w:proofErr w:type="spellStart"/>
      <w:r w:rsidR="002B5412">
        <w:rPr>
          <w:rFonts w:eastAsia="Calibri"/>
          <w:color w:val="000000"/>
        </w:rPr>
        <w:t>decaBDE</w:t>
      </w:r>
      <w:proofErr w:type="spellEnd"/>
      <w:r w:rsidRPr="00E40932">
        <w:rPr>
          <w:rFonts w:eastAsia="Calibri"/>
          <w:color w:val="000000"/>
        </w:rPr>
        <w:t xml:space="preserve"> to the Stockholm Convention at the eighth conference of the parties (COP</w:t>
      </w:r>
      <w:r w:rsidR="00FC06FB">
        <w:rPr>
          <w:rFonts w:eastAsia="Calibri"/>
          <w:color w:val="000000"/>
        </w:rPr>
        <w:t xml:space="preserve"> </w:t>
      </w:r>
      <w:r w:rsidRPr="00E40932">
        <w:rPr>
          <w:rFonts w:eastAsia="Calibri"/>
          <w:color w:val="000000"/>
        </w:rPr>
        <w:t>8)</w:t>
      </w:r>
      <w:r w:rsidR="00A31EA1">
        <w:rPr>
          <w:rFonts w:eastAsia="Calibri"/>
          <w:color w:val="000000"/>
        </w:rPr>
        <w:t xml:space="preserve"> in May 2017</w:t>
      </w:r>
      <w:r w:rsidRPr="00E40932">
        <w:rPr>
          <w:rFonts w:eastAsia="Calibri"/>
          <w:color w:val="000000"/>
        </w:rPr>
        <w:t xml:space="preserve">. This places </w:t>
      </w:r>
      <w:proofErr w:type="spellStart"/>
      <w:r w:rsidRPr="00E40932">
        <w:rPr>
          <w:rFonts w:eastAsia="Calibri"/>
          <w:color w:val="000000"/>
        </w:rPr>
        <w:t>decaBDE</w:t>
      </w:r>
      <w:proofErr w:type="spellEnd"/>
      <w:r w:rsidRPr="00E40932">
        <w:rPr>
          <w:rFonts w:eastAsia="Calibri"/>
          <w:color w:val="000000"/>
        </w:rPr>
        <w:t xml:space="preserve"> in Annex A (banned) with some specific (time limited) exemptions</w:t>
      </w:r>
      <w:r w:rsidR="00172724" w:rsidRPr="00E40932">
        <w:rPr>
          <w:rFonts w:eastAsia="Calibri"/>
          <w:color w:val="000000"/>
        </w:rPr>
        <w:t xml:space="preserve">. </w:t>
      </w:r>
    </w:p>
    <w:p w14:paraId="2603A188" w14:textId="08D720C9" w:rsidR="007E6670" w:rsidRDefault="00172724" w:rsidP="00E40932">
      <w:pPr>
        <w:rPr>
          <w:rFonts w:eastAsia="Calibri"/>
          <w:color w:val="000000"/>
        </w:rPr>
      </w:pPr>
      <w:r w:rsidRPr="00E40932">
        <w:rPr>
          <w:rFonts w:eastAsia="Calibri"/>
          <w:color w:val="000000"/>
        </w:rPr>
        <w:t>Production</w:t>
      </w:r>
      <w:r w:rsidR="00207072">
        <w:rPr>
          <w:rFonts w:eastAsia="Calibri"/>
          <w:color w:val="000000"/>
        </w:rPr>
        <w:t xml:space="preserve"> of </w:t>
      </w:r>
      <w:proofErr w:type="spellStart"/>
      <w:r w:rsidR="00207072">
        <w:rPr>
          <w:rFonts w:eastAsia="Calibri"/>
          <w:color w:val="000000"/>
        </w:rPr>
        <w:t>deca</w:t>
      </w:r>
      <w:r w:rsidR="0008508B">
        <w:rPr>
          <w:rFonts w:eastAsia="Calibri"/>
          <w:color w:val="000000"/>
        </w:rPr>
        <w:t>BDE</w:t>
      </w:r>
      <w:proofErr w:type="spellEnd"/>
      <w:r w:rsidRPr="00E40932">
        <w:rPr>
          <w:rFonts w:eastAsia="Calibri"/>
          <w:color w:val="000000"/>
        </w:rPr>
        <w:t xml:space="preserve"> in the UK ceased in 1996 and</w:t>
      </w:r>
      <w:r w:rsidR="00B34FA2" w:rsidRPr="00E40932">
        <w:rPr>
          <w:rFonts w:eastAsia="Calibri"/>
          <w:lang w:eastAsia="en-GB"/>
        </w:rPr>
        <w:t xml:space="preserve"> </w:t>
      </w:r>
      <w:r w:rsidR="00A31EA1">
        <w:rPr>
          <w:rFonts w:eastAsia="Calibri"/>
          <w:lang w:eastAsia="en-GB"/>
        </w:rPr>
        <w:t>g</w:t>
      </w:r>
      <w:r w:rsidR="00B34FA2" w:rsidRPr="00E40932">
        <w:rPr>
          <w:rFonts w:eastAsia="Calibri"/>
          <w:color w:val="000000"/>
        </w:rPr>
        <w:t>rowing concerns regarding the</w:t>
      </w:r>
      <w:r w:rsidR="00A31EA1">
        <w:rPr>
          <w:rFonts w:eastAsia="Calibri"/>
          <w:color w:val="000000"/>
        </w:rPr>
        <w:t xml:space="preserve"> effects of </w:t>
      </w:r>
      <w:proofErr w:type="spellStart"/>
      <w:r w:rsidR="00A31EA1">
        <w:rPr>
          <w:rFonts w:eastAsia="Calibri"/>
          <w:color w:val="000000"/>
        </w:rPr>
        <w:t>decaBDE</w:t>
      </w:r>
      <w:proofErr w:type="spellEnd"/>
      <w:r w:rsidR="00A31EA1">
        <w:rPr>
          <w:rFonts w:eastAsia="Calibri"/>
          <w:color w:val="000000"/>
        </w:rPr>
        <w:t xml:space="preserve"> on</w:t>
      </w:r>
      <w:r w:rsidR="00B34FA2" w:rsidRPr="00E40932">
        <w:rPr>
          <w:rFonts w:eastAsia="Calibri"/>
          <w:color w:val="000000"/>
        </w:rPr>
        <w:t xml:space="preserve"> human health and </w:t>
      </w:r>
      <w:r w:rsidR="00A31EA1">
        <w:rPr>
          <w:rFonts w:eastAsia="Calibri"/>
          <w:color w:val="000000"/>
        </w:rPr>
        <w:t xml:space="preserve">the </w:t>
      </w:r>
      <w:r w:rsidR="00B34FA2" w:rsidRPr="00E40932">
        <w:rPr>
          <w:rFonts w:eastAsia="Calibri"/>
          <w:color w:val="000000"/>
        </w:rPr>
        <w:t>environment</w:t>
      </w:r>
      <w:r w:rsidR="00A31EA1">
        <w:rPr>
          <w:rFonts w:eastAsia="Calibri"/>
          <w:color w:val="000000"/>
        </w:rPr>
        <w:t xml:space="preserve"> </w:t>
      </w:r>
      <w:r w:rsidR="00B34FA2" w:rsidRPr="00E40932">
        <w:rPr>
          <w:rFonts w:eastAsia="Calibri"/>
          <w:color w:val="000000"/>
        </w:rPr>
        <w:t xml:space="preserve">meant that UK industry began to phase-out </w:t>
      </w:r>
      <w:r w:rsidR="00A75870">
        <w:rPr>
          <w:rFonts w:eastAsia="Calibri"/>
          <w:color w:val="000000"/>
        </w:rPr>
        <w:t>its</w:t>
      </w:r>
      <w:r w:rsidR="00B34FA2" w:rsidRPr="00E40932">
        <w:rPr>
          <w:rFonts w:eastAsia="Calibri"/>
          <w:color w:val="000000"/>
        </w:rPr>
        <w:t xml:space="preserve"> use from 200</w:t>
      </w:r>
      <w:r w:rsidR="006F75CF">
        <w:rPr>
          <w:rFonts w:eastAsia="Calibri"/>
          <w:color w:val="000000"/>
        </w:rPr>
        <w:t>6</w:t>
      </w:r>
      <w:r w:rsidR="00B34FA2" w:rsidRPr="00E40932">
        <w:rPr>
          <w:rFonts w:eastAsia="Calibri"/>
          <w:color w:val="000000"/>
        </w:rPr>
        <w:t xml:space="preserve"> onwards</w:t>
      </w:r>
      <w:r w:rsidR="00D50FA5">
        <w:rPr>
          <w:rFonts w:eastAsia="Calibri"/>
          <w:color w:val="000000"/>
        </w:rPr>
        <w:t xml:space="preserve">, when it was </w:t>
      </w:r>
      <w:r w:rsidR="00A94D85">
        <w:rPr>
          <w:rFonts w:eastAsia="Calibri"/>
          <w:color w:val="000000"/>
        </w:rPr>
        <w:t xml:space="preserve">included as a substance requiring </w:t>
      </w:r>
      <w:r w:rsidR="00E7099F">
        <w:rPr>
          <w:rFonts w:eastAsia="Calibri"/>
          <w:color w:val="000000"/>
        </w:rPr>
        <w:t>restriction</w:t>
      </w:r>
      <w:r w:rsidR="0086697A">
        <w:rPr>
          <w:rFonts w:eastAsia="Calibri"/>
          <w:color w:val="000000"/>
        </w:rPr>
        <w:t xml:space="preserve"> in electrical and electronic equipment </w:t>
      </w:r>
      <w:r w:rsidR="00D50FA5">
        <w:rPr>
          <w:rFonts w:eastAsia="Calibri"/>
          <w:color w:val="000000"/>
        </w:rPr>
        <w:t xml:space="preserve">under </w:t>
      </w:r>
      <w:r w:rsidR="00D70F54">
        <w:rPr>
          <w:rFonts w:eastAsia="Calibri"/>
          <w:color w:val="000000"/>
        </w:rPr>
        <w:t xml:space="preserve">the </w:t>
      </w:r>
      <w:r w:rsidR="00D50FA5">
        <w:rPr>
          <w:rFonts w:eastAsia="Calibri"/>
          <w:color w:val="000000"/>
        </w:rPr>
        <w:t>R</w:t>
      </w:r>
      <w:r w:rsidR="00EE6BC3">
        <w:rPr>
          <w:rFonts w:eastAsia="Calibri"/>
          <w:color w:val="000000"/>
        </w:rPr>
        <w:t xml:space="preserve">estriction </w:t>
      </w:r>
      <w:r w:rsidR="00D50FA5">
        <w:rPr>
          <w:rFonts w:eastAsia="Calibri"/>
          <w:color w:val="000000"/>
        </w:rPr>
        <w:t>o</w:t>
      </w:r>
      <w:r w:rsidR="00EE6BC3">
        <w:rPr>
          <w:rFonts w:eastAsia="Calibri"/>
          <w:color w:val="000000"/>
        </w:rPr>
        <w:t xml:space="preserve">f </w:t>
      </w:r>
      <w:r w:rsidR="00D50FA5">
        <w:rPr>
          <w:rFonts w:eastAsia="Calibri"/>
          <w:color w:val="000000"/>
        </w:rPr>
        <w:t>H</w:t>
      </w:r>
      <w:r w:rsidR="00EE6BC3">
        <w:rPr>
          <w:rFonts w:eastAsia="Calibri"/>
          <w:color w:val="000000"/>
        </w:rPr>
        <w:t xml:space="preserve">azardous </w:t>
      </w:r>
      <w:r w:rsidR="00D50FA5">
        <w:rPr>
          <w:rFonts w:eastAsia="Calibri"/>
          <w:color w:val="000000"/>
        </w:rPr>
        <w:t>S</w:t>
      </w:r>
      <w:r w:rsidR="00EE6BC3">
        <w:rPr>
          <w:rFonts w:eastAsia="Calibri"/>
          <w:color w:val="000000"/>
        </w:rPr>
        <w:t xml:space="preserve">ubstances </w:t>
      </w:r>
      <w:r w:rsidR="00D70F54">
        <w:rPr>
          <w:rFonts w:eastAsia="Calibri"/>
          <w:color w:val="000000"/>
        </w:rPr>
        <w:t>Directive</w:t>
      </w:r>
      <w:r w:rsidR="00241FEB">
        <w:rPr>
          <w:rFonts w:eastAsia="Calibri"/>
          <w:color w:val="000000"/>
        </w:rPr>
        <w:t xml:space="preserve"> (RoHS)</w:t>
      </w:r>
      <w:r w:rsidR="00B34FA2" w:rsidRPr="00E40932">
        <w:rPr>
          <w:rFonts w:eastAsia="Calibri"/>
          <w:color w:val="000000"/>
        </w:rPr>
        <w:t xml:space="preserve">. </w:t>
      </w:r>
      <w:r w:rsidR="0086697A">
        <w:rPr>
          <w:rFonts w:eastAsia="Calibri"/>
          <w:color w:val="000000"/>
        </w:rPr>
        <w:t xml:space="preserve">Under </w:t>
      </w:r>
      <w:r w:rsidR="00C43006">
        <w:rPr>
          <w:rFonts w:eastAsia="Calibri"/>
          <w:color w:val="000000"/>
        </w:rPr>
        <w:t>Registration, Evaluation, Authorisation of Chemicals (</w:t>
      </w:r>
      <w:r w:rsidR="0086697A">
        <w:rPr>
          <w:rFonts w:eastAsia="Calibri"/>
          <w:color w:val="000000"/>
        </w:rPr>
        <w:t>REACH</w:t>
      </w:r>
      <w:r w:rsidR="00C43006">
        <w:rPr>
          <w:rFonts w:eastAsia="Calibri"/>
          <w:color w:val="000000"/>
        </w:rPr>
        <w:t>)</w:t>
      </w:r>
      <w:r w:rsidR="0086697A">
        <w:rPr>
          <w:rFonts w:eastAsia="Calibri"/>
          <w:color w:val="000000"/>
        </w:rPr>
        <w:t xml:space="preserve">, it was added to the </w:t>
      </w:r>
      <w:r w:rsidR="0086697A">
        <w:rPr>
          <w:rFonts w:cs="Arial"/>
          <w:color w:val="000000"/>
          <w:shd w:val="clear" w:color="auto" w:fill="FFFFFF"/>
        </w:rPr>
        <w:t xml:space="preserve">Candidate List of substances of very high concern (SVHC) in December 2012 and restricted in 2017, with that restriction coming in to force in March 2019. </w:t>
      </w:r>
    </w:p>
    <w:p w14:paraId="2BA79E97" w14:textId="4011836E" w:rsidR="009A3605" w:rsidRDefault="004A32E9" w:rsidP="00E40932">
      <w:pPr>
        <w:rPr>
          <w:rFonts w:eastAsia="Calibri"/>
          <w:color w:val="000000"/>
        </w:rPr>
      </w:pPr>
      <w:r>
        <w:rPr>
          <w:rFonts w:eastAsia="Calibri"/>
          <w:color w:val="000000"/>
        </w:rPr>
        <w:t>Imports into the EU were reduced to 4,133 tonnes by 2012 (</w:t>
      </w:r>
      <w:r w:rsidR="00303E32">
        <w:rPr>
          <w:rFonts w:eastAsia="Calibri"/>
          <w:color w:val="000000"/>
        </w:rPr>
        <w:t>UNEP, 2017</w:t>
      </w:r>
      <w:r>
        <w:rPr>
          <w:rFonts w:eastAsia="Calibri"/>
          <w:color w:val="000000"/>
        </w:rPr>
        <w:t>)</w:t>
      </w:r>
      <w:r w:rsidR="00FF0188">
        <w:rPr>
          <w:rFonts w:eastAsia="Calibri"/>
          <w:color w:val="000000"/>
        </w:rPr>
        <w:t xml:space="preserve">. </w:t>
      </w:r>
      <w:r w:rsidR="00FF0188">
        <w:t xml:space="preserve">Based on Eurostat data, the UK imported 2,000 tonnes of </w:t>
      </w:r>
      <w:proofErr w:type="spellStart"/>
      <w:r w:rsidR="00FF0188">
        <w:t>decaBDE</w:t>
      </w:r>
      <w:proofErr w:type="spellEnd"/>
      <w:r w:rsidR="00FF0188">
        <w:t xml:space="preserve"> in 2000, which thereafter declined, falling to 100 tonnes per annum in 2012 and ceasing shortly thereafter (Wood, </w:t>
      </w:r>
      <w:r w:rsidR="00690A69">
        <w:t>unpublished c</w:t>
      </w:r>
      <w:r w:rsidR="00FF0188">
        <w:t>)</w:t>
      </w:r>
      <w:r w:rsidR="009E7427">
        <w:t>.</w:t>
      </w:r>
      <w:r w:rsidR="00080AB2">
        <w:rPr>
          <w:rFonts w:eastAsia="Calibri"/>
          <w:color w:val="000000"/>
        </w:rPr>
        <w:t xml:space="preserve"> </w:t>
      </w:r>
    </w:p>
    <w:p w14:paraId="21D32D81" w14:textId="7AEBE694" w:rsidR="00BA28E5" w:rsidRDefault="00BA28E5" w:rsidP="00E40932">
      <w:pPr>
        <w:rPr>
          <w:rFonts w:eastAsia="Calibri"/>
          <w:color w:val="000000"/>
        </w:rPr>
      </w:pPr>
      <w:r>
        <w:rPr>
          <w:rFonts w:eastAsia="Calibri"/>
          <w:color w:val="000000"/>
        </w:rPr>
        <w:t>Th</w:t>
      </w:r>
      <w:r w:rsidR="00877498">
        <w:rPr>
          <w:rFonts w:eastAsia="Calibri"/>
          <w:color w:val="000000"/>
        </w:rPr>
        <w:t xml:space="preserve">rough the </w:t>
      </w:r>
      <w:r w:rsidR="001E07B3">
        <w:rPr>
          <w:rFonts w:eastAsia="Calibri"/>
          <w:color w:val="000000"/>
        </w:rPr>
        <w:t>EU, the</w:t>
      </w:r>
      <w:r>
        <w:rPr>
          <w:rFonts w:eastAsia="Calibri"/>
          <w:color w:val="000000"/>
        </w:rPr>
        <w:t xml:space="preserve"> UK has registered the following time limited exemptions for the use of </w:t>
      </w:r>
      <w:proofErr w:type="spellStart"/>
      <w:r>
        <w:rPr>
          <w:rFonts w:eastAsia="Calibri"/>
          <w:color w:val="000000"/>
        </w:rPr>
        <w:t>decaBDE</w:t>
      </w:r>
      <w:proofErr w:type="spellEnd"/>
      <w:r w:rsidR="008007CA">
        <w:rPr>
          <w:rFonts w:eastAsia="Calibri"/>
          <w:color w:val="000000"/>
        </w:rPr>
        <w:t>.</w:t>
      </w:r>
      <w:r w:rsidR="008007CA" w:rsidDel="00B27510">
        <w:rPr>
          <w:rFonts w:eastAsia="Calibri"/>
          <w:color w:val="000000"/>
        </w:rPr>
        <w:t xml:space="preserve"> </w:t>
      </w:r>
      <w:r w:rsidR="00D16BF6">
        <w:rPr>
          <w:rFonts w:eastAsia="Calibri"/>
          <w:color w:val="000000"/>
        </w:rPr>
        <w:t>Current exemptions are available for</w:t>
      </w:r>
      <w:r>
        <w:rPr>
          <w:rFonts w:eastAsia="Calibri"/>
          <w:color w:val="000000"/>
        </w:rPr>
        <w:t>:</w:t>
      </w:r>
    </w:p>
    <w:p w14:paraId="5F160CF8" w14:textId="531BE734" w:rsidR="00BA28E5" w:rsidRDefault="00BA28E5" w:rsidP="00586953">
      <w:pPr>
        <w:pStyle w:val="ListParagraph"/>
        <w:numPr>
          <w:ilvl w:val="0"/>
          <w:numId w:val="49"/>
        </w:numPr>
        <w:rPr>
          <w:rFonts w:eastAsia="Calibri"/>
          <w:color w:val="000000"/>
        </w:rPr>
      </w:pPr>
      <w:r>
        <w:rPr>
          <w:rFonts w:eastAsia="Calibri"/>
          <w:color w:val="000000"/>
        </w:rPr>
        <w:t>the manufacturing of aircraft</w:t>
      </w:r>
    </w:p>
    <w:p w14:paraId="4EC1299B" w14:textId="70818517" w:rsidR="00BA28E5" w:rsidRDefault="00BA28E5">
      <w:pPr>
        <w:pStyle w:val="ListParagraph"/>
        <w:numPr>
          <w:ilvl w:val="0"/>
          <w:numId w:val="49"/>
        </w:numPr>
        <w:rPr>
          <w:rFonts w:eastAsia="Calibri"/>
          <w:color w:val="000000"/>
        </w:rPr>
      </w:pPr>
      <w:r>
        <w:rPr>
          <w:rFonts w:eastAsia="Calibri"/>
          <w:color w:val="000000"/>
        </w:rPr>
        <w:t>the manufacturing of spare parts for aircraft and motor vehicles</w:t>
      </w:r>
    </w:p>
    <w:p w14:paraId="6EF6CA97" w14:textId="39FE72F4" w:rsidR="00720D54" w:rsidRDefault="00BA28E5">
      <w:pPr>
        <w:pStyle w:val="ListParagraph"/>
        <w:numPr>
          <w:ilvl w:val="0"/>
          <w:numId w:val="49"/>
        </w:numPr>
        <w:rPr>
          <w:rFonts w:eastAsia="Calibri"/>
          <w:color w:val="000000"/>
        </w:rPr>
      </w:pPr>
      <w:r>
        <w:rPr>
          <w:rFonts w:eastAsia="Calibri"/>
          <w:color w:val="000000"/>
        </w:rPr>
        <w:t xml:space="preserve">electric and electronic equipment </w:t>
      </w:r>
      <w:r w:rsidR="009E7427">
        <w:rPr>
          <w:rFonts w:eastAsia="Calibri"/>
          <w:color w:val="000000"/>
        </w:rPr>
        <w:t>within the scope and in conformance with</w:t>
      </w:r>
      <w:r w:rsidR="006E6ADA" w:rsidRPr="006E6ADA">
        <w:rPr>
          <w:rFonts w:eastAsia="Calibri"/>
          <w:color w:val="000000"/>
        </w:rPr>
        <w:t xml:space="preserve"> </w:t>
      </w:r>
      <w:r w:rsidR="007E6670">
        <w:rPr>
          <w:rFonts w:eastAsia="Calibri"/>
          <w:color w:val="000000"/>
        </w:rPr>
        <w:t>RoHS</w:t>
      </w:r>
    </w:p>
    <w:p w14:paraId="1FC949DE" w14:textId="77777777" w:rsidR="00EC5424" w:rsidRDefault="00EC5424" w:rsidP="00EC5424">
      <w:pPr>
        <w:pStyle w:val="ListParagraph"/>
      </w:pPr>
    </w:p>
    <w:p w14:paraId="479844E2" w14:textId="37F0D9DA" w:rsidR="009E7427" w:rsidRDefault="00EC5424" w:rsidP="007842A6">
      <w:pPr>
        <w:pStyle w:val="ListParagraph"/>
        <w:ind w:left="0"/>
        <w:rPr>
          <w:rFonts w:eastAsia="Calibri"/>
          <w:color w:val="000000"/>
        </w:rPr>
      </w:pPr>
      <w:r>
        <w:t>A</w:t>
      </w:r>
      <w:r w:rsidR="009E7427">
        <w:t>rticles</w:t>
      </w:r>
      <w:r w:rsidR="005437F5">
        <w:t xml:space="preserve"> containing </w:t>
      </w:r>
      <w:proofErr w:type="spellStart"/>
      <w:r w:rsidR="005437F5">
        <w:t>decaBDE</w:t>
      </w:r>
      <w:proofErr w:type="spellEnd"/>
      <w:r w:rsidR="00EF4831">
        <w:t>,</w:t>
      </w:r>
      <w:r w:rsidR="005437F5">
        <w:t xml:space="preserve"> </w:t>
      </w:r>
      <w:r w:rsidR="00EF4831" w:rsidRPr="00EF4831">
        <w:t>already in use before 15 July 2019</w:t>
      </w:r>
      <w:r w:rsidR="00EF4831">
        <w:t xml:space="preserve"> </w:t>
      </w:r>
      <w:r w:rsidR="007B0FEE">
        <w:t>can con</w:t>
      </w:r>
      <w:r w:rsidR="00EF4831">
        <w:t>tinue to be used</w:t>
      </w:r>
      <w:r w:rsidR="00F93972">
        <w:t xml:space="preserve"> but must be destroyed appropriately at the end of life</w:t>
      </w:r>
      <w:r w:rsidR="00EF4831">
        <w:t xml:space="preserve">. </w:t>
      </w:r>
    </w:p>
    <w:p w14:paraId="159A02C4" w14:textId="24C466E8" w:rsidR="00BA28E5" w:rsidRPr="00BA28E5" w:rsidRDefault="00720D54" w:rsidP="000A571A">
      <w:pPr>
        <w:rPr>
          <w:rFonts w:eastAsia="Calibri"/>
          <w:color w:val="000000"/>
        </w:rPr>
      </w:pPr>
      <w:r w:rsidRPr="00720D54">
        <w:rPr>
          <w:rFonts w:eastAsia="Calibri"/>
          <w:color w:val="000000"/>
        </w:rPr>
        <w:t xml:space="preserve">These </w:t>
      </w:r>
      <w:r w:rsidR="007E6670">
        <w:rPr>
          <w:rFonts w:eastAsia="Calibri"/>
          <w:color w:val="000000"/>
        </w:rPr>
        <w:t xml:space="preserve">exemptions </w:t>
      </w:r>
      <w:r w:rsidRPr="00720D54">
        <w:rPr>
          <w:rFonts w:eastAsia="Calibri"/>
          <w:color w:val="000000"/>
        </w:rPr>
        <w:t xml:space="preserve">will be reviewed in the next year to assess whether </w:t>
      </w:r>
      <w:r w:rsidR="00120EF4">
        <w:rPr>
          <w:rFonts w:eastAsia="Calibri"/>
          <w:color w:val="000000"/>
        </w:rPr>
        <w:t xml:space="preserve">the exemptions that are not </w:t>
      </w:r>
      <w:r w:rsidR="00B307DA">
        <w:rPr>
          <w:rFonts w:eastAsia="Calibri"/>
          <w:color w:val="000000"/>
        </w:rPr>
        <w:t>d</w:t>
      </w:r>
      <w:r w:rsidR="00120EF4">
        <w:rPr>
          <w:rFonts w:eastAsia="Calibri"/>
          <w:color w:val="000000"/>
        </w:rPr>
        <w:t>ue to exp</w:t>
      </w:r>
      <w:r w:rsidR="00B307DA">
        <w:rPr>
          <w:rFonts w:eastAsia="Calibri"/>
          <w:color w:val="000000"/>
        </w:rPr>
        <w:t>ire</w:t>
      </w:r>
      <w:r w:rsidR="00120EF4" w:rsidRPr="00720D54">
        <w:rPr>
          <w:rFonts w:eastAsia="Calibri"/>
          <w:color w:val="000000"/>
        </w:rPr>
        <w:t xml:space="preserve"> </w:t>
      </w:r>
      <w:r w:rsidRPr="00720D54">
        <w:rPr>
          <w:rFonts w:eastAsia="Calibri"/>
          <w:color w:val="000000"/>
        </w:rPr>
        <w:t>are still required by the UK.</w:t>
      </w:r>
      <w:r w:rsidR="009E7427">
        <w:rPr>
          <w:rFonts w:eastAsia="Calibri"/>
          <w:color w:val="000000"/>
        </w:rPr>
        <w:t xml:space="preserve"> </w:t>
      </w:r>
    </w:p>
    <w:p w14:paraId="33056619" w14:textId="6D05319B" w:rsidR="00380D57" w:rsidRDefault="00380D57" w:rsidP="00380D57">
      <w:pPr>
        <w:pStyle w:val="Heading3"/>
      </w:pPr>
      <w:r>
        <w:lastRenderedPageBreak/>
        <w:t>Legislation</w:t>
      </w:r>
    </w:p>
    <w:p w14:paraId="354DD9C0" w14:textId="77777777" w:rsidR="00755295" w:rsidRPr="00E720BC" w:rsidRDefault="00755295" w:rsidP="00755295">
      <w:r w:rsidRPr="00E720BC">
        <w:t xml:space="preserve">The Stockholm Convention made the decision to ban the use of </w:t>
      </w:r>
      <w:proofErr w:type="spellStart"/>
      <w:r w:rsidRPr="00E720BC">
        <w:t>decaBDE</w:t>
      </w:r>
      <w:proofErr w:type="spellEnd"/>
      <w:r w:rsidRPr="00E720BC">
        <w:t xml:space="preserve"> in all articles under Annex A with specific exemptions (listed above) at COP 8 in May 2017.  </w:t>
      </w:r>
    </w:p>
    <w:p w14:paraId="3E488B84" w14:textId="45EDC548" w:rsidR="00755295" w:rsidRPr="00E720BC" w:rsidRDefault="00755295" w:rsidP="00755295">
      <w:proofErr w:type="spellStart"/>
      <w:r w:rsidRPr="00E720BC">
        <w:t>DecaBDE</w:t>
      </w:r>
      <w:proofErr w:type="spellEnd"/>
      <w:r w:rsidRPr="00E720BC">
        <w:t xml:space="preserve"> was banned from use in the UK through relevant regulations</w:t>
      </w:r>
      <w:r w:rsidR="00E242B5" w:rsidRPr="00E720BC">
        <w:rPr>
          <w:rStyle w:val="FootnoteReference"/>
        </w:rPr>
        <w:footnoteReference w:id="6"/>
      </w:r>
      <w:r w:rsidRPr="00E720BC">
        <w:t xml:space="preserve">.  </w:t>
      </w:r>
    </w:p>
    <w:p w14:paraId="28930463" w14:textId="46F9B0E1" w:rsidR="00D3105F" w:rsidRPr="00E720BC" w:rsidRDefault="00755295" w:rsidP="00380D57">
      <w:r w:rsidRPr="00E720BC">
        <w:t xml:space="preserve">This is in addition to the </w:t>
      </w:r>
      <w:r w:rsidR="007C597B" w:rsidRPr="00E720BC">
        <w:t>Restriction of the Use of Certain Hazardous Substances in Electrical and Electronic Equipment Regulations 2012 which were amended by the  Hazardous Substances and Packaging (Legislative Functions and Amendment) (EU Exit) Regulations 2020</w:t>
      </w:r>
      <w:r w:rsidR="004A222D" w:rsidRPr="00E720BC">
        <w:rPr>
          <w:rStyle w:val="FootnoteReference"/>
        </w:rPr>
        <w:footnoteReference w:id="7"/>
      </w:r>
      <w:r w:rsidR="00122829" w:rsidRPr="00E720BC">
        <w:t>,</w:t>
      </w:r>
      <w:r w:rsidR="00E1610D" w:rsidRPr="00E720BC" w:rsidDel="00E1610D">
        <w:t xml:space="preserve"> </w:t>
      </w:r>
      <w:r w:rsidRPr="00E720BC">
        <w:t xml:space="preserve">which </w:t>
      </w:r>
      <w:r w:rsidR="00F8381D" w:rsidRPr="00E720BC">
        <w:t>restricts the concentration of PBDEs (Polybrominated diphenyl ethers</w:t>
      </w:r>
      <w:r w:rsidRPr="00E720BC">
        <w:t xml:space="preserve">, of which </w:t>
      </w:r>
      <w:proofErr w:type="spellStart"/>
      <w:r w:rsidRPr="00E720BC">
        <w:t>decaBDE</w:t>
      </w:r>
      <w:proofErr w:type="spellEnd"/>
      <w:r w:rsidRPr="00E720BC">
        <w:t xml:space="preserve"> is one</w:t>
      </w:r>
      <w:r w:rsidR="00F8381D" w:rsidRPr="00E720BC">
        <w:t>) in polymers used in electrical and electronic equipment (EEE) to a maximum of 0.1%</w:t>
      </w:r>
      <w:r w:rsidR="006A4546" w:rsidRPr="00E720BC">
        <w:t>, with some exemptions.</w:t>
      </w:r>
      <w:r w:rsidR="00F8381D" w:rsidRPr="00E720BC">
        <w:t xml:space="preserve"> </w:t>
      </w:r>
    </w:p>
    <w:p w14:paraId="19AB1005" w14:textId="1E321CDC" w:rsidR="00380D57" w:rsidRDefault="3809B49D" w:rsidP="00380D57">
      <w:pPr>
        <w:pStyle w:val="Heading3"/>
      </w:pPr>
      <w:r>
        <w:t>Stockpiles</w:t>
      </w:r>
      <w:r w:rsidR="54DC481D">
        <w:t xml:space="preserve"> and</w:t>
      </w:r>
      <w:r>
        <w:t xml:space="preserve"> waste and contaminated sites</w:t>
      </w:r>
    </w:p>
    <w:p w14:paraId="2DFACE55" w14:textId="4FF2F7E7" w:rsidR="00380D57" w:rsidRDefault="419E31AF" w:rsidP="00380D57">
      <w:pPr>
        <w:rPr>
          <w:rFonts w:eastAsia="Calibri" w:cs="Arial"/>
          <w:lang w:eastAsia="en-GB"/>
        </w:rPr>
      </w:pPr>
      <w:r w:rsidRPr="1B686E42">
        <w:rPr>
          <w:rFonts w:eastAsia="Calibri" w:cs="Arial"/>
          <w:lang w:eastAsia="en-GB"/>
        </w:rPr>
        <w:t xml:space="preserve">There are no stockpiles or sites </w:t>
      </w:r>
      <w:r w:rsidR="00A37AC1">
        <w:rPr>
          <w:rFonts w:eastAsia="Calibri" w:cs="Arial"/>
          <w:lang w:eastAsia="en-GB"/>
        </w:rPr>
        <w:t>contaminated with</w:t>
      </w:r>
      <w:r w:rsidRPr="1B686E42">
        <w:rPr>
          <w:rFonts w:eastAsia="Calibri" w:cs="Arial"/>
          <w:lang w:eastAsia="en-GB"/>
        </w:rPr>
        <w:t xml:space="preserve"> </w:t>
      </w:r>
      <w:proofErr w:type="spellStart"/>
      <w:r w:rsidRPr="1B686E42">
        <w:rPr>
          <w:rFonts w:eastAsia="Calibri" w:cs="Arial"/>
          <w:lang w:eastAsia="en-GB"/>
        </w:rPr>
        <w:t>decaBDE</w:t>
      </w:r>
      <w:proofErr w:type="spellEnd"/>
      <w:r w:rsidRPr="1B686E42">
        <w:rPr>
          <w:rFonts w:eastAsia="Calibri" w:cs="Arial"/>
          <w:lang w:eastAsia="en-GB"/>
        </w:rPr>
        <w:t xml:space="preserve"> </w:t>
      </w:r>
      <w:r w:rsidR="00A37AC1">
        <w:rPr>
          <w:rFonts w:eastAsia="Calibri" w:cs="Arial"/>
          <w:lang w:eastAsia="en-GB"/>
        </w:rPr>
        <w:t xml:space="preserve">identified </w:t>
      </w:r>
      <w:r w:rsidRPr="1B686E42">
        <w:rPr>
          <w:rFonts w:eastAsia="Calibri" w:cs="Arial"/>
          <w:lang w:eastAsia="en-GB"/>
        </w:rPr>
        <w:t xml:space="preserve">in the UK. However, the lifespan of goods treated with </w:t>
      </w:r>
      <w:proofErr w:type="spellStart"/>
      <w:r w:rsidRPr="1B686E42">
        <w:rPr>
          <w:rFonts w:eastAsia="Calibri" w:cs="Arial"/>
          <w:lang w:eastAsia="en-GB"/>
        </w:rPr>
        <w:t>decaBDE</w:t>
      </w:r>
      <w:proofErr w:type="spellEnd"/>
      <w:r w:rsidRPr="1B686E42">
        <w:rPr>
          <w:rFonts w:eastAsia="Calibri" w:cs="Arial"/>
          <w:lang w:eastAsia="en-GB"/>
        </w:rPr>
        <w:t xml:space="preserve"> and quantit</w:t>
      </w:r>
      <w:r w:rsidR="00F33945" w:rsidRPr="1B686E42">
        <w:rPr>
          <w:rFonts w:eastAsia="Calibri" w:cs="Arial"/>
          <w:lang w:eastAsia="en-GB"/>
        </w:rPr>
        <w:t>ies</w:t>
      </w:r>
      <w:r w:rsidRPr="1B686E42">
        <w:rPr>
          <w:rFonts w:eastAsia="Calibri" w:cs="Arial"/>
          <w:lang w:eastAsia="en-GB"/>
        </w:rPr>
        <w:t xml:space="preserve"> used mean that a significant legacy issue exists and represents a concern for waste which need to be managed carefully. Further work has been undertaken to identify the different waste streams, the likelihood of </w:t>
      </w:r>
      <w:proofErr w:type="spellStart"/>
      <w:r w:rsidRPr="1B686E42">
        <w:rPr>
          <w:rFonts w:eastAsia="Calibri" w:cs="Arial"/>
          <w:lang w:eastAsia="en-GB"/>
        </w:rPr>
        <w:t>decaBDE</w:t>
      </w:r>
      <w:proofErr w:type="spellEnd"/>
      <w:r w:rsidRPr="1B686E42">
        <w:rPr>
          <w:rFonts w:eastAsia="Calibri" w:cs="Arial"/>
          <w:lang w:eastAsia="en-GB"/>
        </w:rPr>
        <w:t xml:space="preserve"> being present and the length of time we are likely to see this substance in waste streams</w:t>
      </w:r>
      <w:r w:rsidR="004820BD" w:rsidRPr="1B686E42">
        <w:rPr>
          <w:rFonts w:eastAsia="Calibri" w:cs="Arial"/>
          <w:lang w:eastAsia="en-GB"/>
        </w:rPr>
        <w:t>.</w:t>
      </w:r>
      <w:r w:rsidR="00947E4A">
        <w:rPr>
          <w:rFonts w:eastAsia="Calibri" w:cs="Arial"/>
          <w:lang w:eastAsia="en-GB"/>
        </w:rPr>
        <w:t xml:space="preserve"> Studies conducted in Ireland, the UK and the EU</w:t>
      </w:r>
      <w:r w:rsidR="00947E4A">
        <w:t xml:space="preserve"> suggest that</w:t>
      </w:r>
      <w:r w:rsidR="00947E4A" w:rsidRPr="00947E4A">
        <w:t xml:space="preserve"> the quantities in which </w:t>
      </w:r>
      <w:proofErr w:type="spellStart"/>
      <w:r w:rsidR="00947E4A" w:rsidRPr="00947E4A">
        <w:t>decaBDE</w:t>
      </w:r>
      <w:proofErr w:type="spellEnd"/>
      <w:r w:rsidR="00947E4A" w:rsidRPr="00947E4A">
        <w:t xml:space="preserve"> was originally present in specific products and the quantities released during product use and end-of-life management </w:t>
      </w:r>
      <w:r w:rsidR="00947E4A">
        <w:t xml:space="preserve">leads to </w:t>
      </w:r>
      <w:r w:rsidR="00947E4A" w:rsidRPr="00947E4A">
        <w:t xml:space="preserve">variable concentrations of </w:t>
      </w:r>
      <w:proofErr w:type="spellStart"/>
      <w:r w:rsidR="00947E4A" w:rsidRPr="00947E4A">
        <w:t>decaBDE</w:t>
      </w:r>
      <w:proofErr w:type="spellEnd"/>
      <w:r w:rsidR="00947E4A">
        <w:t xml:space="preserve"> in waste articles</w:t>
      </w:r>
      <w:r w:rsidR="00947E4A" w:rsidRPr="00947E4A">
        <w:t>.</w:t>
      </w:r>
      <w:r w:rsidR="00947E4A">
        <w:t xml:space="preserve"> In the EU</w:t>
      </w:r>
      <w:r w:rsidR="00023252">
        <w:t xml:space="preserve"> literature review </w:t>
      </w:r>
      <w:r w:rsidR="00947E4A">
        <w:t xml:space="preserve">study </w:t>
      </w:r>
      <w:r w:rsidR="00A64A0D">
        <w:t>(</w:t>
      </w:r>
      <w:r w:rsidR="00D2297F">
        <w:t>R</w:t>
      </w:r>
      <w:r w:rsidR="00C86244">
        <w:t>a</w:t>
      </w:r>
      <w:r w:rsidR="00D2297F">
        <w:t>mboll 2019</w:t>
      </w:r>
      <w:r w:rsidR="00A64A0D">
        <w:t>)</w:t>
      </w:r>
      <w:r w:rsidR="00947E4A" w:rsidDel="00023252">
        <w:t xml:space="preserve"> </w:t>
      </w:r>
      <w:r w:rsidR="00947E4A">
        <w:t xml:space="preserve">suggested that </w:t>
      </w:r>
      <w:proofErr w:type="spellStart"/>
      <w:r w:rsidR="00A04707">
        <w:rPr>
          <w:rFonts w:eastAsia="Calibri" w:cs="Arial"/>
          <w:lang w:eastAsia="en-GB"/>
        </w:rPr>
        <w:t>d</w:t>
      </w:r>
      <w:r w:rsidR="004A32E9" w:rsidRPr="004A32E9">
        <w:rPr>
          <w:rFonts w:eastAsia="Calibri" w:cs="Arial"/>
          <w:lang w:eastAsia="en-GB"/>
        </w:rPr>
        <w:t>ecaBDE</w:t>
      </w:r>
      <w:proofErr w:type="spellEnd"/>
      <w:r w:rsidR="004A32E9" w:rsidRPr="004A32E9">
        <w:rPr>
          <w:rFonts w:eastAsia="Calibri" w:cs="Arial"/>
          <w:lang w:eastAsia="en-GB"/>
        </w:rPr>
        <w:t xml:space="preserve"> concentrations found in waste range from 0.021 – 200</w:t>
      </w:r>
      <w:r w:rsidR="00612C37">
        <w:rPr>
          <w:rFonts w:eastAsia="Calibri" w:cs="Arial"/>
          <w:lang w:eastAsia="en-GB"/>
        </w:rPr>
        <w:t>.</w:t>
      </w:r>
      <w:r w:rsidR="004A32E9" w:rsidRPr="004A32E9">
        <w:rPr>
          <w:rFonts w:eastAsia="Calibri" w:cs="Arial"/>
          <w:lang w:eastAsia="en-GB"/>
        </w:rPr>
        <w:t>000 mg/kg</w:t>
      </w:r>
      <w:r w:rsidR="00947E4A">
        <w:rPr>
          <w:rFonts w:eastAsia="Calibri" w:cs="Arial"/>
          <w:lang w:eastAsia="en-GB"/>
        </w:rPr>
        <w:t xml:space="preserve">, making it difficult to manage </w:t>
      </w:r>
      <w:proofErr w:type="spellStart"/>
      <w:r w:rsidR="00947E4A">
        <w:rPr>
          <w:rFonts w:eastAsia="Calibri" w:cs="Arial"/>
          <w:lang w:eastAsia="en-GB"/>
        </w:rPr>
        <w:t>decaBDE</w:t>
      </w:r>
      <w:proofErr w:type="spellEnd"/>
      <w:r w:rsidR="00947E4A">
        <w:rPr>
          <w:rFonts w:eastAsia="Calibri" w:cs="Arial"/>
          <w:lang w:eastAsia="en-GB"/>
        </w:rPr>
        <w:t xml:space="preserve"> effectively and efficiently.</w:t>
      </w:r>
    </w:p>
    <w:p w14:paraId="5D1AA4D0" w14:textId="4504E2A5" w:rsidR="007E60BF" w:rsidRPr="005C559A" w:rsidRDefault="007E60BF" w:rsidP="00380D57">
      <w:pPr>
        <w:rPr>
          <w:sz w:val="28"/>
          <w:szCs w:val="28"/>
        </w:rPr>
      </w:pPr>
      <w:r>
        <w:rPr>
          <w:rFonts w:eastAsia="Calibri" w:cs="Arial"/>
          <w:lang w:eastAsia="en-GB"/>
        </w:rPr>
        <w:t>In the UK the Industry Council for Electronic Equipment Recycling (ICER)</w:t>
      </w:r>
      <w:r w:rsidR="00622DDF">
        <w:rPr>
          <w:rFonts w:eastAsia="Calibri" w:cs="Arial"/>
          <w:lang w:eastAsia="en-GB"/>
        </w:rPr>
        <w:t>,</w:t>
      </w:r>
      <w:r>
        <w:rPr>
          <w:rFonts w:eastAsia="Calibri" w:cs="Arial"/>
          <w:lang w:eastAsia="en-GB"/>
        </w:rPr>
        <w:t xml:space="preserve"> in cooperation with Defra and EA, published a report in 2020 on an investigation into the presence of chemicals used as flame retardants in more than 2000 items of </w:t>
      </w:r>
      <w:r w:rsidR="000632BA">
        <w:rPr>
          <w:rFonts w:eastAsia="Calibri" w:cs="Arial"/>
          <w:lang w:eastAsia="en-GB"/>
        </w:rPr>
        <w:t xml:space="preserve">waste </w:t>
      </w:r>
      <w:r w:rsidR="005C6422" w:rsidRPr="005C6422">
        <w:rPr>
          <w:rFonts w:eastAsia="Calibri" w:cs="Arial"/>
          <w:lang w:eastAsia="en-GB"/>
        </w:rPr>
        <w:t xml:space="preserve">electrical and electronic equipment </w:t>
      </w:r>
      <w:r w:rsidR="005C6422">
        <w:rPr>
          <w:rFonts w:eastAsia="Calibri" w:cs="Arial"/>
          <w:lang w:eastAsia="en-GB"/>
        </w:rPr>
        <w:t>(</w:t>
      </w:r>
      <w:r>
        <w:rPr>
          <w:rFonts w:eastAsia="Calibri" w:cs="Arial"/>
          <w:lang w:eastAsia="en-GB"/>
        </w:rPr>
        <w:t>WEEE</w:t>
      </w:r>
      <w:r w:rsidR="005C6422">
        <w:rPr>
          <w:rFonts w:eastAsia="Calibri" w:cs="Arial"/>
          <w:lang w:eastAsia="en-GB"/>
        </w:rPr>
        <w:t>)</w:t>
      </w:r>
      <w:r>
        <w:rPr>
          <w:rFonts w:eastAsia="Calibri" w:cs="Arial"/>
          <w:lang w:eastAsia="en-GB"/>
        </w:rPr>
        <w:t>.</w:t>
      </w:r>
      <w:r w:rsidR="00CC7687">
        <w:rPr>
          <w:rFonts w:eastAsia="Calibri" w:cs="Arial"/>
          <w:lang w:eastAsia="en-GB"/>
        </w:rPr>
        <w:t xml:space="preserve"> The analysis confirmed that there are often high levels of hazardous chemicals</w:t>
      </w:r>
      <w:r w:rsidR="005C6422">
        <w:rPr>
          <w:rFonts w:eastAsia="Calibri" w:cs="Arial"/>
          <w:lang w:eastAsia="en-GB"/>
        </w:rPr>
        <w:t>,</w:t>
      </w:r>
      <w:r w:rsidR="00CC7687">
        <w:rPr>
          <w:rFonts w:eastAsia="Calibri" w:cs="Arial"/>
          <w:lang w:eastAsia="en-GB"/>
        </w:rPr>
        <w:t xml:space="preserve"> including PBDEs</w:t>
      </w:r>
      <w:r w:rsidR="005C6422">
        <w:rPr>
          <w:rFonts w:eastAsia="Calibri" w:cs="Arial"/>
          <w:lang w:eastAsia="en-GB"/>
        </w:rPr>
        <w:t>,</w:t>
      </w:r>
      <w:r w:rsidR="00CC7687">
        <w:rPr>
          <w:rFonts w:eastAsia="Calibri" w:cs="Arial"/>
          <w:lang w:eastAsia="en-GB"/>
        </w:rPr>
        <w:t xml:space="preserve"> in many items of WEEE. </w:t>
      </w:r>
      <w:proofErr w:type="spellStart"/>
      <w:r w:rsidR="007F1EBF">
        <w:rPr>
          <w:rFonts w:eastAsia="Calibri" w:cs="Arial"/>
          <w:lang w:eastAsia="en-GB"/>
        </w:rPr>
        <w:t>D</w:t>
      </w:r>
      <w:r w:rsidR="00CC7687">
        <w:rPr>
          <w:rFonts w:eastAsia="Calibri" w:cs="Arial"/>
          <w:lang w:eastAsia="en-GB"/>
        </w:rPr>
        <w:t>ecaBDE</w:t>
      </w:r>
      <w:proofErr w:type="spellEnd"/>
      <w:r w:rsidR="00CC7687">
        <w:rPr>
          <w:rFonts w:eastAsia="Calibri" w:cs="Arial"/>
          <w:lang w:eastAsia="en-GB"/>
        </w:rPr>
        <w:t xml:space="preserve"> was found to be present in many types of WEEE including small mixed WEEE, display devices and refrigerators</w:t>
      </w:r>
      <w:r w:rsidR="00A37AC1">
        <w:rPr>
          <w:rFonts w:eastAsia="Calibri" w:cs="Arial"/>
          <w:lang w:eastAsia="en-GB"/>
        </w:rPr>
        <w:t xml:space="preserve"> (Keeley-Lopez et al, 2020)</w:t>
      </w:r>
      <w:r w:rsidR="007E6B55">
        <w:rPr>
          <w:rFonts w:eastAsia="Calibri" w:cs="Arial"/>
          <w:lang w:eastAsia="en-GB"/>
        </w:rPr>
        <w:t xml:space="preserve">. </w:t>
      </w:r>
      <w:r w:rsidR="00F7683B">
        <w:rPr>
          <w:rFonts w:eastAsia="Calibri" w:cs="Arial"/>
          <w:lang w:eastAsia="en-GB"/>
        </w:rPr>
        <w:t xml:space="preserve">Further information on this report can be found on page </w:t>
      </w:r>
      <w:r w:rsidR="00033317">
        <w:rPr>
          <w:rFonts w:eastAsia="Calibri" w:cs="Arial"/>
          <w:lang w:eastAsia="en-GB"/>
        </w:rPr>
        <w:t>2</w:t>
      </w:r>
      <w:r w:rsidR="00B242A5">
        <w:rPr>
          <w:rFonts w:eastAsia="Calibri" w:cs="Arial"/>
          <w:lang w:eastAsia="en-GB"/>
        </w:rPr>
        <w:t>6</w:t>
      </w:r>
      <w:r w:rsidR="00F7683B">
        <w:rPr>
          <w:rFonts w:eastAsia="Calibri" w:cs="Arial"/>
          <w:lang w:eastAsia="en-GB"/>
        </w:rPr>
        <w:t xml:space="preserve"> below.</w:t>
      </w:r>
    </w:p>
    <w:p w14:paraId="3AB198E0" w14:textId="77777777" w:rsidR="00DE70B9" w:rsidRDefault="59354FD0" w:rsidP="00380D57">
      <w:pPr>
        <w:pStyle w:val="Heading3"/>
      </w:pPr>
      <w:r>
        <w:lastRenderedPageBreak/>
        <w:t>Monitoring</w:t>
      </w:r>
    </w:p>
    <w:p w14:paraId="2B962647" w14:textId="1BCE551F" w:rsidR="00A04707" w:rsidRPr="00A04707" w:rsidRDefault="00A37AC1" w:rsidP="00A04707">
      <w:r>
        <w:t>N</w:t>
      </w:r>
      <w:r w:rsidR="00A04707" w:rsidRPr="00A04707">
        <w:t>o Environment Quality Standards</w:t>
      </w:r>
      <w:r w:rsidR="00CB5AC5">
        <w:t xml:space="preserve"> (EQSs)</w:t>
      </w:r>
      <w:r>
        <w:t xml:space="preserve"> have been set</w:t>
      </w:r>
      <w:r w:rsidR="00A04707" w:rsidRPr="00A04707">
        <w:t xml:space="preserve"> for </w:t>
      </w:r>
      <w:proofErr w:type="spellStart"/>
      <w:r>
        <w:t>decaBDE</w:t>
      </w:r>
      <w:proofErr w:type="spellEnd"/>
      <w:r>
        <w:t xml:space="preserve"> in </w:t>
      </w:r>
      <w:r w:rsidR="00A04707" w:rsidRPr="00A04707">
        <w:t>the water environment</w:t>
      </w:r>
      <w:r>
        <w:t xml:space="preserve"> for </w:t>
      </w:r>
      <w:proofErr w:type="spellStart"/>
      <w:r>
        <w:t>decaBDE</w:t>
      </w:r>
      <w:proofErr w:type="spellEnd"/>
      <w:r w:rsidR="00A04707" w:rsidRPr="00A04707">
        <w:t xml:space="preserve">. The Environment Agency currently does not routinely monitor for </w:t>
      </w:r>
      <w:proofErr w:type="spellStart"/>
      <w:r w:rsidR="00A04707" w:rsidRPr="00A04707">
        <w:t>decaBDE</w:t>
      </w:r>
      <w:proofErr w:type="spellEnd"/>
      <w:r w:rsidR="00A04707" w:rsidRPr="00A04707">
        <w:t xml:space="preserve"> in the water column. </w:t>
      </w:r>
      <w:proofErr w:type="spellStart"/>
      <w:r w:rsidR="00A04707" w:rsidRPr="00A04707">
        <w:t>DecaBDE</w:t>
      </w:r>
      <w:proofErr w:type="spellEnd"/>
      <w:r w:rsidR="00A04707" w:rsidRPr="00A04707">
        <w:t xml:space="preserve"> is more likely to exist in non-aqueous media such as sediments and biota, and methods </w:t>
      </w:r>
      <w:r w:rsidR="00BB6B5B" w:rsidRPr="00BB6B5B">
        <w:t>capable of providing analysis to environmentally significant levels</w:t>
      </w:r>
      <w:r w:rsidR="00BB6B5B">
        <w:t>,</w:t>
      </w:r>
      <w:r w:rsidR="00AD178F">
        <w:t xml:space="preserve"> </w:t>
      </w:r>
      <w:r w:rsidR="00A04707" w:rsidRPr="00A04707">
        <w:t xml:space="preserve">are not currently available for </w:t>
      </w:r>
      <w:proofErr w:type="spellStart"/>
      <w:r w:rsidR="00A04707" w:rsidRPr="00A04707">
        <w:t>decaBDE</w:t>
      </w:r>
      <w:proofErr w:type="spellEnd"/>
      <w:r w:rsidR="00AD178F">
        <w:t>.</w:t>
      </w:r>
      <w:r w:rsidR="00A04707" w:rsidRPr="00A04707">
        <w:t xml:space="preserve"> </w:t>
      </w:r>
    </w:p>
    <w:p w14:paraId="6A630650" w14:textId="50D062A9" w:rsidR="00EC76F7" w:rsidRPr="0000510A" w:rsidRDefault="00653557" w:rsidP="00606691">
      <w:r>
        <w:t xml:space="preserve">For several years under OSPAR, the </w:t>
      </w:r>
      <w:r w:rsidRPr="00A04707">
        <w:t xml:space="preserve">Clean </w:t>
      </w:r>
      <w:r w:rsidR="00EA66A7">
        <w:t xml:space="preserve">Safe </w:t>
      </w:r>
      <w:r w:rsidRPr="00A04707">
        <w:t>Seas Environment</w:t>
      </w:r>
      <w:r w:rsidR="00EA66A7">
        <w:t>al</w:t>
      </w:r>
      <w:r w:rsidRPr="00A04707">
        <w:t xml:space="preserve"> Monitoring programme (CSEMP)</w:t>
      </w:r>
      <w:r>
        <w:t xml:space="preserve"> </w:t>
      </w:r>
      <w:r w:rsidR="00A37AC1">
        <w:t xml:space="preserve">has </w:t>
      </w:r>
      <w:r>
        <w:t>collect</w:t>
      </w:r>
      <w:r w:rsidR="00A37AC1">
        <w:t>ed</w:t>
      </w:r>
      <w:r>
        <w:t xml:space="preserve"> data on the concentration of PBDEs, including </w:t>
      </w:r>
      <w:proofErr w:type="spellStart"/>
      <w:r>
        <w:t>decaBDE</w:t>
      </w:r>
      <w:proofErr w:type="spellEnd"/>
      <w:r>
        <w:t xml:space="preserve"> in UK marine waters. </w:t>
      </w:r>
      <w:r w:rsidR="00606691">
        <w:t xml:space="preserve">Results of </w:t>
      </w:r>
      <w:r w:rsidR="004D3A92">
        <w:t xml:space="preserve">this </w:t>
      </w:r>
      <w:r w:rsidR="00606691">
        <w:t xml:space="preserve">can be found </w:t>
      </w:r>
      <w:hyperlink r:id="rId20" w:history="1">
        <w:r w:rsidR="00606691" w:rsidRPr="00404173">
          <w:rPr>
            <w:rStyle w:val="Hyperlink"/>
          </w:rPr>
          <w:t>https://ocean.ices.dk/OHAT/</w:t>
        </w:r>
      </w:hyperlink>
      <w:r w:rsidR="00EC76F7">
        <w:rPr>
          <w:rStyle w:val="Hyperlink"/>
        </w:rPr>
        <w:t xml:space="preserve">. </w:t>
      </w:r>
      <w:r w:rsidR="00EC76F7" w:rsidRPr="0000510A">
        <w:rPr>
          <w:rStyle w:val="Hyperlink"/>
          <w:color w:val="auto"/>
          <w:u w:val="none"/>
        </w:rPr>
        <w:t>The monitoring carried out in UK marine waters found</w:t>
      </w:r>
      <w:r w:rsidR="007734E0">
        <w:rPr>
          <w:rStyle w:val="Hyperlink"/>
          <w:color w:val="auto"/>
          <w:u w:val="none"/>
        </w:rPr>
        <w:t>,</w:t>
      </w:r>
      <w:r w:rsidR="00EC76F7" w:rsidRPr="0000510A">
        <w:rPr>
          <w:rStyle w:val="Hyperlink"/>
          <w:color w:val="auto"/>
          <w:u w:val="none"/>
        </w:rPr>
        <w:t xml:space="preserve"> in general</w:t>
      </w:r>
      <w:r w:rsidR="007734E0">
        <w:rPr>
          <w:rStyle w:val="Hyperlink"/>
          <w:color w:val="auto"/>
          <w:u w:val="none"/>
        </w:rPr>
        <w:t>,</w:t>
      </w:r>
      <w:r w:rsidR="00EC76F7" w:rsidRPr="0000510A">
        <w:rPr>
          <w:rStyle w:val="Hyperlink"/>
          <w:color w:val="auto"/>
          <w:u w:val="none"/>
        </w:rPr>
        <w:t xml:space="preserve"> concentrations of PBDEs in sediments were low, and frequently below the levels of detection, with a decreasing trend over the year</w:t>
      </w:r>
      <w:r w:rsidR="00A37AC1">
        <w:rPr>
          <w:rStyle w:val="Hyperlink"/>
          <w:color w:val="auto"/>
          <w:u w:val="none"/>
        </w:rPr>
        <w:t>s</w:t>
      </w:r>
      <w:r w:rsidR="004F2FB6">
        <w:rPr>
          <w:rStyle w:val="Hyperlink"/>
          <w:color w:val="auto"/>
          <w:u w:val="none"/>
        </w:rPr>
        <w:t>.</w:t>
      </w:r>
      <w:r w:rsidR="00EC76F7" w:rsidRPr="0000510A">
        <w:rPr>
          <w:rStyle w:val="Hyperlink"/>
          <w:color w:val="auto"/>
          <w:u w:val="none"/>
        </w:rPr>
        <w:t xml:space="preserve"> </w:t>
      </w:r>
      <w:r w:rsidR="004F2FB6">
        <w:rPr>
          <w:rStyle w:val="Hyperlink"/>
          <w:color w:val="auto"/>
          <w:u w:val="none"/>
        </w:rPr>
        <w:t>H</w:t>
      </w:r>
      <w:r w:rsidR="00EC76F7" w:rsidRPr="0000510A">
        <w:rPr>
          <w:rStyle w:val="Hyperlink"/>
          <w:color w:val="auto"/>
          <w:u w:val="none"/>
        </w:rPr>
        <w:t>owever</w:t>
      </w:r>
      <w:r w:rsidR="00210AA3">
        <w:rPr>
          <w:rStyle w:val="Hyperlink"/>
          <w:color w:val="auto"/>
          <w:u w:val="none"/>
        </w:rPr>
        <w:t>,</w:t>
      </w:r>
      <w:r w:rsidR="00EC76F7" w:rsidRPr="0000510A">
        <w:rPr>
          <w:rStyle w:val="Hyperlink"/>
          <w:color w:val="auto"/>
          <w:u w:val="none"/>
        </w:rPr>
        <w:t xml:space="preserve"> data were limited to determine trend analysis for all sampling locations. There were a limited number of sampling stations for determining PBDEs in biota, but the results indicate a decreasing trend (UK</w:t>
      </w:r>
      <w:r w:rsidR="003244BE">
        <w:rPr>
          <w:rStyle w:val="Hyperlink"/>
          <w:color w:val="auto"/>
          <w:u w:val="none"/>
        </w:rPr>
        <w:t xml:space="preserve"> </w:t>
      </w:r>
      <w:r w:rsidR="00EC76F7" w:rsidRPr="0000510A">
        <w:rPr>
          <w:rStyle w:val="Hyperlink"/>
          <w:color w:val="auto"/>
          <w:u w:val="none"/>
        </w:rPr>
        <w:t>M</w:t>
      </w:r>
      <w:r w:rsidR="003244BE">
        <w:rPr>
          <w:rStyle w:val="Hyperlink"/>
          <w:color w:val="auto"/>
          <w:u w:val="none"/>
        </w:rPr>
        <w:t xml:space="preserve">arine </w:t>
      </w:r>
      <w:r w:rsidR="00EC76F7" w:rsidRPr="0000510A">
        <w:rPr>
          <w:rStyle w:val="Hyperlink"/>
          <w:color w:val="auto"/>
          <w:u w:val="none"/>
        </w:rPr>
        <w:t>M</w:t>
      </w:r>
      <w:r w:rsidR="003244BE">
        <w:rPr>
          <w:rStyle w:val="Hyperlink"/>
          <w:color w:val="auto"/>
          <w:u w:val="none"/>
        </w:rPr>
        <w:t xml:space="preserve">onitoring and </w:t>
      </w:r>
      <w:r w:rsidR="00EC76F7" w:rsidRPr="0000510A">
        <w:rPr>
          <w:rStyle w:val="Hyperlink"/>
          <w:color w:val="auto"/>
          <w:u w:val="none"/>
        </w:rPr>
        <w:t>A</w:t>
      </w:r>
      <w:r w:rsidR="003244BE">
        <w:rPr>
          <w:rStyle w:val="Hyperlink"/>
          <w:color w:val="auto"/>
          <w:u w:val="none"/>
        </w:rPr>
        <w:t xml:space="preserve">ssessment </w:t>
      </w:r>
      <w:r w:rsidR="00EC76F7" w:rsidRPr="0000510A">
        <w:rPr>
          <w:rStyle w:val="Hyperlink"/>
          <w:color w:val="auto"/>
          <w:u w:val="none"/>
        </w:rPr>
        <w:t>S</w:t>
      </w:r>
      <w:r w:rsidR="003244BE">
        <w:rPr>
          <w:rStyle w:val="Hyperlink"/>
          <w:color w:val="auto"/>
          <w:u w:val="none"/>
        </w:rPr>
        <w:t>trategy</w:t>
      </w:r>
      <w:r w:rsidR="00EC76F7" w:rsidRPr="0000510A">
        <w:rPr>
          <w:rStyle w:val="Hyperlink"/>
          <w:color w:val="auto"/>
          <w:u w:val="none"/>
        </w:rPr>
        <w:t>, 2020).</w:t>
      </w:r>
    </w:p>
    <w:p w14:paraId="0119D4FA" w14:textId="6FAFDC47" w:rsidR="00380D57" w:rsidRDefault="00380D57" w:rsidP="00EB778D">
      <w:pPr>
        <w:pStyle w:val="Heading2"/>
      </w:pPr>
      <w:bookmarkStart w:id="21" w:name="_Toc67030063"/>
      <w:r>
        <w:t xml:space="preserve">Short-chain chlorinated paraffins </w:t>
      </w:r>
      <w:r w:rsidR="001F59F8">
        <w:t>(SCCPs)</w:t>
      </w:r>
      <w:bookmarkEnd w:id="21"/>
    </w:p>
    <w:p w14:paraId="06832CF0" w14:textId="0A22D5A1" w:rsidR="00641BEA" w:rsidRDefault="00641BEA" w:rsidP="00641BEA">
      <w:pPr>
        <w:pStyle w:val="Heading3"/>
      </w:pPr>
      <w:r>
        <w:t>Production and use</w:t>
      </w:r>
    </w:p>
    <w:p w14:paraId="1E0D0F9B" w14:textId="6236E4F4" w:rsidR="00AD78D0" w:rsidRDefault="001F59F8" w:rsidP="00AD78D0">
      <w:r>
        <w:t>Short-chain chlorinated paraffins (</w:t>
      </w:r>
      <w:r w:rsidR="00AD78D0" w:rsidRPr="00AD78D0">
        <w:t>SCCPs</w:t>
      </w:r>
      <w:r>
        <w:t>)</w:t>
      </w:r>
      <w:r w:rsidR="00AD78D0" w:rsidRPr="00AD78D0">
        <w:t xml:space="preserve"> are </w:t>
      </w:r>
      <w:r w:rsidR="00A37AC1">
        <w:t>c</w:t>
      </w:r>
      <w:r w:rsidR="00AD78D0" w:rsidRPr="00AD78D0">
        <w:t>hlorinated derivative</w:t>
      </w:r>
      <w:r w:rsidR="00E84E16">
        <w:t>s</w:t>
      </w:r>
      <w:r w:rsidR="00AD78D0" w:rsidRPr="00AD78D0">
        <w:t xml:space="preserve"> of n-alkanes with carbon length of 10 to 13 carbon atoms (CAS </w:t>
      </w:r>
      <w:r w:rsidR="00E84E16">
        <w:t>RN</w:t>
      </w:r>
      <w:r w:rsidR="00AD78D0" w:rsidRPr="00AD78D0">
        <w:t xml:space="preserve"> 85535-84-8). </w:t>
      </w:r>
    </w:p>
    <w:p w14:paraId="761C649B" w14:textId="6E0FD725" w:rsidR="00AD78D0" w:rsidRDefault="00CD275B" w:rsidP="00AD78D0">
      <w:r>
        <w:t>SCCPs have not been produced in the UK since 2012.</w:t>
      </w:r>
      <w:r w:rsidR="00A37AC1">
        <w:t xml:space="preserve"> </w:t>
      </w:r>
      <w:r w:rsidR="009A5A83">
        <w:t>They</w:t>
      </w:r>
      <w:r w:rsidR="00AD78D0" w:rsidRPr="00AD78D0">
        <w:t xml:space="preserve"> were used in metal working fluids, plasticisers in paints, coating and sealants</w:t>
      </w:r>
      <w:r w:rsidR="00AD78D0">
        <w:t>, a</w:t>
      </w:r>
      <w:r w:rsidR="00AD78D0" w:rsidRPr="00AD78D0">
        <w:t>s a flame retardant in rubber and textiles and in leather processing. They were widely used in paints, adhesives and sealants, leather fat liquors, plastics, and as flame retardants in rubber, textiles and polymeric materials</w:t>
      </w:r>
      <w:r w:rsidR="009F609B">
        <w:t xml:space="preserve">. </w:t>
      </w:r>
      <w:r w:rsidR="00FA5DD5">
        <w:t>They</w:t>
      </w:r>
      <w:r w:rsidR="00AD78D0" w:rsidRPr="00AD78D0">
        <w:t xml:space="preserve"> are numerous in </w:t>
      </w:r>
      <w:r w:rsidR="00AD78D0">
        <w:t>technology</w:t>
      </w:r>
      <w:r w:rsidR="00AD78D0" w:rsidRPr="00AD78D0">
        <w:t>, domestic and PVC products</w:t>
      </w:r>
      <w:r w:rsidR="00AD78D0">
        <w:t>.</w:t>
      </w:r>
      <w:r w:rsidR="00C41D4C" w:rsidRPr="00C41D4C">
        <w:t xml:space="preserve"> Other sources also report SCCPs contents in everyday products</w:t>
      </w:r>
      <w:r w:rsidR="002F1392">
        <w:t>, including</w:t>
      </w:r>
      <w:r w:rsidR="00C41D4C" w:rsidRPr="00C41D4C">
        <w:t xml:space="preserve"> microwave dishes, lamps, electronic items</w:t>
      </w:r>
      <w:r w:rsidR="00C66F26">
        <w:t>,</w:t>
      </w:r>
      <w:r w:rsidR="00C41D4C" w:rsidRPr="00C41D4C">
        <w:t xml:space="preserve"> such as cables, adapters, keyboards, memory media, photo frames, headphones </w:t>
      </w:r>
      <w:r w:rsidR="00023252">
        <w:t xml:space="preserve">and </w:t>
      </w:r>
      <w:r w:rsidR="00C41D4C" w:rsidRPr="00C41D4C">
        <w:t>detergent (</w:t>
      </w:r>
      <w:proofErr w:type="spellStart"/>
      <w:r w:rsidR="00C41D4C" w:rsidRPr="00C41D4C">
        <w:t>BiPRO</w:t>
      </w:r>
      <w:proofErr w:type="spellEnd"/>
      <w:r w:rsidR="002F1392">
        <w:t>,</w:t>
      </w:r>
      <w:r w:rsidR="00C41D4C" w:rsidRPr="00C41D4C">
        <w:t xml:space="preserve"> 2015)</w:t>
      </w:r>
      <w:r w:rsidR="00A55D8C">
        <w:t>.</w:t>
      </w:r>
      <w:r w:rsidR="00C41D4C" w:rsidRPr="00C41D4C">
        <w:t xml:space="preserve"> In 2010, the use of SCCPs in the </w:t>
      </w:r>
      <w:r w:rsidR="00C41D4C">
        <w:t>European Union</w:t>
      </w:r>
      <w:r w:rsidR="00C41D4C" w:rsidRPr="00C41D4C">
        <w:t xml:space="preserve"> was estimated to be about 530 t </w:t>
      </w:r>
      <w:r w:rsidR="002F1392">
        <w:t>(</w:t>
      </w:r>
      <w:r w:rsidR="00C41D4C" w:rsidRPr="00C41D4C">
        <w:t>RIVM</w:t>
      </w:r>
      <w:r w:rsidR="00286F1B">
        <w:t>,</w:t>
      </w:r>
      <w:r w:rsidR="00C41D4C" w:rsidRPr="00C41D4C">
        <w:t xml:space="preserve"> 2010</w:t>
      </w:r>
      <w:r w:rsidR="002F1392">
        <w:t>)</w:t>
      </w:r>
      <w:r w:rsidR="00C41D4C" w:rsidRPr="00C41D4C">
        <w:t>.</w:t>
      </w:r>
    </w:p>
    <w:p w14:paraId="5D81C3E3" w14:textId="70BDA3B8" w:rsidR="00AD78D0" w:rsidRDefault="00AD78D0" w:rsidP="00AD78D0">
      <w:r w:rsidRPr="00AD78D0">
        <w:t xml:space="preserve">SCCPs </w:t>
      </w:r>
      <w:r w:rsidR="00E309AB">
        <w:t xml:space="preserve">are also thought to be minor constituents of some chlorinated paraffin products that remain on the market. The major constituents of these products are </w:t>
      </w:r>
      <w:r w:rsidRPr="00AD78D0">
        <w:t>medium-chain chlorinated paraffins</w:t>
      </w:r>
      <w:r w:rsidR="000E6B1B">
        <w:t xml:space="preserve"> (MCCPs)</w:t>
      </w:r>
      <w:r w:rsidRPr="00AD78D0">
        <w:t xml:space="preserve">. </w:t>
      </w:r>
      <w:r w:rsidR="000F2A80">
        <w:t xml:space="preserve">The UK is considering a proposal to nominate </w:t>
      </w:r>
      <w:r w:rsidR="00E309AB">
        <w:t xml:space="preserve">a group of chlorinated paraffins, including some constituents of </w:t>
      </w:r>
      <w:r w:rsidR="000F2A80">
        <w:t>MCCPs</w:t>
      </w:r>
      <w:r w:rsidR="00E309AB">
        <w:t>,</w:t>
      </w:r>
      <w:r w:rsidR="000F2A80">
        <w:t xml:space="preserve"> as a POP.</w:t>
      </w:r>
      <w:r w:rsidR="000F2A80" w:rsidDel="00023252">
        <w:t xml:space="preserve"> </w:t>
      </w:r>
      <w:r w:rsidR="000F2A80">
        <w:t xml:space="preserve">If </w:t>
      </w:r>
      <w:r w:rsidR="00E309AB">
        <w:t>this proposal leads to a further listing of chlorinated paraffins</w:t>
      </w:r>
      <w:r w:rsidR="0060797D">
        <w:t>,</w:t>
      </w:r>
      <w:r w:rsidR="000F2A80">
        <w:t xml:space="preserve"> this may further reduce SCCPs in articles and</w:t>
      </w:r>
      <w:r w:rsidR="00E309AB">
        <w:t xml:space="preserve"> releases to</w:t>
      </w:r>
      <w:r w:rsidR="000F2A80">
        <w:t xml:space="preserve"> the environment</w:t>
      </w:r>
      <w:r w:rsidR="00E309AB">
        <w:t xml:space="preserve"> (Defra, 2021)</w:t>
      </w:r>
      <w:r w:rsidR="007B0E90">
        <w:t xml:space="preserve"> (see page </w:t>
      </w:r>
      <w:r w:rsidR="00106B9D">
        <w:t>28)</w:t>
      </w:r>
      <w:r>
        <w:t>.</w:t>
      </w:r>
    </w:p>
    <w:p w14:paraId="468DF7BB" w14:textId="77777777" w:rsidR="00641BEA" w:rsidRDefault="00641BEA" w:rsidP="00641BEA">
      <w:pPr>
        <w:pStyle w:val="Heading3"/>
      </w:pPr>
      <w:r>
        <w:lastRenderedPageBreak/>
        <w:t>Legislation</w:t>
      </w:r>
    </w:p>
    <w:p w14:paraId="462B55C7" w14:textId="6777B379" w:rsidR="00CD275B" w:rsidRPr="00CD275B" w:rsidRDefault="00CD275B" w:rsidP="00CD275B">
      <w:r>
        <w:t>The</w:t>
      </w:r>
      <w:r w:rsidR="00AD78D0" w:rsidRPr="00AD78D0">
        <w:t xml:space="preserve"> Stockholm Convention</w:t>
      </w:r>
      <w:r>
        <w:t xml:space="preserve"> banned the use of SCCPs</w:t>
      </w:r>
      <w:r w:rsidR="00AD78D0" w:rsidRPr="00AD78D0">
        <w:t xml:space="preserve"> under Annex A</w:t>
      </w:r>
      <w:r w:rsidR="004820BD">
        <w:t xml:space="preserve"> </w:t>
      </w:r>
      <w:r>
        <w:t xml:space="preserve">with specific exemptions. The UK, </w:t>
      </w:r>
      <w:bookmarkStart w:id="22" w:name="_Hlk62742469"/>
      <w:r>
        <w:t xml:space="preserve">through </w:t>
      </w:r>
      <w:r w:rsidR="007678A9">
        <w:t>the POP</w:t>
      </w:r>
      <w:r w:rsidR="00023252">
        <w:t>s</w:t>
      </w:r>
      <w:r>
        <w:t xml:space="preserve"> </w:t>
      </w:r>
      <w:r w:rsidR="00402DBF">
        <w:t>legislation</w:t>
      </w:r>
      <w:r w:rsidR="00E242B5">
        <w:rPr>
          <w:rStyle w:val="FootnoteReference"/>
        </w:rPr>
        <w:footnoteReference w:id="8"/>
      </w:r>
      <w:bookmarkEnd w:id="22"/>
      <w:r>
        <w:t xml:space="preserve"> </w:t>
      </w:r>
      <w:r w:rsidR="00466538">
        <w:t xml:space="preserve">has implemented this ban. The legislation </w:t>
      </w:r>
      <w:r>
        <w:t>does not allow for any ongoing use of SCCPs in new articles</w:t>
      </w:r>
      <w:r w:rsidR="00466538">
        <w:t>, but it</w:t>
      </w:r>
      <w:r>
        <w:t xml:space="preserve"> allows </w:t>
      </w:r>
      <w:r w:rsidR="002F1392">
        <w:t xml:space="preserve">continued </w:t>
      </w:r>
      <w:r>
        <w:t>use in:</w:t>
      </w:r>
    </w:p>
    <w:p w14:paraId="4DADBC5F" w14:textId="58807D71" w:rsidR="00CD275B" w:rsidRPr="00CD275B" w:rsidRDefault="00CD275B" w:rsidP="00586953">
      <w:pPr>
        <w:pStyle w:val="ListParagraph"/>
        <w:numPr>
          <w:ilvl w:val="0"/>
          <w:numId w:val="27"/>
        </w:numPr>
      </w:pPr>
      <w:r w:rsidRPr="00CD275B">
        <w:t xml:space="preserve">conveyor belts in the mining industry and dam sealants containing SCCPs already in use before or on 4 December 2015; and </w:t>
      </w:r>
    </w:p>
    <w:p w14:paraId="7EA92585" w14:textId="54593111" w:rsidR="00CD275B" w:rsidRPr="00CD275B" w:rsidRDefault="00CD275B">
      <w:pPr>
        <w:pStyle w:val="ListParagraph"/>
        <w:numPr>
          <w:ilvl w:val="0"/>
          <w:numId w:val="27"/>
        </w:numPr>
      </w:pPr>
      <w:r w:rsidRPr="00CD275B">
        <w:t xml:space="preserve">articles containing SCCPs other than those referred to in point (a) already in use before or on 10 July 2012. </w:t>
      </w:r>
    </w:p>
    <w:p w14:paraId="64075EC0" w14:textId="3B381699" w:rsidR="008D2A0B" w:rsidRPr="008D2A0B" w:rsidRDefault="001F3160" w:rsidP="008D2A0B">
      <w:r>
        <w:t>T</w:t>
      </w:r>
      <w:r w:rsidR="001906B9">
        <w:t xml:space="preserve">he </w:t>
      </w:r>
      <w:r w:rsidR="007678A9">
        <w:t>POP</w:t>
      </w:r>
      <w:r w:rsidR="00023252">
        <w:t>s</w:t>
      </w:r>
      <w:r w:rsidR="00745364">
        <w:t xml:space="preserve"> </w:t>
      </w:r>
      <w:r w:rsidR="00402DBF">
        <w:t>legislation</w:t>
      </w:r>
      <w:r w:rsidR="001906B9">
        <w:t xml:space="preserve"> </w:t>
      </w:r>
      <w:proofErr w:type="gramStart"/>
      <w:r w:rsidR="001906B9">
        <w:t>allow</w:t>
      </w:r>
      <w:proofErr w:type="gramEnd"/>
      <w:r w:rsidR="001906B9">
        <w:t xml:space="preserve"> </w:t>
      </w:r>
      <w:r w:rsidR="0034787A">
        <w:t xml:space="preserve">for </w:t>
      </w:r>
      <w:r w:rsidR="00DC3805">
        <w:t xml:space="preserve">substances and </w:t>
      </w:r>
      <w:r w:rsidR="001F415F">
        <w:t>mixture</w:t>
      </w:r>
      <w:r w:rsidR="00DC3805">
        <w:t>s</w:t>
      </w:r>
      <w:r w:rsidR="001F415F">
        <w:t xml:space="preserve"> </w:t>
      </w:r>
      <w:r w:rsidR="00DC3805">
        <w:t xml:space="preserve">containing </w:t>
      </w:r>
      <w:r w:rsidR="00AD78D0" w:rsidRPr="00AD78D0">
        <w:t>up to 1% and for articles</w:t>
      </w:r>
      <w:r w:rsidR="00DC3805">
        <w:t xml:space="preserve"> containing </w:t>
      </w:r>
      <w:r w:rsidR="00AD78D0" w:rsidRPr="00AD78D0">
        <w:t>up to 0.15%</w:t>
      </w:r>
      <w:r w:rsidR="00223DC3">
        <w:t xml:space="preserve"> to be placed on the market</w:t>
      </w:r>
      <w:r w:rsidR="00AD78D0">
        <w:t>.</w:t>
      </w:r>
      <w:r w:rsidR="00AD78D0" w:rsidDel="00023252">
        <w:t xml:space="preserve"> </w:t>
      </w:r>
      <w:r w:rsidR="00223DC3">
        <w:t xml:space="preserve">It should be noted that, under UK hazardous waste controls, wastes containing </w:t>
      </w:r>
      <w:r w:rsidR="00223DC3" w:rsidRPr="00A5504A">
        <w:t xml:space="preserve">both MCCP and SCCP </w:t>
      </w:r>
      <w:r w:rsidR="00223DC3">
        <w:t>above</w:t>
      </w:r>
      <w:r w:rsidR="00223DC3" w:rsidRPr="00A5504A">
        <w:t xml:space="preserve"> 0.25%</w:t>
      </w:r>
      <w:r w:rsidR="00223DC3">
        <w:t xml:space="preserve"> are classified as hazardous waste</w:t>
      </w:r>
      <w:r w:rsidR="00223DC3" w:rsidRPr="00A5504A">
        <w:t xml:space="preserve">. That status is very relevant to the regulation </w:t>
      </w:r>
      <w:r w:rsidR="003A0488">
        <w:t xml:space="preserve">requirements </w:t>
      </w:r>
      <w:r w:rsidR="00223DC3" w:rsidRPr="00A5504A">
        <w:t>and fate of materials</w:t>
      </w:r>
      <w:r w:rsidR="00223DC3">
        <w:t xml:space="preserve"> when they become waste</w:t>
      </w:r>
      <w:r w:rsidR="00223DC3" w:rsidRPr="00A5504A">
        <w:t>.</w:t>
      </w:r>
      <w:r w:rsidR="008D2A0B" w:rsidRPr="008D2A0B">
        <w:rPr>
          <w:rFonts w:cs="Arial"/>
          <w:szCs w:val="24"/>
        </w:rPr>
        <w:t xml:space="preserve"> </w:t>
      </w:r>
    </w:p>
    <w:p w14:paraId="47FFEE10" w14:textId="09CAE0CB" w:rsidR="00223DC3" w:rsidRDefault="00223DC3" w:rsidP="00223DC3"/>
    <w:p w14:paraId="07B31252" w14:textId="77777777" w:rsidR="00641BEA" w:rsidRDefault="00641BEA" w:rsidP="00641BEA">
      <w:pPr>
        <w:pStyle w:val="Heading3"/>
      </w:pPr>
      <w:r>
        <w:t>Stockpiles, waste and contaminated sites</w:t>
      </w:r>
    </w:p>
    <w:p w14:paraId="7BD290A1" w14:textId="71C7AFFD" w:rsidR="00641BEA" w:rsidRDefault="00AD78D0" w:rsidP="00641BEA">
      <w:r w:rsidRPr="00AD78D0">
        <w:t xml:space="preserve">The UK has no </w:t>
      </w:r>
      <w:r w:rsidR="0095599E">
        <w:t xml:space="preserve">known </w:t>
      </w:r>
      <w:r w:rsidRPr="00AD78D0">
        <w:t xml:space="preserve">stockpiles of SCCPs. </w:t>
      </w:r>
      <w:r w:rsidR="00C41D4C">
        <w:t>S</w:t>
      </w:r>
      <w:r w:rsidR="00C41D4C" w:rsidRPr="00C41D4C">
        <w:t>ome of the historic uses</w:t>
      </w:r>
      <w:r w:rsidR="00C41D4C">
        <w:t xml:space="preserve"> have </w:t>
      </w:r>
      <w:r w:rsidR="00C41D4C" w:rsidRPr="00C41D4C">
        <w:t xml:space="preserve">long </w:t>
      </w:r>
      <w:r w:rsidR="0027352F" w:rsidRPr="00C41D4C">
        <w:t>lifetimes</w:t>
      </w:r>
      <w:r w:rsidR="00C41D4C">
        <w:t xml:space="preserve"> e.g</w:t>
      </w:r>
      <w:r w:rsidR="002F1392">
        <w:t>.</w:t>
      </w:r>
      <w:r w:rsidR="00C41D4C">
        <w:t xml:space="preserve"> conveyor belts and sealants and adhesives</w:t>
      </w:r>
      <w:r w:rsidR="005E473E">
        <w:t>,</w:t>
      </w:r>
      <w:r w:rsidR="00C41D4C">
        <w:t xml:space="preserve"> so are likely to continue to be </w:t>
      </w:r>
      <w:r w:rsidR="002F1392">
        <w:t>present in</w:t>
      </w:r>
      <w:r w:rsidR="00C41D4C">
        <w:t xml:space="preserve"> </w:t>
      </w:r>
      <w:r w:rsidR="002F1392">
        <w:t xml:space="preserve">some </w:t>
      </w:r>
      <w:r w:rsidR="00C41D4C" w:rsidRPr="00C41D4C">
        <w:t>waste</w:t>
      </w:r>
      <w:r w:rsidR="002F1392">
        <w:t>s generated</w:t>
      </w:r>
      <w:r w:rsidR="00C41D4C">
        <w:t xml:space="preserve"> for many years. However, </w:t>
      </w:r>
      <w:r w:rsidR="002F1392">
        <w:t>a</w:t>
      </w:r>
      <w:r w:rsidR="00C41D4C">
        <w:t xml:space="preserve"> report commissioned by the European Union suggests that </w:t>
      </w:r>
      <w:r w:rsidR="00C41D4C" w:rsidRPr="00C41D4C">
        <w:t>the relatively short life cycles of most of other products and the fact that the use of SCCPs has now either been banned or voluntarily ended several years ago, it can be expected that most of the SCCP-containing waste has been already disposed of</w:t>
      </w:r>
      <w:r w:rsidR="002F1392">
        <w:t xml:space="preserve"> (Ramboll, 2019)</w:t>
      </w:r>
      <w:r w:rsidR="00286F1B">
        <w:t>.</w:t>
      </w:r>
    </w:p>
    <w:p w14:paraId="58035D35" w14:textId="77777777" w:rsidR="00641BEA" w:rsidRDefault="00641BEA" w:rsidP="00641BEA">
      <w:pPr>
        <w:pStyle w:val="Heading3"/>
      </w:pPr>
      <w:r>
        <w:t>Monitoring</w:t>
      </w:r>
    </w:p>
    <w:p w14:paraId="108171AB" w14:textId="68EE2B52" w:rsidR="00FC21E5" w:rsidRDefault="00A04707" w:rsidP="00223DC3">
      <w:r w:rsidRPr="0035744F">
        <w:t>In 2018</w:t>
      </w:r>
      <w:r w:rsidR="00223DC3">
        <w:t>,</w:t>
      </w:r>
      <w:r w:rsidRPr="0035744F">
        <w:t xml:space="preserve"> 15 river sites were monitored for </w:t>
      </w:r>
      <w:r w:rsidR="00223DC3">
        <w:t>SCCPs</w:t>
      </w:r>
      <w:r w:rsidRPr="0035744F">
        <w:t xml:space="preserve"> by the Environment Agency. Site selection ensured that all River Basin Districts had at least one sample point, and these were positioned at the bottom of catchments in areas most likely to have elevated levels of these </w:t>
      </w:r>
      <w:r w:rsidRPr="00F95C80">
        <w:t xml:space="preserve">chemicals. </w:t>
      </w:r>
      <w:proofErr w:type="gramStart"/>
      <w:r w:rsidRPr="00F95C80">
        <w:t>All of</w:t>
      </w:r>
      <w:proofErr w:type="gramEnd"/>
      <w:r w:rsidRPr="00F95C80">
        <w:t xml:space="preserve"> the results were below the minimum reporting value (MRV) for the test. This MRV is significantly higher than the water E</w:t>
      </w:r>
      <w:r w:rsidR="00350F1D" w:rsidRPr="00F95C80">
        <w:t>nvironment</w:t>
      </w:r>
      <w:r w:rsidR="007B74F0" w:rsidRPr="00F95C80">
        <w:t>al</w:t>
      </w:r>
      <w:r w:rsidR="00350F1D" w:rsidRPr="00F95C80">
        <w:t xml:space="preserve"> </w:t>
      </w:r>
      <w:r w:rsidRPr="00F95C80">
        <w:t>Q</w:t>
      </w:r>
      <w:r w:rsidR="00350F1D" w:rsidRPr="00F95C80">
        <w:t xml:space="preserve">uality </w:t>
      </w:r>
      <w:r w:rsidRPr="00F95C80">
        <w:t>S</w:t>
      </w:r>
      <w:r w:rsidR="00CC3BF2" w:rsidRPr="00F95C80">
        <w:t xml:space="preserve">tandards </w:t>
      </w:r>
      <w:r w:rsidR="00CC3BF2" w:rsidRPr="00F95C80">
        <w:lastRenderedPageBreak/>
        <w:t>(</w:t>
      </w:r>
      <w:r w:rsidRPr="00F95C80">
        <w:t>EQS</w:t>
      </w:r>
      <w:r w:rsidR="00CC3BF2" w:rsidRPr="00F95C80">
        <w:t>)</w:t>
      </w:r>
      <w:r w:rsidR="00A039C0" w:rsidRPr="00F95C80">
        <w:t xml:space="preserve">, </w:t>
      </w:r>
      <w:r w:rsidR="006A4CC4" w:rsidRPr="00F95C80">
        <w:t xml:space="preserve">so it is not possible to conclude </w:t>
      </w:r>
      <w:proofErr w:type="gramStart"/>
      <w:r w:rsidR="006A4CC4" w:rsidRPr="00F95C80">
        <w:t>whether or not</w:t>
      </w:r>
      <w:proofErr w:type="gramEnd"/>
      <w:r w:rsidR="006A4CC4" w:rsidRPr="00F95C80">
        <w:t xml:space="preserve"> the EQS </w:t>
      </w:r>
      <w:r w:rsidR="00023252">
        <w:t>was</w:t>
      </w:r>
      <w:r w:rsidR="00023252" w:rsidRPr="00F95C80">
        <w:t xml:space="preserve"> </w:t>
      </w:r>
      <w:r w:rsidR="006A4CC4" w:rsidRPr="00F95C80">
        <w:t xml:space="preserve">exceeded to accurately determine water measurements at or below the SCCPs EQS. </w:t>
      </w:r>
    </w:p>
    <w:p w14:paraId="56A505DD" w14:textId="6B09F814" w:rsidR="00A039C0" w:rsidRPr="00F95C80" w:rsidRDefault="006A4CC4" w:rsidP="00223DC3">
      <w:r w:rsidRPr="00F95C80">
        <w:t>Follow-on surveillance monitoring has not been undertaken as the methods available are not sufficiently sensitive </w:t>
      </w:r>
      <w:r w:rsidR="00DD2C39">
        <w:t xml:space="preserve">and </w:t>
      </w:r>
      <w:r w:rsidRPr="00F95C80">
        <w:t>are unlikely to provide further information on environmentally relevant levels in water. The challenges of determining the concentration of chlorinated paraffins in the environment and biota are recognised and in many cases</w:t>
      </w:r>
      <w:r w:rsidR="00601E00">
        <w:t xml:space="preserve"> the concentrations reported</w:t>
      </w:r>
      <w:r w:rsidRPr="00F95C80">
        <w:t xml:space="preserve"> are considered to be qualitative indicators. However, improved detection methods for chlorinated paraffins</w:t>
      </w:r>
      <w:r w:rsidR="003A7CBE">
        <w:t>,</w:t>
      </w:r>
      <w:r w:rsidRPr="00F95C80">
        <w:t> including analytical standards and efficient sample clean-up procedures</w:t>
      </w:r>
      <w:r w:rsidR="00064670">
        <w:t>,</w:t>
      </w:r>
      <w:r w:rsidRPr="00F95C80">
        <w:t> have been recently reported in the literature. </w:t>
      </w:r>
      <w:proofErr w:type="gramStart"/>
      <w:r w:rsidRPr="00F95C80">
        <w:t>A number of</w:t>
      </w:r>
      <w:proofErr w:type="gramEnd"/>
      <w:r w:rsidRPr="00F95C80">
        <w:t> new techniques have shown increased sensitivity and differentiate between the varying carbon chain lengths and degrees of chlorination within this group of chemicals (Defra, 2021).</w:t>
      </w:r>
      <w:r w:rsidR="00D502CA">
        <w:t xml:space="preserve"> We will consider the need to review monitoring arrangements </w:t>
      </w:r>
      <w:proofErr w:type="gramStart"/>
      <w:r w:rsidR="00D502CA">
        <w:t>in light of</w:t>
      </w:r>
      <w:proofErr w:type="gramEnd"/>
      <w:r w:rsidR="00D502CA">
        <w:t xml:space="preserve"> these developments.</w:t>
      </w:r>
      <w:r w:rsidRPr="00F95C80">
        <w:t>   </w:t>
      </w:r>
      <w:r w:rsidRPr="00F95C80" w:rsidDel="006A4CC4">
        <w:t xml:space="preserve"> </w:t>
      </w:r>
    </w:p>
    <w:p w14:paraId="445D9867" w14:textId="2EC57D75" w:rsidR="006F5149" w:rsidRDefault="00641BEA" w:rsidP="00EB778D">
      <w:pPr>
        <w:pStyle w:val="Heading2"/>
      </w:pPr>
      <w:bookmarkStart w:id="23" w:name="_Toc67030064"/>
      <w:r>
        <w:t>Hexachlorobutadiene (</w:t>
      </w:r>
      <w:r w:rsidR="004B4ADB">
        <w:t>HCBD</w:t>
      </w:r>
      <w:r>
        <w:t>)</w:t>
      </w:r>
      <w:bookmarkEnd w:id="23"/>
    </w:p>
    <w:p w14:paraId="439C4B1C" w14:textId="43CE6091" w:rsidR="00641BEA" w:rsidRDefault="00641BEA" w:rsidP="00641BEA">
      <w:pPr>
        <w:pStyle w:val="Heading3"/>
      </w:pPr>
      <w:r>
        <w:t>Production and use</w:t>
      </w:r>
    </w:p>
    <w:p w14:paraId="70F82815" w14:textId="7B26B3BF" w:rsidR="00FF4395" w:rsidRDefault="00FF4395" w:rsidP="00641BEA">
      <w:r w:rsidRPr="00FF4395">
        <w:t>Hexachlorobutadiene (HCBD) (CAS RN: 87-68-3) is a halogenated aliphatic compound which has had several technical and agricultural uses.</w:t>
      </w:r>
    </w:p>
    <w:p w14:paraId="685AF287" w14:textId="0CA5CD56" w:rsidR="00FF4395" w:rsidRPr="00FF4395" w:rsidRDefault="00FF4395" w:rsidP="00FF4395">
      <w:r w:rsidRPr="00FF4395">
        <w:t>Previously it was intentionally produced and used, for example</w:t>
      </w:r>
      <w:r w:rsidR="006A66BA">
        <w:t>:</w:t>
      </w:r>
      <w:r w:rsidRPr="00FF4395">
        <w:t xml:space="preserve"> as a solvent (for rubber and other polymers); in the recovery of chlorine-containing gas or in the removal of volatile organic components from gas; as hydraulic, heat transfer or transformer fluid; in gyroscopes; in the production of aluminium and graphite rods; and as a plant protection product. </w:t>
      </w:r>
      <w:r w:rsidR="00777B60">
        <w:t>I</w:t>
      </w:r>
      <w:r w:rsidRPr="00FF4395">
        <w:t>t is not known to be currently intentionally produced or used</w:t>
      </w:r>
      <w:r w:rsidR="00492C14">
        <w:t xml:space="preserve"> </w:t>
      </w:r>
      <w:r w:rsidR="00DB31BE">
        <w:t xml:space="preserve">in Europe, </w:t>
      </w:r>
      <w:r w:rsidR="00666035">
        <w:t xml:space="preserve">or in any other </w:t>
      </w:r>
      <w:r w:rsidR="00666035" w:rsidRPr="009679B9">
        <w:t>United Nations Economic Commission for Europe</w:t>
      </w:r>
      <w:r w:rsidR="00666035" w:rsidRPr="00666035">
        <w:t xml:space="preserve"> </w:t>
      </w:r>
      <w:r w:rsidR="00666035">
        <w:t xml:space="preserve">(UNECE) country </w:t>
      </w:r>
      <w:r w:rsidR="009679B9">
        <w:t xml:space="preserve">but </w:t>
      </w:r>
      <w:r w:rsidR="00023252">
        <w:t xml:space="preserve">continued </w:t>
      </w:r>
      <w:r w:rsidR="009679B9">
        <w:t>production elsewhere is unknown.</w:t>
      </w:r>
      <w:r w:rsidR="003F3E43">
        <w:t xml:space="preserve"> </w:t>
      </w:r>
      <w:r w:rsidRPr="00FF4395">
        <w:t xml:space="preserve"> </w:t>
      </w:r>
    </w:p>
    <w:p w14:paraId="0D1C72B7" w14:textId="7DFC27D3" w:rsidR="00F6519D" w:rsidRPr="00F6519D" w:rsidRDefault="00345D4B" w:rsidP="00F6519D">
      <w:r>
        <w:t>I</w:t>
      </w:r>
      <w:r w:rsidR="00F6519D" w:rsidRPr="00F6519D">
        <w:t>nformation on production</w:t>
      </w:r>
      <w:r w:rsidR="00014B09">
        <w:t>, which ceased in the UK in 1993</w:t>
      </w:r>
      <w:r w:rsidR="00A039C0">
        <w:t>,</w:t>
      </w:r>
      <w:r w:rsidR="00F6519D" w:rsidRPr="00F6519D">
        <w:t xml:space="preserve"> and use</w:t>
      </w:r>
      <w:r w:rsidR="00014B09">
        <w:t>,</w:t>
      </w:r>
      <w:r w:rsidR="00F6519D" w:rsidRPr="00F6519D">
        <w:t xml:space="preserve"> can be found in the UK 2017 NIP update</w:t>
      </w:r>
      <w:r w:rsidR="00725214">
        <w:t xml:space="preserve">. This </w:t>
      </w:r>
      <w:r w:rsidR="00F6519D" w:rsidRPr="00F6519D">
        <w:t>confirm</w:t>
      </w:r>
      <w:r w:rsidR="00725214">
        <w:t>s</w:t>
      </w:r>
      <w:r w:rsidR="00F6519D" w:rsidRPr="00F6519D">
        <w:t xml:space="preserve"> that although HCBD is no longer used in manufacturing processes and does not occur naturally, it is unintentionally released from certain chemical </w:t>
      </w:r>
      <w:r w:rsidR="00F6519D">
        <w:t>and</w:t>
      </w:r>
      <w:r w:rsidR="00F6519D" w:rsidRPr="00F6519D">
        <w:t xml:space="preserve"> industrial processes. These sources include: </w:t>
      </w:r>
      <w:r w:rsidR="00217210">
        <w:t>the manufacture of chlorinated hydrocarbons such as perchloro</w:t>
      </w:r>
      <w:r w:rsidR="00B669CE">
        <w:t>e</w:t>
      </w:r>
      <w:r w:rsidR="00217210">
        <w:t>thylene, trichloro</w:t>
      </w:r>
      <w:r w:rsidR="00B669CE">
        <w:t>e</w:t>
      </w:r>
      <w:r w:rsidR="00217210">
        <w:t>thylene and carbon tetrachloride</w:t>
      </w:r>
      <w:r w:rsidR="00633863">
        <w:t>,</w:t>
      </w:r>
      <w:r w:rsidR="00217210">
        <w:t xml:space="preserve"> </w:t>
      </w:r>
      <w:r w:rsidR="00F6519D" w:rsidRPr="00F6519D">
        <w:t xml:space="preserve">production of magnesium; </w:t>
      </w:r>
      <w:r w:rsidR="00217210">
        <w:t xml:space="preserve">and </w:t>
      </w:r>
      <w:r w:rsidR="00F6519D" w:rsidRPr="00F6519D">
        <w:t>incineration processes</w:t>
      </w:r>
      <w:r w:rsidR="00A039C0">
        <w:t>.</w:t>
      </w:r>
      <w:r w:rsidR="00F6519D" w:rsidRPr="00F6519D">
        <w:t xml:space="preserve"> </w:t>
      </w:r>
      <w:r w:rsidR="00A039C0">
        <w:t>A</w:t>
      </w:r>
      <w:r w:rsidR="00014B09" w:rsidRPr="00014B09">
        <w:t>ccording to industry estimates</w:t>
      </w:r>
      <w:r w:rsidR="00A039C0">
        <w:t xml:space="preserve">, </w:t>
      </w:r>
      <w:r w:rsidR="00014B09" w:rsidRPr="00014B09">
        <w:t xml:space="preserve">emissions </w:t>
      </w:r>
      <w:r w:rsidR="00A039C0">
        <w:t xml:space="preserve">of HCBD </w:t>
      </w:r>
      <w:r w:rsidR="00014B09" w:rsidRPr="00014B09">
        <w:t>to air from European chlor-alkali production sites, are close to zero (CEFIC, 2004). </w:t>
      </w:r>
    </w:p>
    <w:p w14:paraId="3D198326" w14:textId="059E3AD9" w:rsidR="00641BEA" w:rsidRDefault="00641BEA" w:rsidP="00641BEA">
      <w:pPr>
        <w:pStyle w:val="Heading3"/>
      </w:pPr>
      <w:r>
        <w:t>Legislation</w:t>
      </w:r>
    </w:p>
    <w:p w14:paraId="22443E52" w14:textId="56D4AE49" w:rsidR="00641BEA" w:rsidRDefault="00F6519D" w:rsidP="00641BEA">
      <w:r w:rsidRPr="00F6519D">
        <w:t>In 2015, at COP</w:t>
      </w:r>
      <w:r w:rsidR="00B61E22">
        <w:t xml:space="preserve"> 7</w:t>
      </w:r>
      <w:r w:rsidR="00466538">
        <w:t>,</w:t>
      </w:r>
      <w:r w:rsidRPr="00F6519D">
        <w:t xml:space="preserve"> HCBD was added to Annex A of </w:t>
      </w:r>
      <w:r w:rsidR="00B61E22">
        <w:t xml:space="preserve">the </w:t>
      </w:r>
      <w:r w:rsidRPr="00F6519D">
        <w:t>Stockholm Convention without any specific exemptions</w:t>
      </w:r>
      <w:r>
        <w:t>.</w:t>
      </w:r>
      <w:r w:rsidRPr="00F6519D">
        <w:t xml:space="preserve"> </w:t>
      </w:r>
      <w:r w:rsidR="00224467">
        <w:t xml:space="preserve">The Stockholm Convention added HCBD to Annex C of the </w:t>
      </w:r>
      <w:r w:rsidR="00224467">
        <w:lastRenderedPageBreak/>
        <w:t xml:space="preserve">Convention in </w:t>
      </w:r>
      <w:r>
        <w:t>2017</w:t>
      </w:r>
      <w:r w:rsidR="00B61E22">
        <w:t>, at COP 8</w:t>
      </w:r>
      <w:r>
        <w:t>.</w:t>
      </w:r>
      <w:r w:rsidR="00224467">
        <w:t xml:space="preserve"> </w:t>
      </w:r>
      <w:r w:rsidR="00404349">
        <w:t xml:space="preserve">HCBD has been </w:t>
      </w:r>
      <w:r w:rsidR="00404349" w:rsidRPr="00206C37">
        <w:t>added</w:t>
      </w:r>
      <w:r w:rsidR="00633863">
        <w:t xml:space="preserve"> to</w:t>
      </w:r>
      <w:r w:rsidR="00404349" w:rsidRPr="00206C37">
        <w:t xml:space="preserve"> </w:t>
      </w:r>
      <w:r w:rsidR="00BF3374" w:rsidRPr="00206C37">
        <w:t xml:space="preserve">the </w:t>
      </w:r>
      <w:r w:rsidR="007678A9" w:rsidRPr="00206C37">
        <w:t>POPs</w:t>
      </w:r>
      <w:r w:rsidR="00BF3374" w:rsidRPr="00206C37">
        <w:t xml:space="preserve"> </w:t>
      </w:r>
      <w:r w:rsidR="00402DBF" w:rsidRPr="00206C37">
        <w:t>legislation</w:t>
      </w:r>
      <w:r w:rsidR="00E242B5" w:rsidRPr="00206C37">
        <w:rPr>
          <w:rStyle w:val="FootnoteReference"/>
        </w:rPr>
        <w:footnoteReference w:id="9"/>
      </w:r>
      <w:r w:rsidR="00BF3374" w:rsidRPr="00206C37">
        <w:t xml:space="preserve">, </w:t>
      </w:r>
      <w:r w:rsidR="00FF4395" w:rsidRPr="00206C37">
        <w:t>which lists substances subject to release reduction provisions requiring</w:t>
      </w:r>
      <w:r w:rsidR="00224467" w:rsidRPr="00206C37">
        <w:t xml:space="preserve"> </w:t>
      </w:r>
      <w:r w:rsidR="00404349" w:rsidRPr="00206C37">
        <w:t>r</w:t>
      </w:r>
      <w:r w:rsidR="00224467" w:rsidRPr="00206C37">
        <w:t>egular assess</w:t>
      </w:r>
      <w:r w:rsidR="00404349" w:rsidRPr="00206C37">
        <w:t>ment of the</w:t>
      </w:r>
      <w:r w:rsidR="00224467" w:rsidRPr="00206C37">
        <w:t xml:space="preserve"> need for the mandatory monitoring of </w:t>
      </w:r>
      <w:r w:rsidR="00404349" w:rsidRPr="00206C37">
        <w:t>this</w:t>
      </w:r>
      <w:r w:rsidR="00224467" w:rsidRPr="00206C37">
        <w:t xml:space="preserve"> substance</w:t>
      </w:r>
      <w:r w:rsidR="00404349" w:rsidRPr="00206C37">
        <w:t>.</w:t>
      </w:r>
      <w:r w:rsidR="00224467" w:rsidRPr="00224467">
        <w:t xml:space="preserve">  </w:t>
      </w:r>
    </w:p>
    <w:p w14:paraId="3EFB46B3" w14:textId="7E103A92" w:rsidR="00641BEA" w:rsidRDefault="00641BEA" w:rsidP="00641BEA">
      <w:pPr>
        <w:pStyle w:val="Heading3"/>
      </w:pPr>
      <w:r>
        <w:t>Stockpiles, waste and contaminated sites</w:t>
      </w:r>
    </w:p>
    <w:p w14:paraId="4FA3E29B" w14:textId="746046EE" w:rsidR="00641BEA" w:rsidRDefault="00FF4395" w:rsidP="00641BEA">
      <w:r>
        <w:t xml:space="preserve">There are no </w:t>
      </w:r>
      <w:r w:rsidR="00DF3FDB">
        <w:t xml:space="preserve">known </w:t>
      </w:r>
      <w:r>
        <w:t>stockpiles of HCB</w:t>
      </w:r>
      <w:r w:rsidR="00DF3FDB">
        <w:t>D</w:t>
      </w:r>
      <w:r>
        <w:t xml:space="preserve"> in the UK. </w:t>
      </w:r>
      <w:r w:rsidR="0078381E">
        <w:t>T</w:t>
      </w:r>
      <w:r w:rsidRPr="00FF4395">
        <w:t xml:space="preserve">here have been significant reductions in emissions from waste management, although some releases are still reported. </w:t>
      </w:r>
      <w:r>
        <w:t>I</w:t>
      </w:r>
      <w:r w:rsidRPr="00FF4395">
        <w:t>t is expected that these unintentional releases will continue to decline in the UK.</w:t>
      </w:r>
    </w:p>
    <w:p w14:paraId="709C48AF" w14:textId="106CC7CA" w:rsidR="00641BEA" w:rsidRDefault="00641BEA" w:rsidP="00641BEA">
      <w:pPr>
        <w:pStyle w:val="Heading3"/>
      </w:pPr>
      <w:r>
        <w:t>Monitoring</w:t>
      </w:r>
    </w:p>
    <w:p w14:paraId="0E396BD1" w14:textId="35A5638C" w:rsidR="00BD7862" w:rsidRPr="00BD7862" w:rsidRDefault="00BD7862" w:rsidP="00E4185C">
      <w:pPr>
        <w:rPr>
          <w:rFonts w:ascii="&amp;quot" w:hAnsi="&amp;quot"/>
          <w:sz w:val="18"/>
          <w:szCs w:val="18"/>
          <w:lang w:eastAsia="en-GB"/>
        </w:rPr>
      </w:pPr>
      <w:r w:rsidRPr="00BD7862">
        <w:rPr>
          <w:lang w:eastAsia="en-GB"/>
        </w:rPr>
        <w:t xml:space="preserve">As a result of the cessation of the commercial use of HCBD </w:t>
      </w:r>
      <w:r w:rsidR="00662C70">
        <w:rPr>
          <w:lang w:eastAsia="en-GB"/>
        </w:rPr>
        <w:t>in the</w:t>
      </w:r>
      <w:r w:rsidRPr="00BD7862">
        <w:rPr>
          <w:lang w:eastAsia="en-GB"/>
        </w:rPr>
        <w:t xml:space="preserve"> UK in 1993, it is apparent that alternatives have been identified and substitution has taken place. Therefore</w:t>
      </w:r>
      <w:r w:rsidR="00DF3FDB">
        <w:rPr>
          <w:lang w:eastAsia="en-GB"/>
        </w:rPr>
        <w:t>,</w:t>
      </w:r>
      <w:r w:rsidRPr="00BD7862">
        <w:rPr>
          <w:lang w:eastAsia="en-GB"/>
        </w:rPr>
        <w:t xml:space="preserve"> the only potential remaining source of HC</w:t>
      </w:r>
      <w:r w:rsidR="00A04707">
        <w:rPr>
          <w:lang w:eastAsia="en-GB"/>
        </w:rPr>
        <w:t>B</w:t>
      </w:r>
      <w:r w:rsidRPr="00BD7862">
        <w:rPr>
          <w:lang w:eastAsia="en-GB"/>
        </w:rPr>
        <w:t xml:space="preserve">D to the environment is via emission from residues from the production of chlorinated hydrocarbons. </w:t>
      </w:r>
    </w:p>
    <w:p w14:paraId="3B63D15E" w14:textId="6AF77AE8" w:rsidR="00A04707" w:rsidRPr="00A04707" w:rsidRDefault="00A04707" w:rsidP="00A04707">
      <w:r w:rsidRPr="00A04707">
        <w:t>HCBD is classed as a priority hazardous substance and therefore releases to the aquatic environment are addressed under the Water Environment (Water Framework Directive) (England &amp; Wales) Regulations 2017</w:t>
      </w:r>
      <w:r w:rsidR="00867D84">
        <w:rPr>
          <w:rStyle w:val="FootnoteReference"/>
        </w:rPr>
        <w:footnoteReference w:id="10"/>
      </w:r>
      <w:r w:rsidRPr="00A04707">
        <w:t xml:space="preserve">. Environmental quality standards (EQSs) have been set for HCBD in both freshwater and marine environments. </w:t>
      </w:r>
    </w:p>
    <w:p w14:paraId="0CFF5B1A" w14:textId="4A5F9FE1" w:rsidR="00C3412E" w:rsidRPr="00A04707" w:rsidRDefault="00A04707" w:rsidP="00A04707">
      <w:r w:rsidRPr="00A04707">
        <w:t xml:space="preserve">The Environment Agency has analysed HCBD as part of their fish monitoring programme at 20 freshwater sites over the years 2014 to 2019. The analysis has a minimum reporting value (MRV) of </w:t>
      </w:r>
      <w:r w:rsidRPr="007842A6">
        <w:t xml:space="preserve">0.1 </w:t>
      </w:r>
      <w:r w:rsidR="00EB7AD0">
        <w:rPr>
          <w:rFonts w:cs="Arial"/>
        </w:rPr>
        <w:t>µ</w:t>
      </w:r>
      <w:r w:rsidRPr="00EB7AD0">
        <w:t>g</w:t>
      </w:r>
      <w:r w:rsidRPr="00A04707">
        <w:t xml:space="preserve">/kg and the biota EQS is 55 </w:t>
      </w:r>
      <w:r w:rsidR="00EB7AD0">
        <w:rPr>
          <w:rFonts w:cs="Arial"/>
        </w:rPr>
        <w:t>µ</w:t>
      </w:r>
      <w:r w:rsidRPr="00A04707">
        <w:t>g/kg. All results were well below the EQS, and the vast majority were less than the MRV. </w:t>
      </w:r>
    </w:p>
    <w:p w14:paraId="550F9B1E" w14:textId="60CCE288" w:rsidR="000A5583" w:rsidRDefault="000A5583" w:rsidP="000A5583">
      <w:r w:rsidRPr="00856891">
        <w:rPr>
          <w:rFonts w:cs="Arial"/>
        </w:rPr>
        <w:t xml:space="preserve">In </w:t>
      </w:r>
      <w:r w:rsidRPr="000A5583">
        <w:t xml:space="preserve">Scotland SEPA has monitored for HCBD in freshwater biota between 2004 and 2014 at around 20 freshwater sites. HCBD was detected at very low levels relative to the EQS, or not detected at all (similar MRV to EA). No time trend is evident, partly because levels are so low or </w:t>
      </w:r>
      <w:proofErr w:type="spellStart"/>
      <w:r w:rsidRPr="000A5583">
        <w:t>not</w:t>
      </w:r>
      <w:proofErr w:type="spellEnd"/>
      <w:r w:rsidRPr="000A5583">
        <w:t xml:space="preserve"> detectable.</w:t>
      </w:r>
      <w:r w:rsidR="00017217" w:rsidRPr="000A5583" w:rsidDel="00017217">
        <w:t xml:space="preserve"> </w:t>
      </w:r>
    </w:p>
    <w:p w14:paraId="2C0881CB" w14:textId="77777777" w:rsidR="000416EE" w:rsidRDefault="000416EE" w:rsidP="000416EE">
      <w:r>
        <w:t>NRW monitoring of biota at four freshwater sites in Wales indicated concentrations well below the EQS. Monitoring results from saline biota are similarly low.</w:t>
      </w:r>
    </w:p>
    <w:p w14:paraId="33CE76D8" w14:textId="27C1D629" w:rsidR="00A04707" w:rsidRPr="00A04707" w:rsidRDefault="00A04707" w:rsidP="00A04707">
      <w:r w:rsidRPr="00A04707">
        <w:lastRenderedPageBreak/>
        <w:t xml:space="preserve">The Environment Agency has also analysed HCBD in blue mussels and saline fish from estuarine and coastal waters. Since 2012, samples from 36 different blue mussel sites have been monitored with 98% of results less than the MRV (0.1 </w:t>
      </w:r>
      <w:r w:rsidR="00EB7AD0">
        <w:rPr>
          <w:rFonts w:cs="Arial"/>
        </w:rPr>
        <w:t>µ</w:t>
      </w:r>
      <w:r w:rsidRPr="00A04707">
        <w:t>g/kg).</w:t>
      </w:r>
    </w:p>
    <w:p w14:paraId="12B2096C" w14:textId="52419B9D" w:rsidR="00A04707" w:rsidRPr="00A04707" w:rsidRDefault="00A04707" w:rsidP="00A04707">
      <w:r w:rsidRPr="00A04707">
        <w:t xml:space="preserve">Results from sampling of saline fish (around 20 sites), since 2018, has also shown that </w:t>
      </w:r>
      <w:proofErr w:type="gramStart"/>
      <w:r w:rsidRPr="00A04707">
        <w:t>the majority of</w:t>
      </w:r>
      <w:proofErr w:type="gramEnd"/>
      <w:r w:rsidRPr="00A04707">
        <w:t xml:space="preserve"> results (90%) are less than the MRV (0.1 </w:t>
      </w:r>
      <w:r w:rsidR="00EB7AD0">
        <w:rPr>
          <w:rFonts w:cs="Arial"/>
        </w:rPr>
        <w:t>µ</w:t>
      </w:r>
      <w:r w:rsidRPr="00A04707">
        <w:t xml:space="preserve">g/kg), with the remaining samples just above the MRV. </w:t>
      </w:r>
    </w:p>
    <w:p w14:paraId="53203C9D" w14:textId="3710FC7E" w:rsidR="00A04707" w:rsidRPr="00A04707" w:rsidRDefault="00606691" w:rsidP="00A04707">
      <w:proofErr w:type="spellStart"/>
      <w:r>
        <w:t>Cefas</w:t>
      </w:r>
      <w:proofErr w:type="spellEnd"/>
      <w:r w:rsidR="00A04707" w:rsidRPr="00A04707">
        <w:t xml:space="preserve"> monitors HCBD in marine sediments as part of the OSPAR Clean </w:t>
      </w:r>
      <w:r w:rsidR="0069243B">
        <w:t xml:space="preserve">Safe </w:t>
      </w:r>
      <w:r w:rsidR="00A04707" w:rsidRPr="00A04707">
        <w:t>Seas Environment</w:t>
      </w:r>
      <w:r w:rsidR="0069243B">
        <w:t>al</w:t>
      </w:r>
      <w:r w:rsidR="00A04707" w:rsidRPr="00A04707">
        <w:t xml:space="preserve"> Monitoring programme (CSEMP)</w:t>
      </w:r>
      <w:r>
        <w:t>, however it is rarely detected above the limit of quantification (LOQ)</w:t>
      </w:r>
      <w:r w:rsidR="00A04707" w:rsidRPr="00A04707" w:rsidDel="00606691">
        <w:t>.</w:t>
      </w:r>
    </w:p>
    <w:p w14:paraId="36536AE6" w14:textId="66B581C9" w:rsidR="00641BEA" w:rsidRDefault="00A83798" w:rsidP="00641BEA">
      <w:pPr>
        <w:pStyle w:val="Heading3"/>
      </w:pPr>
      <w:r>
        <w:t>Unintentional production</w:t>
      </w:r>
    </w:p>
    <w:p w14:paraId="22B01F74" w14:textId="5A2EF5AF" w:rsidR="00641BEA" w:rsidRDefault="00641BEA" w:rsidP="00662C70">
      <w:r>
        <w:t xml:space="preserve">Releases of HCBD can be effectively minimised by using alternative processes, improved process control, emission control measures, or by substituting the relevant chlorinated </w:t>
      </w:r>
      <w:r w:rsidRPr="00D430F7">
        <w:t>chemicals (UNEP, 2016). Following</w:t>
      </w:r>
      <w:r>
        <w:t xml:space="preserve"> this listing the UK use of best available techniques (BAT) and new sources of HCBD must be identified, with the promotion of the use Best Environmental Practices (BEP) for these sources </w:t>
      </w:r>
      <w:r w:rsidRPr="00D430F7">
        <w:t>(UNEP, 2016</w:t>
      </w:r>
      <w:r w:rsidR="007735A0" w:rsidRPr="00D430F7">
        <w:t>a</w:t>
      </w:r>
      <w:r w:rsidRPr="00D430F7">
        <w:t>).</w:t>
      </w:r>
      <w:r>
        <w:t xml:space="preserve"> </w:t>
      </w:r>
    </w:p>
    <w:p w14:paraId="4F705FBB" w14:textId="4D90D000" w:rsidR="00662C70" w:rsidRDefault="00752921" w:rsidP="00662C70">
      <w:pPr>
        <w:rPr>
          <w:lang w:eastAsia="en-GB"/>
        </w:rPr>
      </w:pPr>
      <w:r w:rsidRPr="00345D4B">
        <w:rPr>
          <w:lang w:eastAsia="en-GB"/>
        </w:rPr>
        <w:t>T</w:t>
      </w:r>
      <w:r w:rsidR="00A554D0" w:rsidRPr="00345D4B">
        <w:rPr>
          <w:lang w:eastAsia="en-GB"/>
        </w:rPr>
        <w:t>he production of chlorinated solvents has been identified as a possible source as HC</w:t>
      </w:r>
      <w:r w:rsidR="008A66FE">
        <w:rPr>
          <w:lang w:eastAsia="en-GB"/>
        </w:rPr>
        <w:t>B</w:t>
      </w:r>
      <w:r w:rsidR="00A554D0" w:rsidRPr="00345D4B">
        <w:rPr>
          <w:lang w:eastAsia="en-GB"/>
        </w:rPr>
        <w:t xml:space="preserve">D is formed as an unintentional by-product. Industry estimates from Euro </w:t>
      </w:r>
      <w:proofErr w:type="spellStart"/>
      <w:r w:rsidR="00A554D0" w:rsidRPr="00345D4B">
        <w:rPr>
          <w:lang w:eastAsia="en-GB"/>
        </w:rPr>
        <w:t>Chlor</w:t>
      </w:r>
      <w:proofErr w:type="spellEnd"/>
      <w:r w:rsidR="00A554D0" w:rsidRPr="00345D4B">
        <w:rPr>
          <w:lang w:eastAsia="en-GB"/>
        </w:rPr>
        <w:t xml:space="preserve"> suggest this has decreased to negligible levels (CEFIC, 2004). For example, data from 76 European chlor-alkali production sites show that HCBD emissions to water have decreased from 100</w:t>
      </w:r>
      <w:r w:rsidR="009F328A">
        <w:rPr>
          <w:lang w:eastAsia="en-GB"/>
        </w:rPr>
        <w:t> </w:t>
      </w:r>
      <w:r w:rsidR="00A554D0" w:rsidRPr="00345D4B">
        <w:rPr>
          <w:lang w:eastAsia="en-GB"/>
        </w:rPr>
        <w:t xml:space="preserve">kg/year in 1997 to 2.4 kg/year in 2002. Atmospheric emissions have decreased from 2 kg/year to close to zero over the same period. This represents a reduction of more than 99% compared to 1985. </w:t>
      </w:r>
      <w:r w:rsidR="00662C70">
        <w:t>A table of estimated unintentiona</w:t>
      </w:r>
      <w:r w:rsidR="00BF5D4A">
        <w:t>l global</w:t>
      </w:r>
      <w:r w:rsidR="00662C70">
        <w:t xml:space="preserve"> releases </w:t>
      </w:r>
      <w:r w:rsidR="00BF5D4A">
        <w:t xml:space="preserve">of </w:t>
      </w:r>
      <w:r w:rsidR="00662C70">
        <w:t xml:space="preserve">HCBD was included in the last NIP update in 2017.  </w:t>
      </w:r>
    </w:p>
    <w:p w14:paraId="05BA8566" w14:textId="77777777" w:rsidR="00F84EBF" w:rsidRDefault="00A554D0" w:rsidP="00662C70">
      <w:pPr>
        <w:rPr>
          <w:rFonts w:ascii="Calibri" w:hAnsi="Calibri" w:cs="Calibri"/>
          <w:sz w:val="22"/>
          <w:lang w:eastAsia="en-GB"/>
        </w:rPr>
      </w:pPr>
      <w:bookmarkStart w:id="24" w:name="_Hlk65509229"/>
      <w:r w:rsidRPr="00345D4B">
        <w:rPr>
          <w:lang w:eastAsia="en-GB"/>
        </w:rPr>
        <w:t>Waste streams containing HCBD from the on-going production of certain chlorinated hydrocarbon may still have to be considered.</w:t>
      </w:r>
      <w:r w:rsidR="00662C70">
        <w:rPr>
          <w:lang w:eastAsia="en-GB"/>
        </w:rPr>
        <w:t xml:space="preserve"> </w:t>
      </w:r>
      <w:r w:rsidR="006E3F98" w:rsidRPr="00345D4B">
        <w:rPr>
          <w:lang w:eastAsia="en-GB"/>
        </w:rPr>
        <w:t>W</w:t>
      </w:r>
      <w:r w:rsidRPr="00345D4B">
        <w:rPr>
          <w:lang w:eastAsia="en-GB"/>
        </w:rPr>
        <w:t>astes are currently disposed of to landfill and incineration, with the latter becoming more significant</w:t>
      </w:r>
      <w:r w:rsidR="006E3F98" w:rsidRPr="00345D4B">
        <w:rPr>
          <w:lang w:eastAsia="en-GB"/>
        </w:rPr>
        <w:t>,</w:t>
      </w:r>
      <w:r w:rsidRPr="00345D4B">
        <w:rPr>
          <w:lang w:eastAsia="en-GB"/>
        </w:rPr>
        <w:t xml:space="preserve"> achiev</w:t>
      </w:r>
      <w:r w:rsidR="006E3F98" w:rsidRPr="00345D4B">
        <w:rPr>
          <w:lang w:eastAsia="en-GB"/>
        </w:rPr>
        <w:t>ing</w:t>
      </w:r>
      <w:r w:rsidRPr="00345D4B">
        <w:rPr>
          <w:lang w:eastAsia="en-GB"/>
        </w:rPr>
        <w:t xml:space="preserve"> greater than 99.9% destruction efficiency of HC</w:t>
      </w:r>
      <w:r w:rsidR="00A04707">
        <w:rPr>
          <w:lang w:eastAsia="en-GB"/>
        </w:rPr>
        <w:t>B</w:t>
      </w:r>
      <w:r w:rsidRPr="00345D4B">
        <w:rPr>
          <w:lang w:eastAsia="en-GB"/>
        </w:rPr>
        <w:t>D</w:t>
      </w:r>
      <w:r w:rsidR="00017217">
        <w:rPr>
          <w:lang w:eastAsia="en-GB"/>
        </w:rPr>
        <w:t xml:space="preserve"> (CEFIC, 2004)</w:t>
      </w:r>
      <w:r w:rsidRPr="00A554D0">
        <w:rPr>
          <w:rFonts w:ascii="Calibri" w:hAnsi="Calibri" w:cs="Calibri"/>
          <w:sz w:val="22"/>
          <w:lang w:eastAsia="en-GB"/>
        </w:rPr>
        <w:t xml:space="preserve">. </w:t>
      </w:r>
    </w:p>
    <w:p w14:paraId="22195CD0" w14:textId="2F0857E4" w:rsidR="00A554D0" w:rsidRPr="003571CA" w:rsidRDefault="00F84EBF" w:rsidP="00662C70">
      <w:pPr>
        <w:rPr>
          <w:rFonts w:asciiTheme="minorHAnsi" w:hAnsiTheme="minorHAnsi" w:cstheme="minorHAnsi"/>
          <w:szCs w:val="24"/>
          <w:lang w:eastAsia="en-GB"/>
        </w:rPr>
      </w:pPr>
      <w:r w:rsidRPr="003571CA">
        <w:rPr>
          <w:rFonts w:asciiTheme="minorHAnsi" w:hAnsiTheme="minorHAnsi" w:cstheme="minorHAnsi"/>
          <w:szCs w:val="24"/>
          <w:lang w:eastAsia="en-GB"/>
        </w:rPr>
        <w:t>As reported in the 2016 NIP update</w:t>
      </w:r>
      <w:r w:rsidR="0040517C" w:rsidRPr="003571CA">
        <w:rPr>
          <w:rFonts w:asciiTheme="minorHAnsi" w:hAnsiTheme="minorHAnsi" w:cstheme="minorHAnsi"/>
          <w:szCs w:val="24"/>
          <w:lang w:eastAsia="en-GB"/>
        </w:rPr>
        <w:t>, permits for all sites require the use of BAT and th</w:t>
      </w:r>
      <w:r w:rsidR="003571CA" w:rsidRPr="003571CA">
        <w:rPr>
          <w:rFonts w:asciiTheme="minorHAnsi" w:hAnsiTheme="minorHAnsi" w:cstheme="minorHAnsi"/>
          <w:szCs w:val="24"/>
          <w:lang w:eastAsia="en-GB"/>
        </w:rPr>
        <w:t>ese permits are reviewed when new guidance is introduced.</w:t>
      </w:r>
    </w:p>
    <w:p w14:paraId="4AAC40E2" w14:textId="1E48C0D8" w:rsidR="008B3A27" w:rsidRPr="00A956BA" w:rsidRDefault="008B3A27" w:rsidP="00EB778D">
      <w:pPr>
        <w:pStyle w:val="Heading2"/>
      </w:pPr>
      <w:bookmarkStart w:id="25" w:name="_Toc67030065"/>
      <w:bookmarkEnd w:id="24"/>
      <w:r w:rsidRPr="00A956BA">
        <w:t>PFOA</w:t>
      </w:r>
      <w:bookmarkEnd w:id="25"/>
    </w:p>
    <w:p w14:paraId="2C0C1A78" w14:textId="1E5BFA9A" w:rsidR="00641BEA" w:rsidRDefault="00641BEA" w:rsidP="00641BEA">
      <w:pPr>
        <w:pStyle w:val="Heading3"/>
      </w:pPr>
      <w:r>
        <w:t>Production and use</w:t>
      </w:r>
    </w:p>
    <w:p w14:paraId="2360D259" w14:textId="26274BD1" w:rsidR="007735A0" w:rsidRPr="007735A0" w:rsidRDefault="007735A0" w:rsidP="007735A0">
      <w:r>
        <w:t>P</w:t>
      </w:r>
      <w:r w:rsidRPr="007735A0">
        <w:t xml:space="preserve">erfluorooctanoic acid (PFOA), its salts and PFOA-related compounds </w:t>
      </w:r>
      <w:r>
        <w:t xml:space="preserve">(CAS RN </w:t>
      </w:r>
      <w:r w:rsidRPr="007735A0">
        <w:t>206</w:t>
      </w:r>
      <w:r w:rsidR="007034D3">
        <w:noBreakHyphen/>
      </w:r>
      <w:r w:rsidRPr="007735A0">
        <w:t>397</w:t>
      </w:r>
      <w:r w:rsidR="007034D3">
        <w:noBreakHyphen/>
      </w:r>
      <w:r w:rsidRPr="007735A0">
        <w:t>9</w:t>
      </w:r>
      <w:r>
        <w:t>)</w:t>
      </w:r>
      <w:r w:rsidR="00E5255F">
        <w:t xml:space="preserve"> </w:t>
      </w:r>
      <w:r w:rsidRPr="007735A0">
        <w:t>is a </w:t>
      </w:r>
      <w:proofErr w:type="spellStart"/>
      <w:r w:rsidRPr="007735A0">
        <w:t>perfluorinated</w:t>
      </w:r>
      <w:proofErr w:type="spellEnd"/>
      <w:r w:rsidRPr="007735A0">
        <w:t> carboxylic acid, sometimes referred to as C8 (for example, by firefighters). PFOA, its salts and PFOA-related compounds falls within a family of </w:t>
      </w:r>
      <w:proofErr w:type="spellStart"/>
      <w:r w:rsidRPr="007735A0">
        <w:t>perfluoroalykyl</w:t>
      </w:r>
      <w:proofErr w:type="spellEnd"/>
      <w:r w:rsidRPr="007735A0">
        <w:t> and polyfluoroalkyl substances (together, PFAS), and is resistant to environmental degradation.  </w:t>
      </w:r>
    </w:p>
    <w:p w14:paraId="440E1AF4" w14:textId="740CE0E3" w:rsidR="007735A0" w:rsidRPr="007735A0" w:rsidRDefault="007735A0" w:rsidP="007735A0">
      <w:r w:rsidRPr="007735A0">
        <w:lastRenderedPageBreak/>
        <w:t xml:space="preserve">PFOA its salts and PFOA-related compounds </w:t>
      </w:r>
      <w:r w:rsidR="00F9666A">
        <w:t>we</w:t>
      </w:r>
      <w:r w:rsidRPr="007735A0">
        <w:t>re used widely: </w:t>
      </w:r>
    </w:p>
    <w:p w14:paraId="73E9233A" w14:textId="5CFC78DA" w:rsidR="00D37E16" w:rsidRDefault="00D37E16" w:rsidP="001A5709">
      <w:pPr>
        <w:numPr>
          <w:ilvl w:val="0"/>
          <w:numId w:val="23"/>
        </w:numPr>
      </w:pPr>
      <w:r w:rsidRPr="007735A0">
        <w:t>as processing aids in the production of </w:t>
      </w:r>
      <w:proofErr w:type="spellStart"/>
      <w:r w:rsidRPr="007735A0">
        <w:t>fluoroelastomers</w:t>
      </w:r>
      <w:proofErr w:type="spellEnd"/>
      <w:r w:rsidRPr="007735A0">
        <w:t> and fluoropolymers, with polytetrafluoroethylene (PTFE) being an important fluoropolymer </w:t>
      </w:r>
    </w:p>
    <w:p w14:paraId="6C2CDBE1" w14:textId="2E15079B" w:rsidR="007735A0" w:rsidRPr="007735A0" w:rsidRDefault="00D37E16">
      <w:pPr>
        <w:numPr>
          <w:ilvl w:val="0"/>
          <w:numId w:val="23"/>
        </w:numPr>
      </w:pPr>
      <w:r>
        <w:t>i</w:t>
      </w:r>
      <w:r w:rsidR="007735A0" w:rsidRPr="007735A0">
        <w:t>n the production of non-stick kitchenware and food processing equipment </w:t>
      </w:r>
    </w:p>
    <w:p w14:paraId="0FFC2D65" w14:textId="5CB53D41" w:rsidR="007735A0" w:rsidRPr="007735A0" w:rsidRDefault="00D37E16">
      <w:pPr>
        <w:numPr>
          <w:ilvl w:val="0"/>
          <w:numId w:val="23"/>
        </w:numPr>
      </w:pPr>
      <w:r w:rsidRPr="007735A0">
        <w:t xml:space="preserve">for the manufacture of side-chain fluorinated polymers </w:t>
      </w:r>
      <w:r>
        <w:t>a</w:t>
      </w:r>
      <w:r w:rsidR="007735A0" w:rsidRPr="007735A0">
        <w:t>s surfactants (compounds that lower the surface tension between two liquids) in textiles, paper, paints and fire-fighting foams  </w:t>
      </w:r>
    </w:p>
    <w:p w14:paraId="07B7FE6F" w14:textId="0A211D47" w:rsidR="00D37E16" w:rsidRDefault="007735A0" w:rsidP="00D37E16">
      <w:pPr>
        <w:jc w:val="both"/>
      </w:pPr>
      <w:r w:rsidRPr="007735A0">
        <w:t>PFOA has also been detected in industrial waste, stain resistant carpets, carpet cleaning liquids, house dust, microwave popcorn bags, water, food</w:t>
      </w:r>
      <w:r w:rsidR="00D47C3C">
        <w:t xml:space="preserve"> and</w:t>
      </w:r>
      <w:r w:rsidRPr="007735A0">
        <w:t xml:space="preserve"> Teflon. </w:t>
      </w:r>
    </w:p>
    <w:p w14:paraId="77661C1F" w14:textId="6774DAEC" w:rsidR="007735A0" w:rsidRPr="007735A0" w:rsidRDefault="007735A0" w:rsidP="00D37E16">
      <w:pPr>
        <w:jc w:val="both"/>
      </w:pPr>
      <w:r w:rsidRPr="007735A0">
        <w:t xml:space="preserve">In 2006, </w:t>
      </w:r>
      <w:r w:rsidR="00E25111">
        <w:t>t</w:t>
      </w:r>
      <w:r w:rsidRPr="007735A0">
        <w:t>he main manufacturers in the US, Europe and Japan agreed on a global phase out of PFOA</w:t>
      </w:r>
      <w:r w:rsidR="004A3A89">
        <w:t>,</w:t>
      </w:r>
      <w:r w:rsidRPr="007735A0">
        <w:t xml:space="preserve"> and related long-chain substances</w:t>
      </w:r>
      <w:r w:rsidR="004A3A89">
        <w:t>,</w:t>
      </w:r>
      <w:r w:rsidRPr="007735A0">
        <w:t xml:space="preserve"> by the end of 2015. </w:t>
      </w:r>
      <w:r w:rsidR="00E5255F">
        <w:t xml:space="preserve">In </w:t>
      </w:r>
      <w:r w:rsidR="007B5332">
        <w:t>July</w:t>
      </w:r>
      <w:r w:rsidR="00E5255F" w:rsidDel="00B42A46">
        <w:t xml:space="preserve"> </w:t>
      </w:r>
      <w:r w:rsidR="00B42A46">
        <w:t>2020</w:t>
      </w:r>
      <w:r w:rsidR="00E5255F">
        <w:t xml:space="preserve"> </w:t>
      </w:r>
      <w:r w:rsidR="00E5255F" w:rsidDel="003B3D84">
        <w:t>t</w:t>
      </w:r>
      <w:r w:rsidRPr="007735A0" w:rsidDel="003B3D84">
        <w:t>he</w:t>
      </w:r>
      <w:r w:rsidR="003B3D84" w:rsidRPr="007735A0">
        <w:t xml:space="preserve"> manufacture</w:t>
      </w:r>
      <w:r w:rsidRPr="007735A0">
        <w:t>, placing on the market and use (including import) of PFOA, its salts and PFOA-related compounds as well as articles containing these substances</w:t>
      </w:r>
      <w:r w:rsidR="00B42A46">
        <w:t xml:space="preserve"> were prohibited in the POPs regulation</w:t>
      </w:r>
      <w:r w:rsidRPr="007735A0">
        <w:t xml:space="preserve">. There </w:t>
      </w:r>
      <w:r w:rsidR="00B42A46">
        <w:t>a</w:t>
      </w:r>
      <w:r w:rsidRPr="007735A0">
        <w:t>re exemptions for certain uses.   </w:t>
      </w:r>
    </w:p>
    <w:p w14:paraId="7E74F47F" w14:textId="533CD41B" w:rsidR="007735A0" w:rsidRPr="007735A0" w:rsidRDefault="007735A0" w:rsidP="00D37E16">
      <w:r w:rsidRPr="007735A0">
        <w:t xml:space="preserve">There is very little </w:t>
      </w:r>
      <w:r w:rsidR="00D37E16">
        <w:t xml:space="preserve">current </w:t>
      </w:r>
      <w:r w:rsidRPr="007735A0">
        <w:t xml:space="preserve">direct use of PFOA, but a much larger use in polymers that can contain it as an impurity and derivatives which can transform to it. </w:t>
      </w:r>
      <w:r w:rsidR="004A3A89">
        <w:t>A</w:t>
      </w:r>
      <w:r w:rsidR="007B5332">
        <w:t xml:space="preserve"> report on POPs in waste suggests that by 2012, before the restriction, the EU was only importing 20 tonnes per annum</w:t>
      </w:r>
      <w:r w:rsidR="00112F15">
        <w:t xml:space="preserve"> (Ramboll, 2019)</w:t>
      </w:r>
      <w:r w:rsidR="007B5332">
        <w:t xml:space="preserve">.  </w:t>
      </w:r>
    </w:p>
    <w:p w14:paraId="6F00FFC7" w14:textId="77777777" w:rsidR="00641BEA" w:rsidRDefault="00641BEA" w:rsidP="00641BEA">
      <w:pPr>
        <w:pStyle w:val="Heading3"/>
      </w:pPr>
      <w:r>
        <w:t>Legislation</w:t>
      </w:r>
    </w:p>
    <w:p w14:paraId="54091F4C" w14:textId="47885DB3" w:rsidR="00D37E16" w:rsidRDefault="00D37E16" w:rsidP="00641BEA">
      <w:r>
        <w:t xml:space="preserve">The Stockholm Convention listed PFOA, its salts and PFOA compounds </w:t>
      </w:r>
      <w:r w:rsidR="004A3A89">
        <w:t>i</w:t>
      </w:r>
      <w:r>
        <w:t xml:space="preserve">n Annex A with exemptions. The UK </w:t>
      </w:r>
      <w:r w:rsidR="007B5332">
        <w:t xml:space="preserve">prohibits </w:t>
      </w:r>
      <w:r>
        <w:t xml:space="preserve">the use of this substance with </w:t>
      </w:r>
      <w:proofErr w:type="gramStart"/>
      <w:r w:rsidR="00975F14">
        <w:t>a number of</w:t>
      </w:r>
      <w:proofErr w:type="gramEnd"/>
      <w:r w:rsidR="00975F14">
        <w:t xml:space="preserve"> time limited</w:t>
      </w:r>
      <w:r>
        <w:t xml:space="preserve"> exemptions</w:t>
      </w:r>
      <w:r w:rsidR="00975F14">
        <w:t xml:space="preserve"> that are set out </w:t>
      </w:r>
      <w:r w:rsidR="00975F14" w:rsidRPr="00206C37">
        <w:t xml:space="preserve">in </w:t>
      </w:r>
      <w:r w:rsidR="00402DBF" w:rsidRPr="00206C37">
        <w:t xml:space="preserve">the </w:t>
      </w:r>
      <w:r w:rsidR="007678A9" w:rsidRPr="00206C37">
        <w:t>POP</w:t>
      </w:r>
      <w:r w:rsidR="009F328A">
        <w:t>s</w:t>
      </w:r>
      <w:r w:rsidR="007678A9" w:rsidRPr="00206C37">
        <w:t xml:space="preserve"> legislation </w:t>
      </w:r>
      <w:r w:rsidR="00E242B5" w:rsidRPr="00206C37">
        <w:rPr>
          <w:rStyle w:val="FootnoteReference"/>
        </w:rPr>
        <w:footnoteReference w:id="11"/>
      </w:r>
      <w:r w:rsidR="00975F14" w:rsidRPr="00206C37">
        <w:t>.</w:t>
      </w:r>
      <w:r w:rsidR="00975F14">
        <w:t xml:space="preserve"> </w:t>
      </w:r>
    </w:p>
    <w:p w14:paraId="7A52CC3F" w14:textId="21873667" w:rsidR="00E45ABD" w:rsidRDefault="00E45ABD" w:rsidP="00641BEA">
      <w:r>
        <w:t>This restriction is subject to various unintentional trace contaminant levels below which the restrictions do not apply.</w:t>
      </w:r>
    </w:p>
    <w:p w14:paraId="77C05382" w14:textId="77777777" w:rsidR="00641BEA" w:rsidRDefault="00641BEA" w:rsidP="00641BEA">
      <w:pPr>
        <w:pStyle w:val="Heading3"/>
      </w:pPr>
      <w:r>
        <w:t>Stockpiles, waste and contaminated sites</w:t>
      </w:r>
    </w:p>
    <w:p w14:paraId="75E4A274" w14:textId="557F83BA" w:rsidR="005D60DF" w:rsidRDefault="005D60DF" w:rsidP="00641BEA">
      <w:pPr>
        <w:rPr>
          <w:rFonts w:eastAsia="Open Sans" w:cs="Arial"/>
          <w:spacing w:val="-2"/>
        </w:rPr>
      </w:pPr>
      <w:r>
        <w:t xml:space="preserve">There are </w:t>
      </w:r>
      <w:proofErr w:type="gramStart"/>
      <w:r>
        <w:t>a number of</w:t>
      </w:r>
      <w:proofErr w:type="gramEnd"/>
      <w:r>
        <w:t xml:space="preserve"> waste streams </w:t>
      </w:r>
      <w:r w:rsidR="00200977">
        <w:t xml:space="preserve">that may contain </w:t>
      </w:r>
      <w:r>
        <w:t xml:space="preserve">PFOA. </w:t>
      </w:r>
      <w:r w:rsidR="00DF63D2">
        <w:t xml:space="preserve">Defra funded </w:t>
      </w:r>
      <w:r w:rsidR="00F257A9">
        <w:t xml:space="preserve">a </w:t>
      </w:r>
      <w:r w:rsidR="00DF63D2">
        <w:t xml:space="preserve">report </w:t>
      </w:r>
      <w:r w:rsidR="00F257A9" w:rsidRPr="00F257A9">
        <w:t xml:space="preserve">in April 2019 </w:t>
      </w:r>
      <w:r w:rsidR="00DF63D2">
        <w:t xml:space="preserve">on </w:t>
      </w:r>
      <w:r w:rsidR="00DF63D2" w:rsidRPr="00DF63D2">
        <w:t>phasing out PFOA containing firefighting foams in the UK</w:t>
      </w:r>
      <w:r w:rsidR="003A08C1">
        <w:t xml:space="preserve">. </w:t>
      </w:r>
      <w:r w:rsidR="00994116">
        <w:t>I</w:t>
      </w:r>
      <w:r w:rsidR="003A08C1">
        <w:t xml:space="preserve">t reported that </w:t>
      </w:r>
      <w:r w:rsidR="00DF63D2">
        <w:t xml:space="preserve">stockpiles of fire-fighting foam containing PFOA </w:t>
      </w:r>
      <w:r w:rsidR="00B43CD4">
        <w:t>are</w:t>
      </w:r>
      <w:r w:rsidR="00DF63D2">
        <w:t xml:space="preserve"> declining and likely to be zero by 2034</w:t>
      </w:r>
      <w:r w:rsidR="00584E68">
        <w:t xml:space="preserve"> without the regulation detailed above</w:t>
      </w:r>
      <w:r w:rsidR="00DF63D2">
        <w:t>. It also states that there are</w:t>
      </w:r>
      <w:r w:rsidR="00DF63D2" w:rsidRPr="00DF63D2">
        <w:t xml:space="preserve"> </w:t>
      </w:r>
      <w:r w:rsidR="00DF63D2" w:rsidRPr="172D24D8">
        <w:rPr>
          <w:rFonts w:eastAsia="Open Sans" w:cs="Arial"/>
          <w:spacing w:val="-2"/>
        </w:rPr>
        <w:t xml:space="preserve">suitable alternatives </w:t>
      </w:r>
      <w:r w:rsidR="00DF63D2" w:rsidRPr="172D24D8">
        <w:rPr>
          <w:rFonts w:eastAsia="Open Sans" w:cs="Arial"/>
          <w:spacing w:val="-2"/>
        </w:rPr>
        <w:lastRenderedPageBreak/>
        <w:t xml:space="preserve">available in </w:t>
      </w:r>
      <w:proofErr w:type="gramStart"/>
      <w:r w:rsidR="00DF63D2" w:rsidRPr="172D24D8">
        <w:rPr>
          <w:rFonts w:eastAsia="Open Sans" w:cs="Arial"/>
          <w:spacing w:val="-2"/>
        </w:rPr>
        <w:t>sufficient</w:t>
      </w:r>
      <w:proofErr w:type="gramEnd"/>
      <w:r w:rsidR="00DF63D2" w:rsidRPr="172D24D8">
        <w:rPr>
          <w:rFonts w:eastAsia="Open Sans" w:cs="Arial"/>
          <w:spacing w:val="-2"/>
        </w:rPr>
        <w:t xml:space="preserve"> supply to replace existing stockpiles of PFOA-containing fire-fighting foams</w:t>
      </w:r>
      <w:r w:rsidR="00112F15">
        <w:rPr>
          <w:rFonts w:eastAsia="Open Sans" w:cs="Arial"/>
          <w:spacing w:val="-2"/>
        </w:rPr>
        <w:t xml:space="preserve"> (</w:t>
      </w:r>
      <w:proofErr w:type="spellStart"/>
      <w:r w:rsidR="00112F15">
        <w:rPr>
          <w:rFonts w:eastAsia="Open Sans" w:cs="Arial"/>
          <w:spacing w:val="-2"/>
        </w:rPr>
        <w:t>E</w:t>
      </w:r>
      <w:r w:rsidR="004A7EF3">
        <w:rPr>
          <w:rFonts w:eastAsia="Open Sans" w:cs="Arial"/>
          <w:spacing w:val="-2"/>
        </w:rPr>
        <w:t>f</w:t>
      </w:r>
      <w:r w:rsidR="00112F15">
        <w:rPr>
          <w:rFonts w:eastAsia="Open Sans" w:cs="Arial"/>
          <w:spacing w:val="-2"/>
        </w:rPr>
        <w:t>tec</w:t>
      </w:r>
      <w:proofErr w:type="spellEnd"/>
      <w:r w:rsidR="00112F15">
        <w:rPr>
          <w:rFonts w:eastAsia="Open Sans" w:cs="Arial"/>
          <w:spacing w:val="-2"/>
        </w:rPr>
        <w:t>, 2019. Unpublished)</w:t>
      </w:r>
      <w:r w:rsidR="2D3550CA" w:rsidRPr="172D24D8">
        <w:rPr>
          <w:rFonts w:eastAsia="Open Sans" w:cs="Arial"/>
          <w:spacing w:val="-2"/>
        </w:rPr>
        <w:t>.</w:t>
      </w:r>
      <w:r w:rsidR="008D277B">
        <w:rPr>
          <w:rFonts w:eastAsia="Open Sans" w:cs="Arial"/>
          <w:spacing w:val="-2"/>
        </w:rPr>
        <w:t xml:space="preserve"> </w:t>
      </w:r>
    </w:p>
    <w:p w14:paraId="1CDE0CE9" w14:textId="2F784D33" w:rsidR="005D60DF" w:rsidRDefault="005D60DF" w:rsidP="00641BEA">
      <w:pPr>
        <w:rPr>
          <w:rFonts w:eastAsia="Open Sans" w:cs="Arial"/>
          <w:spacing w:val="-2"/>
        </w:rPr>
      </w:pPr>
      <w:r>
        <w:rPr>
          <w:rFonts w:eastAsia="Open Sans" w:cs="Arial"/>
          <w:spacing w:val="-2"/>
        </w:rPr>
        <w:t xml:space="preserve">Other long-term waste streams include textiles, semi-conductors, medical devices, printing inks, automotive parts and photo-imaging.  </w:t>
      </w:r>
    </w:p>
    <w:p w14:paraId="359CE881" w14:textId="77777777" w:rsidR="00641BEA" w:rsidRDefault="00641BEA" w:rsidP="00641BEA">
      <w:pPr>
        <w:pStyle w:val="Heading3"/>
      </w:pPr>
      <w:r>
        <w:t>Monitoring</w:t>
      </w:r>
    </w:p>
    <w:p w14:paraId="0833B47E" w14:textId="4A11BBFC" w:rsidR="00A04707" w:rsidRPr="0042599D" w:rsidRDefault="00A04707" w:rsidP="00A04707">
      <w:r w:rsidRPr="0042599D">
        <w:t>The EA</w:t>
      </w:r>
      <w:r w:rsidR="00200977">
        <w:t xml:space="preserve"> </w:t>
      </w:r>
      <w:r w:rsidRPr="0042599D">
        <w:t xml:space="preserve">included PFOA in routine surveillance monitoring of surface water (fresh, estuarine and coastal waters) from 2016 to 2019. During this time, approximately 470 freshwater sites and approximately 55 estuarine and coastal locations in England have been sampled monthly for PFOA. Mean measured concentrations of PFOA range </w:t>
      </w:r>
      <w:r w:rsidR="005E2209">
        <w:t xml:space="preserve">from </w:t>
      </w:r>
      <w:r w:rsidRPr="0042599D">
        <w:t>&lt;MRV up to 0.073</w:t>
      </w:r>
      <w:r w:rsidR="00017217">
        <w:t xml:space="preserve"> </w:t>
      </w:r>
      <w:r w:rsidRPr="0042599D">
        <w:t>µg/l in fresh surface waters, and from &lt;MRV to 0.0076 µg/l in estuarine in coastal waters. The maximum reported concentrations of PFOA are 0.17</w:t>
      </w:r>
      <w:r w:rsidR="00017217">
        <w:t> </w:t>
      </w:r>
      <w:r w:rsidRPr="0042599D">
        <w:t xml:space="preserve">µg/l in fresh surface waters, and 0.018 µg/l in estuarine and coastal waters. </w:t>
      </w:r>
    </w:p>
    <w:p w14:paraId="429FF80D" w14:textId="5D58FDF1" w:rsidR="00A04707" w:rsidRPr="00A04707" w:rsidRDefault="00A04707" w:rsidP="00A04707">
      <w:r w:rsidRPr="0042599D">
        <w:t>Prior to routine monitoring, PFOA was measured in groundwater and surface waters as part of a monitoring study in 2006 to investigate the occurrence of PFOS and related compounds in the environment (</w:t>
      </w:r>
      <w:hyperlink r:id="rId21" w:tgtFrame="_blank" w:history="1">
        <w:r w:rsidRPr="00A04707">
          <w:rPr>
            <w:rStyle w:val="Hyperlink"/>
          </w:rPr>
          <w:t>Environment Agency, 2007</w:t>
        </w:r>
      </w:hyperlink>
      <w:r w:rsidRPr="00A04707">
        <w:t>).For PFOA, a range of concentrations were reported from 0.1</w:t>
      </w:r>
      <w:r w:rsidR="00017217">
        <w:t xml:space="preserve"> </w:t>
      </w:r>
      <w:r w:rsidRPr="00A04707">
        <w:t>µg/l up to a maximum of 0.34</w:t>
      </w:r>
      <w:r w:rsidR="00017217">
        <w:t xml:space="preserve"> </w:t>
      </w:r>
      <w:r w:rsidRPr="00A04707">
        <w:t>µg/l.</w:t>
      </w:r>
    </w:p>
    <w:p w14:paraId="0DFBDFFF" w14:textId="1DBAF0DD" w:rsidR="00A04707" w:rsidRPr="00A04707" w:rsidRDefault="00A04707" w:rsidP="00A04707">
      <w:r w:rsidRPr="00A04707">
        <w:t xml:space="preserve">Additional semi-quantitative sampling of PFOA has been conducted across surface water (fresh, estuarine and coastal waters) and groundwater sites as part of emerging substances contaminant monitoring between 2014 and 2019. Concentrations of PFOA reported in this time period range from </w:t>
      </w:r>
      <w:r w:rsidR="0050470F">
        <w:t xml:space="preserve">below </w:t>
      </w:r>
      <w:r w:rsidR="00A83775">
        <w:t>limit of detection</w:t>
      </w:r>
      <w:r w:rsidR="00154EC5">
        <w:t xml:space="preserve"> (&lt;</w:t>
      </w:r>
      <w:proofErr w:type="spellStart"/>
      <w:r w:rsidR="00154EC5">
        <w:t>LoD</w:t>
      </w:r>
      <w:proofErr w:type="spellEnd"/>
      <w:r w:rsidR="00154EC5">
        <w:t>)</w:t>
      </w:r>
      <w:r w:rsidR="00A83775">
        <w:t xml:space="preserve"> </w:t>
      </w:r>
      <w:r w:rsidRPr="00A04707">
        <w:t>in all media, up to a maximum of 0.16 µg/l in fresh surface water, 0.05 µg/l in saline water, and 0.12 µg/l in groundwater. The positivity rate reported for PFOA is 28% of samples in groundwater (1093 samples total), 48% in saline water (277 samples total), and 91% of samples in fresh surface water (2740 samples total).</w:t>
      </w:r>
    </w:p>
    <w:p w14:paraId="12CCE1E0" w14:textId="511F5A05" w:rsidR="00A04707" w:rsidRPr="00A04707" w:rsidRDefault="00154EC5" w:rsidP="00A04707">
      <w:r>
        <w:t xml:space="preserve">The EA also included </w:t>
      </w:r>
      <w:r w:rsidR="00A04707" w:rsidRPr="00A04707">
        <w:t>PFOA in</w:t>
      </w:r>
      <w:r w:rsidR="00A04707" w:rsidRPr="00A04707" w:rsidDel="00154EC5">
        <w:t xml:space="preserve"> </w:t>
      </w:r>
      <w:r w:rsidR="00A04707" w:rsidRPr="00A04707">
        <w:t>fish monitoring at 78 freshwater sites between 2015 and 2019</w:t>
      </w:r>
      <w:r>
        <w:t>,</w:t>
      </w:r>
      <w:r w:rsidR="00A04707" w:rsidRPr="00A04707">
        <w:t xml:space="preserve"> but </w:t>
      </w:r>
      <w:r>
        <w:t>PFOA was</w:t>
      </w:r>
      <w:r w:rsidRPr="00A04707">
        <w:t xml:space="preserve"> </w:t>
      </w:r>
      <w:r w:rsidR="00A04707" w:rsidRPr="00A04707">
        <w:t>not detected above the limit of quantification in any fish sampled. </w:t>
      </w:r>
    </w:p>
    <w:p w14:paraId="5902169B" w14:textId="3ACD497C" w:rsidR="00A04707" w:rsidRPr="00A04707" w:rsidRDefault="00154EC5" w:rsidP="00A04707">
      <w:r>
        <w:t xml:space="preserve">Since 2018, </w:t>
      </w:r>
      <w:r w:rsidR="00A04707" w:rsidRPr="00A04707">
        <w:t xml:space="preserve">PFOA analysis has been included in the EA’s saline fish programme. </w:t>
      </w:r>
      <w:r w:rsidR="00017217">
        <w:t xml:space="preserve">Of the samples, </w:t>
      </w:r>
      <w:r w:rsidR="00A04707" w:rsidRPr="00A04707">
        <w:t xml:space="preserve">98% were less than the MRV (1 </w:t>
      </w:r>
      <w:r w:rsidR="00017217">
        <w:rPr>
          <w:rFonts w:cs="Arial"/>
        </w:rPr>
        <w:t>µ</w:t>
      </w:r>
      <w:r w:rsidR="00A04707" w:rsidRPr="00A04707">
        <w:t>g/kg)</w:t>
      </w:r>
      <w:r>
        <w:t>.</w:t>
      </w:r>
    </w:p>
    <w:p w14:paraId="299C86C1" w14:textId="04274528" w:rsidR="00A04707" w:rsidRPr="00A04707" w:rsidRDefault="00A04707" w:rsidP="00A04707">
      <w:r w:rsidRPr="00A04707">
        <w:t xml:space="preserve">The EA and </w:t>
      </w:r>
      <w:proofErr w:type="spellStart"/>
      <w:r w:rsidR="00154EC5">
        <w:t>Cefas</w:t>
      </w:r>
      <w:proofErr w:type="spellEnd"/>
      <w:r w:rsidR="00154EC5" w:rsidRPr="00A04707">
        <w:t xml:space="preserve"> </w:t>
      </w:r>
      <w:r w:rsidRPr="00A04707">
        <w:t xml:space="preserve">have just completed a sampling project to </w:t>
      </w:r>
      <w:r w:rsidR="00154EC5">
        <w:t>investigate</w:t>
      </w:r>
      <w:r w:rsidRPr="00A04707">
        <w:t xml:space="preserve"> PFAS</w:t>
      </w:r>
      <w:r w:rsidR="00154EC5">
        <w:t>, including PFOA</w:t>
      </w:r>
      <w:r w:rsidRPr="00A04707">
        <w:t xml:space="preserve"> in estuarine sediments from around the English coasts (ca. 100 sediment samples).</w:t>
      </w:r>
      <w:r w:rsidRPr="00A04707" w:rsidDel="00154EC5">
        <w:t xml:space="preserve"> </w:t>
      </w:r>
      <w:r w:rsidRPr="00A04707">
        <w:t xml:space="preserve">Results should be available </w:t>
      </w:r>
      <w:r w:rsidR="00017217">
        <w:t>i</w:t>
      </w:r>
      <w:r w:rsidRPr="00A04707">
        <w:t>n April 2021.</w:t>
      </w:r>
    </w:p>
    <w:p w14:paraId="3C924EBA" w14:textId="194AE59C" w:rsidR="000D0CCE" w:rsidRPr="004F22CE" w:rsidRDefault="000D0CCE" w:rsidP="004F22CE">
      <w:r w:rsidRPr="004F22CE">
        <w:t>In Scotland</w:t>
      </w:r>
      <w:r w:rsidR="00CD2B48">
        <w:t>,</w:t>
      </w:r>
      <w:r w:rsidRPr="004F22CE">
        <w:t xml:space="preserve"> SEPA has run two monitoring investigations that included levels of PFOA in freshwater biota and freshwaters in 2018 and 2019 respectively. Levels found were generally lower than those found in England. SEPA has also monitored PFOA in groundwater for </w:t>
      </w:r>
      <w:proofErr w:type="gramStart"/>
      <w:r w:rsidRPr="004F22CE">
        <w:t>a number of</w:t>
      </w:r>
      <w:proofErr w:type="gramEnd"/>
      <w:r w:rsidRPr="004F22CE">
        <w:t xml:space="preserve"> years, with results generally below the method’s MRV. However</w:t>
      </w:r>
      <w:r w:rsidR="004F22CE">
        <w:t>,</w:t>
      </w:r>
      <w:r w:rsidRPr="004F22CE">
        <w:t xml:space="preserve"> monitoring data are currently not available to report here.</w:t>
      </w:r>
    </w:p>
    <w:p w14:paraId="78DA1870" w14:textId="0641AE04" w:rsidR="008B3A27" w:rsidRDefault="008B3A27" w:rsidP="00EB778D">
      <w:pPr>
        <w:pStyle w:val="Heading2"/>
      </w:pPr>
      <w:bookmarkStart w:id="26" w:name="_Toc67030066"/>
      <w:r>
        <w:lastRenderedPageBreak/>
        <w:t>Dicofol</w:t>
      </w:r>
      <w:bookmarkEnd w:id="26"/>
    </w:p>
    <w:p w14:paraId="0D2CF65B" w14:textId="77777777" w:rsidR="00641BEA" w:rsidRDefault="00641BEA" w:rsidP="00641BEA">
      <w:pPr>
        <w:pStyle w:val="Heading3"/>
      </w:pPr>
      <w:r>
        <w:t>Production and use</w:t>
      </w:r>
    </w:p>
    <w:p w14:paraId="3284E897" w14:textId="7446272B" w:rsidR="215B1ECE" w:rsidRDefault="62063475">
      <w:r w:rsidRPr="033CC0F5">
        <w:rPr>
          <w:rFonts w:cs="Arial"/>
        </w:rPr>
        <w:t xml:space="preserve">Dicofol </w:t>
      </w:r>
      <w:r w:rsidR="00FC12FE">
        <w:rPr>
          <w:rFonts w:cs="Arial"/>
        </w:rPr>
        <w:t xml:space="preserve">(CAS RN 115-32-2) </w:t>
      </w:r>
      <w:r w:rsidRPr="033CC0F5">
        <w:rPr>
          <w:rFonts w:cs="Arial"/>
        </w:rPr>
        <w:t xml:space="preserve">is an organochlorine pesticide used as a plant protection product, miticidal pesticide and acaricide which was widely used on fruits, vegetables, ornamentals and field crops (OSPAR, 2002). It is </w:t>
      </w:r>
      <w:r w:rsidR="00892070">
        <w:rPr>
          <w:rFonts w:cs="Arial"/>
        </w:rPr>
        <w:t>synthesi</w:t>
      </w:r>
      <w:r w:rsidR="00154EC5">
        <w:rPr>
          <w:rFonts w:cs="Arial"/>
        </w:rPr>
        <w:t>s</w:t>
      </w:r>
      <w:r w:rsidR="00892070">
        <w:rPr>
          <w:rFonts w:cs="Arial"/>
        </w:rPr>
        <w:t>ed</w:t>
      </w:r>
      <w:r w:rsidRPr="033CC0F5">
        <w:rPr>
          <w:rFonts w:cs="Arial"/>
        </w:rPr>
        <w:t xml:space="preserve"> from DDT</w:t>
      </w:r>
      <w:r w:rsidR="00892070">
        <w:rPr>
          <w:rFonts w:cs="Arial"/>
        </w:rPr>
        <w:t xml:space="preserve"> and is therefore </w:t>
      </w:r>
      <w:r w:rsidRPr="033CC0F5">
        <w:rPr>
          <w:rFonts w:cs="Arial"/>
        </w:rPr>
        <w:t>structural</w:t>
      </w:r>
      <w:r w:rsidR="00892070">
        <w:rPr>
          <w:rFonts w:cs="Arial"/>
        </w:rPr>
        <w:t>ly</w:t>
      </w:r>
      <w:r w:rsidRPr="033CC0F5">
        <w:rPr>
          <w:rFonts w:cs="Arial"/>
        </w:rPr>
        <w:t xml:space="preserve"> similar</w:t>
      </w:r>
      <w:r w:rsidR="00892070">
        <w:rPr>
          <w:rFonts w:cs="Arial"/>
        </w:rPr>
        <w:t xml:space="preserve"> </w:t>
      </w:r>
      <w:r w:rsidR="004F553B">
        <w:rPr>
          <w:rFonts w:cs="Arial"/>
        </w:rPr>
        <w:t xml:space="preserve">with similar properties </w:t>
      </w:r>
      <w:r w:rsidR="00892070">
        <w:rPr>
          <w:rFonts w:cs="Arial"/>
        </w:rPr>
        <w:t>to</w:t>
      </w:r>
      <w:r w:rsidRPr="033CC0F5">
        <w:rPr>
          <w:rFonts w:cs="Arial"/>
        </w:rPr>
        <w:t xml:space="preserve"> DDT</w:t>
      </w:r>
      <w:r w:rsidR="003430F1">
        <w:rPr>
          <w:rFonts w:cs="Arial"/>
        </w:rPr>
        <w:t>.</w:t>
      </w:r>
      <w:r w:rsidRPr="033CC0F5">
        <w:rPr>
          <w:rFonts w:cs="Arial"/>
        </w:rPr>
        <w:t xml:space="preserve"> DDT </w:t>
      </w:r>
      <w:r w:rsidR="00892070">
        <w:rPr>
          <w:rFonts w:cs="Arial"/>
        </w:rPr>
        <w:t>was</w:t>
      </w:r>
      <w:r w:rsidRPr="033CC0F5">
        <w:rPr>
          <w:rFonts w:cs="Arial"/>
        </w:rPr>
        <w:t xml:space="preserve"> included in the first twelve POPs listed </w:t>
      </w:r>
      <w:r w:rsidR="00892070">
        <w:rPr>
          <w:rFonts w:cs="Arial"/>
        </w:rPr>
        <w:t>i</w:t>
      </w:r>
      <w:r w:rsidRPr="033CC0F5">
        <w:rPr>
          <w:rFonts w:cs="Arial"/>
        </w:rPr>
        <w:t>n the Stockholm Convention</w:t>
      </w:r>
      <w:r w:rsidRPr="033CC0F5">
        <w:rPr>
          <w:rFonts w:cs="Arial"/>
          <w:sz w:val="22"/>
        </w:rPr>
        <w:t>.</w:t>
      </w:r>
    </w:p>
    <w:p w14:paraId="6E274153" w14:textId="174402A5" w:rsidR="6F8F2DC3" w:rsidRPr="005C559A" w:rsidRDefault="6F8F2DC3">
      <w:pPr>
        <w:rPr>
          <w:sz w:val="28"/>
          <w:szCs w:val="24"/>
        </w:rPr>
      </w:pPr>
      <w:r w:rsidRPr="005C559A">
        <w:rPr>
          <w:rFonts w:cs="Arial"/>
          <w:szCs w:val="24"/>
        </w:rPr>
        <w:t>Dicofol was first marketed in 1955, and between 2000 and 2007</w:t>
      </w:r>
      <w:r w:rsidR="00793EC6">
        <w:rPr>
          <w:rFonts w:cs="Arial"/>
          <w:szCs w:val="24"/>
        </w:rPr>
        <w:t>. I</w:t>
      </w:r>
      <w:r w:rsidRPr="005C559A">
        <w:rPr>
          <w:rFonts w:cs="Arial"/>
          <w:szCs w:val="24"/>
        </w:rPr>
        <w:t>ts global production was estimated to have been between 2700 to 5500 tonnes per year (UNEP, 2017).</w:t>
      </w:r>
    </w:p>
    <w:p w14:paraId="447C28E2" w14:textId="6254EC72" w:rsidR="30FFB20A" w:rsidRPr="005C559A" w:rsidRDefault="069E9309">
      <w:pPr>
        <w:rPr>
          <w:sz w:val="28"/>
          <w:szCs w:val="28"/>
        </w:rPr>
      </w:pPr>
      <w:r w:rsidRPr="033CC0F5">
        <w:rPr>
          <w:rFonts w:cs="Arial"/>
        </w:rPr>
        <w:t>P</w:t>
      </w:r>
      <w:r w:rsidR="4E81582C" w:rsidRPr="033CC0F5">
        <w:rPr>
          <w:rFonts w:cs="Arial"/>
        </w:rPr>
        <w:t xml:space="preserve">roduction of dicofol rapidly declined from 2007 as many countries began to phase out its production and use (UNEP, 2017). </w:t>
      </w:r>
      <w:r w:rsidR="1D3B449A" w:rsidRPr="033CC0F5">
        <w:rPr>
          <w:rFonts w:cs="Arial"/>
        </w:rPr>
        <w:t>Use of dicofol in t</w:t>
      </w:r>
      <w:r w:rsidR="4E81582C" w:rsidRPr="033CC0F5">
        <w:rPr>
          <w:rFonts w:cs="Arial"/>
        </w:rPr>
        <w:t>he European Union</w:t>
      </w:r>
      <w:r w:rsidR="6299BCF5" w:rsidRPr="033CC0F5">
        <w:rPr>
          <w:rFonts w:cs="Arial"/>
        </w:rPr>
        <w:t xml:space="preserve"> (EU) came to an end in 2010</w:t>
      </w:r>
      <w:r w:rsidR="4E81582C" w:rsidRPr="033CC0F5">
        <w:rPr>
          <w:rFonts w:cs="Arial"/>
        </w:rPr>
        <w:t xml:space="preserve">. </w:t>
      </w:r>
    </w:p>
    <w:p w14:paraId="0FCE3634" w14:textId="6FDB4389" w:rsidR="30FFB20A" w:rsidRPr="005C559A" w:rsidRDefault="30FFB20A">
      <w:pPr>
        <w:rPr>
          <w:sz w:val="28"/>
          <w:szCs w:val="24"/>
        </w:rPr>
      </w:pPr>
      <w:r w:rsidRPr="005C559A">
        <w:rPr>
          <w:rFonts w:cs="Arial"/>
          <w:szCs w:val="24"/>
        </w:rPr>
        <w:t>As dicofol has not been produced by or used in the UK for many years</w:t>
      </w:r>
      <w:r w:rsidR="004F22CE">
        <w:rPr>
          <w:rFonts w:cs="Arial"/>
          <w:szCs w:val="24"/>
        </w:rPr>
        <w:t xml:space="preserve">, no </w:t>
      </w:r>
      <w:r w:rsidRPr="005C559A">
        <w:rPr>
          <w:rFonts w:cs="Arial"/>
          <w:szCs w:val="24"/>
        </w:rPr>
        <w:t xml:space="preserve">significant additional work </w:t>
      </w:r>
      <w:r w:rsidR="004F22CE">
        <w:rPr>
          <w:rFonts w:cs="Arial"/>
          <w:szCs w:val="24"/>
        </w:rPr>
        <w:t xml:space="preserve">was required </w:t>
      </w:r>
      <w:r w:rsidRPr="005C559A">
        <w:rPr>
          <w:rFonts w:cs="Arial"/>
          <w:szCs w:val="24"/>
        </w:rPr>
        <w:t xml:space="preserve">to </w:t>
      </w:r>
      <w:r w:rsidR="004F22CE">
        <w:rPr>
          <w:rFonts w:cs="Arial"/>
          <w:szCs w:val="24"/>
        </w:rPr>
        <w:t>implement</w:t>
      </w:r>
      <w:r w:rsidRPr="005C559A">
        <w:rPr>
          <w:rFonts w:cs="Arial"/>
          <w:szCs w:val="24"/>
        </w:rPr>
        <w:t xml:space="preserve"> the listing.     </w:t>
      </w:r>
      <w:r w:rsidRPr="005C559A">
        <w:rPr>
          <w:rFonts w:cs="Arial"/>
          <w:sz w:val="28"/>
          <w:szCs w:val="24"/>
        </w:rPr>
        <w:t xml:space="preserve"> </w:t>
      </w:r>
    </w:p>
    <w:p w14:paraId="6F1A0C2F" w14:textId="77777777" w:rsidR="00641BEA" w:rsidRDefault="00641BEA" w:rsidP="00641BEA">
      <w:pPr>
        <w:pStyle w:val="Heading3"/>
      </w:pPr>
      <w:r>
        <w:t>Legislation</w:t>
      </w:r>
    </w:p>
    <w:p w14:paraId="32C64775" w14:textId="4259A36B" w:rsidR="00641BEA" w:rsidRPr="009F1847" w:rsidRDefault="3692FF45" w:rsidP="00641BEA">
      <w:pPr>
        <w:rPr>
          <w:szCs w:val="24"/>
        </w:rPr>
      </w:pPr>
      <w:r w:rsidRPr="009F1847">
        <w:rPr>
          <w:rFonts w:cs="Arial"/>
          <w:szCs w:val="24"/>
        </w:rPr>
        <w:t>At COP</w:t>
      </w:r>
      <w:r w:rsidR="00200977">
        <w:rPr>
          <w:rFonts w:cs="Arial"/>
          <w:szCs w:val="24"/>
        </w:rPr>
        <w:t xml:space="preserve"> </w:t>
      </w:r>
      <w:r w:rsidRPr="009F1847">
        <w:rPr>
          <w:rFonts w:cs="Arial"/>
          <w:szCs w:val="24"/>
        </w:rPr>
        <w:t xml:space="preserve">9 in 2019 it was agreed that dicofol should be listed on Annex A of the Stockholm Convention, and there were no exemptions required. </w:t>
      </w:r>
      <w:r w:rsidR="3CD0B184" w:rsidRPr="009F1847">
        <w:rPr>
          <w:szCs w:val="24"/>
        </w:rPr>
        <w:t>The UK</w:t>
      </w:r>
      <w:r w:rsidR="00F650DC">
        <w:rPr>
          <w:szCs w:val="24"/>
        </w:rPr>
        <w:t xml:space="preserve"> </w:t>
      </w:r>
      <w:r w:rsidR="00A40458">
        <w:rPr>
          <w:szCs w:val="24"/>
        </w:rPr>
        <w:t>has therefore</w:t>
      </w:r>
      <w:r w:rsidR="3CD0B184" w:rsidRPr="009F1847">
        <w:rPr>
          <w:szCs w:val="24"/>
        </w:rPr>
        <w:t xml:space="preserve">, through the </w:t>
      </w:r>
      <w:r w:rsidR="007678A9">
        <w:rPr>
          <w:szCs w:val="24"/>
        </w:rPr>
        <w:t>POP</w:t>
      </w:r>
      <w:r w:rsidR="00C44264">
        <w:rPr>
          <w:szCs w:val="24"/>
        </w:rPr>
        <w:t>s</w:t>
      </w:r>
      <w:r w:rsidR="007678A9">
        <w:rPr>
          <w:szCs w:val="24"/>
        </w:rPr>
        <w:t xml:space="preserve"> </w:t>
      </w:r>
      <w:r w:rsidR="00402DBF">
        <w:rPr>
          <w:szCs w:val="24"/>
        </w:rPr>
        <w:t>legislation</w:t>
      </w:r>
      <w:r w:rsidR="00E242B5">
        <w:rPr>
          <w:rStyle w:val="FootnoteReference"/>
          <w:szCs w:val="24"/>
        </w:rPr>
        <w:footnoteReference w:id="12"/>
      </w:r>
      <w:r w:rsidR="3523E213" w:rsidRPr="009F1847">
        <w:rPr>
          <w:szCs w:val="24"/>
        </w:rPr>
        <w:t>, ban</w:t>
      </w:r>
      <w:r w:rsidR="00A40458">
        <w:rPr>
          <w:szCs w:val="24"/>
        </w:rPr>
        <w:t>ned</w:t>
      </w:r>
      <w:r w:rsidR="3523E213" w:rsidRPr="009F1847">
        <w:rPr>
          <w:szCs w:val="24"/>
        </w:rPr>
        <w:t xml:space="preserve"> the use of dicofol, with no exemptions.</w:t>
      </w:r>
      <w:r w:rsidR="3CD0B184" w:rsidRPr="009F1847">
        <w:rPr>
          <w:rFonts w:cs="Arial"/>
          <w:szCs w:val="24"/>
        </w:rPr>
        <w:t xml:space="preserve"> </w:t>
      </w:r>
    </w:p>
    <w:p w14:paraId="50EA133C" w14:textId="77777777" w:rsidR="00641BEA" w:rsidRDefault="00641BEA" w:rsidP="00641BEA">
      <w:pPr>
        <w:pStyle w:val="Heading3"/>
      </w:pPr>
      <w:r>
        <w:t>Stockpiles, waste and contaminated sites</w:t>
      </w:r>
    </w:p>
    <w:p w14:paraId="252BF956" w14:textId="3B006A74" w:rsidR="510F0CD6" w:rsidRDefault="0023200F" w:rsidP="172D24D8">
      <w:r>
        <w:t xml:space="preserve">As </w:t>
      </w:r>
      <w:r w:rsidR="00351A31">
        <w:t>the production and use of dicofol ended some years ago, there is no ongoing waste production and no</w:t>
      </w:r>
      <w:r>
        <w:t xml:space="preserve"> waste disposal</w:t>
      </w:r>
      <w:r w:rsidR="00351A31">
        <w:t xml:space="preserve"> actions are</w:t>
      </w:r>
      <w:r>
        <w:t xml:space="preserve"> required. </w:t>
      </w:r>
      <w:r w:rsidR="004F22CE">
        <w:t>There are no known stockpiles in the UK.</w:t>
      </w:r>
    </w:p>
    <w:p w14:paraId="014BD48B" w14:textId="4BF1D678" w:rsidR="00641BEA" w:rsidRDefault="00112F15" w:rsidP="00112F15">
      <w:pPr>
        <w:pStyle w:val="Heading3"/>
      </w:pPr>
      <w:r w:rsidRPr="00112F15">
        <w:t>Monitoring</w:t>
      </w:r>
    </w:p>
    <w:p w14:paraId="5368E9F6" w14:textId="01C3F196" w:rsidR="00A04707" w:rsidRPr="00ED2DAC" w:rsidRDefault="00A04707" w:rsidP="00A04707">
      <w:r w:rsidRPr="00ED2DAC">
        <w:t xml:space="preserve">The EA currently does not routinely monitor for </w:t>
      </w:r>
      <w:r w:rsidR="00351A31">
        <w:t>d</w:t>
      </w:r>
      <w:r w:rsidRPr="00ED2DAC">
        <w:t xml:space="preserve">icofol </w:t>
      </w:r>
      <w:r w:rsidR="00351A31">
        <w:t xml:space="preserve">in England </w:t>
      </w:r>
      <w:r w:rsidRPr="00ED2DAC">
        <w:t xml:space="preserve">as </w:t>
      </w:r>
      <w:r w:rsidR="00200977">
        <w:t>it does</w:t>
      </w:r>
      <w:r w:rsidRPr="00ED2DAC">
        <w:t xml:space="preserve"> not have an analytical method capable of accurately quantifying the amount of </w:t>
      </w:r>
      <w:r w:rsidR="00351A31">
        <w:t>d</w:t>
      </w:r>
      <w:r w:rsidRPr="00ED2DAC">
        <w:t xml:space="preserve">icofol present in either biota or water column. This is because Dicofol is hydrolytically unstable in water at neutral and alkaline </w:t>
      </w:r>
      <w:proofErr w:type="spellStart"/>
      <w:r w:rsidRPr="00ED2DAC">
        <w:t>pH</w:t>
      </w:r>
      <w:r w:rsidRPr="00ED2DAC" w:rsidDel="00590750">
        <w:t>.</w:t>
      </w:r>
      <w:proofErr w:type="spellEnd"/>
    </w:p>
    <w:p w14:paraId="7AE46E09" w14:textId="73C2B752" w:rsidR="00A04707" w:rsidRPr="00ED2DAC" w:rsidRDefault="00A04707" w:rsidP="00A04707">
      <w:r w:rsidRPr="00ED2DAC">
        <w:lastRenderedPageBreak/>
        <w:t xml:space="preserve">All </w:t>
      </w:r>
      <w:r w:rsidR="00351A31">
        <w:t>d</w:t>
      </w:r>
      <w:r w:rsidRPr="00ED2DAC">
        <w:t>icofol in biota and water samples results</w:t>
      </w:r>
      <w:r w:rsidR="00590750">
        <w:t>,</w:t>
      </w:r>
      <w:r w:rsidRPr="00ED2DAC">
        <w:t xml:space="preserve"> previously reported by the EA</w:t>
      </w:r>
      <w:r w:rsidR="00590750">
        <w:t>,</w:t>
      </w:r>
      <w:r w:rsidRPr="00ED2DAC">
        <w:t xml:space="preserve"> have retrospectively been found to be the breakdown product, </w:t>
      </w:r>
      <w:proofErr w:type="spellStart"/>
      <w:r w:rsidRPr="00ED2DAC">
        <w:t>dichlorobenzophenone</w:t>
      </w:r>
      <w:proofErr w:type="spellEnd"/>
      <w:r w:rsidRPr="00ED2DAC">
        <w:t xml:space="preserve"> (DCBP). The</w:t>
      </w:r>
      <w:r w:rsidR="00200977">
        <w:t xml:space="preserve"> Environment Agency</w:t>
      </w:r>
      <w:r w:rsidRPr="00ED2DAC">
        <w:t xml:space="preserve"> currently monitor</w:t>
      </w:r>
      <w:r w:rsidR="00200977">
        <w:t>s</w:t>
      </w:r>
      <w:r w:rsidRPr="00ED2DAC">
        <w:t xml:space="preserve"> for DCBP in the water column only. As more than one substance breaks down to DCBP this allows them only to infer the potential presence or absence of </w:t>
      </w:r>
      <w:r w:rsidR="00351A31">
        <w:t>d</w:t>
      </w:r>
      <w:r w:rsidRPr="00ED2DAC">
        <w:t>icofol.</w:t>
      </w:r>
    </w:p>
    <w:p w14:paraId="285E5026" w14:textId="2FDEA07D" w:rsidR="00A04707" w:rsidRPr="00ED2DAC" w:rsidRDefault="00A04707" w:rsidP="00A04707">
      <w:r w:rsidRPr="00ED2DAC">
        <w:t>A review of EA monitoring data for dicofol/DCBP collected to date indicates that:</w:t>
      </w:r>
    </w:p>
    <w:p w14:paraId="45358577" w14:textId="03DF1106" w:rsidR="00A04707" w:rsidRPr="00ED2DAC" w:rsidRDefault="00A04707" w:rsidP="001A5709">
      <w:pPr>
        <w:numPr>
          <w:ilvl w:val="0"/>
          <w:numId w:val="51"/>
        </w:numPr>
        <w:rPr>
          <w:iCs/>
        </w:rPr>
      </w:pPr>
      <w:r w:rsidRPr="00ED2DAC">
        <w:t>t</w:t>
      </w:r>
      <w:r w:rsidRPr="00ED2DAC">
        <w:rPr>
          <w:iCs/>
        </w:rPr>
        <w:t>here is very little detection of DCBP in freshwaters/freshwater biota (low concentrations in &lt;1% of freshwater sites)</w:t>
      </w:r>
      <w:r w:rsidR="00C44264">
        <w:rPr>
          <w:iCs/>
        </w:rPr>
        <w:t>,</w:t>
      </w:r>
    </w:p>
    <w:p w14:paraId="314E00E5" w14:textId="1F9CBBCB" w:rsidR="00A04707" w:rsidRPr="00ED2DAC" w:rsidRDefault="00C44264">
      <w:pPr>
        <w:numPr>
          <w:ilvl w:val="0"/>
          <w:numId w:val="50"/>
        </w:numPr>
      </w:pPr>
      <w:r>
        <w:rPr>
          <w:iCs/>
        </w:rPr>
        <w:t>e</w:t>
      </w:r>
      <w:r w:rsidR="00A04707" w:rsidRPr="00ED2DAC">
        <w:rPr>
          <w:iCs/>
        </w:rPr>
        <w:t xml:space="preserve">levated concentrations of DCBP have been recorded in </w:t>
      </w:r>
      <w:proofErr w:type="gramStart"/>
      <w:r w:rsidR="00A04707" w:rsidRPr="00ED2DAC">
        <w:rPr>
          <w:iCs/>
        </w:rPr>
        <w:t>a number of</w:t>
      </w:r>
      <w:proofErr w:type="gramEnd"/>
      <w:r w:rsidR="00A04707" w:rsidRPr="00ED2DAC">
        <w:rPr>
          <w:iCs/>
        </w:rPr>
        <w:t xml:space="preserve"> locations in coastal and estuarine water column samples, and also in</w:t>
      </w:r>
      <w:r>
        <w:rPr>
          <w:iCs/>
        </w:rPr>
        <w:t xml:space="preserve"> mussels</w:t>
      </w:r>
      <w:r w:rsidR="00A04707" w:rsidRPr="00ED2DAC">
        <w:rPr>
          <w:iCs/>
        </w:rPr>
        <w:t xml:space="preserve"> </w:t>
      </w:r>
      <w:r>
        <w:rPr>
          <w:iCs/>
        </w:rPr>
        <w:t>(</w:t>
      </w:r>
      <w:r w:rsidR="00A04707" w:rsidRPr="00ED2DAC">
        <w:rPr>
          <w:i/>
          <w:iCs/>
        </w:rPr>
        <w:t>Mytilus</w:t>
      </w:r>
      <w:r>
        <w:t>)</w:t>
      </w:r>
      <w:r w:rsidR="00A04707" w:rsidRPr="00ED2DAC">
        <w:rPr>
          <w:iCs/>
        </w:rPr>
        <w:t xml:space="preserve"> sampled from the </w:t>
      </w:r>
      <w:r w:rsidR="00200977">
        <w:rPr>
          <w:iCs/>
        </w:rPr>
        <w:t xml:space="preserve">River </w:t>
      </w:r>
      <w:r w:rsidR="00A04707" w:rsidRPr="00ED2DAC">
        <w:rPr>
          <w:iCs/>
        </w:rPr>
        <w:t>Tees in 2015</w:t>
      </w:r>
      <w:r w:rsidR="00354F5F">
        <w:rPr>
          <w:iCs/>
        </w:rPr>
        <w:t>.</w:t>
      </w:r>
      <w:r w:rsidR="00A04707" w:rsidRPr="00ED2DAC">
        <w:rPr>
          <w:iCs/>
        </w:rPr>
        <w:t xml:space="preserve"> </w:t>
      </w:r>
    </w:p>
    <w:p w14:paraId="60B8CE34" w14:textId="77777777" w:rsidR="00351A31" w:rsidRDefault="00351A31">
      <w:pPr>
        <w:spacing w:before="0" w:after="0" w:line="240" w:lineRule="auto"/>
        <w:rPr>
          <w:rFonts w:eastAsia="Times New Roman"/>
          <w:b/>
          <w:bCs/>
          <w:color w:val="008938"/>
          <w:sz w:val="44"/>
          <w:szCs w:val="28"/>
        </w:rPr>
      </w:pPr>
      <w:r>
        <w:br w:type="page"/>
      </w:r>
    </w:p>
    <w:p w14:paraId="3DB9868D" w14:textId="07A504E1" w:rsidR="008B3A27" w:rsidRDefault="008B3A27" w:rsidP="008B3A27">
      <w:pPr>
        <w:pStyle w:val="Heading1"/>
      </w:pPr>
      <w:bookmarkStart w:id="27" w:name="_Toc67030067"/>
      <w:r>
        <w:lastRenderedPageBreak/>
        <w:t>Strategies and action plans</w:t>
      </w:r>
      <w:bookmarkEnd w:id="27"/>
    </w:p>
    <w:p w14:paraId="0D496FC9" w14:textId="16F428AB" w:rsidR="007717E0" w:rsidRDefault="007717E0" w:rsidP="00EB778D">
      <w:pPr>
        <w:pStyle w:val="Heading2"/>
      </w:pPr>
      <w:bookmarkStart w:id="28" w:name="_Toc67030068"/>
      <w:r>
        <w:t xml:space="preserve">Overarching </w:t>
      </w:r>
      <w:r w:rsidR="001948FE">
        <w:t>environmental policies</w:t>
      </w:r>
      <w:bookmarkEnd w:id="28"/>
      <w:r w:rsidR="001948FE">
        <w:t xml:space="preserve"> </w:t>
      </w:r>
    </w:p>
    <w:p w14:paraId="17966AEB" w14:textId="7502A664" w:rsidR="00C277C3" w:rsidRDefault="00C277C3" w:rsidP="00C277C3">
      <w:pPr>
        <w:pStyle w:val="Heading3"/>
      </w:pPr>
      <w:r>
        <w:t>Environment Plan</w:t>
      </w:r>
      <w:r w:rsidR="00A4337F">
        <w:t>s</w:t>
      </w:r>
    </w:p>
    <w:p w14:paraId="4DA6BD11" w14:textId="700C94A2" w:rsidR="00E832B2" w:rsidRPr="00E832B2" w:rsidRDefault="00C44264" w:rsidP="00E832B2">
      <w:r>
        <w:t>In 2018, Defra published a</w:t>
      </w:r>
      <w:r w:rsidR="00E832B2" w:rsidRPr="00E832B2">
        <w:t xml:space="preserve"> 25 </w:t>
      </w:r>
      <w:r w:rsidR="00167815">
        <w:t>Y</w:t>
      </w:r>
      <w:r w:rsidR="00E832B2" w:rsidRPr="00E832B2">
        <w:t xml:space="preserve">ear Environment plan for England with the aim of creating a greener, healthier, more sustainable future for the next generation. This included </w:t>
      </w:r>
      <w:r w:rsidR="00112F15">
        <w:t xml:space="preserve">a focus on </w:t>
      </w:r>
      <w:r w:rsidR="00E832B2" w:rsidRPr="00E832B2">
        <w:t xml:space="preserve">managing exposure to </w:t>
      </w:r>
      <w:r w:rsidR="005F6FE2">
        <w:t xml:space="preserve">harmful </w:t>
      </w:r>
      <w:r w:rsidR="00E832B2" w:rsidRPr="00E832B2">
        <w:t>chemicals and set out three targets related to POP</w:t>
      </w:r>
      <w:r w:rsidR="00167815">
        <w:t>s</w:t>
      </w:r>
      <w:r w:rsidR="00E832B2" w:rsidRPr="00E832B2">
        <w:t xml:space="preserve"> and the Stockholm Convention:</w:t>
      </w:r>
    </w:p>
    <w:p w14:paraId="10B022A6" w14:textId="77777777" w:rsidR="00E832B2" w:rsidRPr="00E832B2" w:rsidRDefault="00E832B2" w:rsidP="001A5709">
      <w:pPr>
        <w:numPr>
          <w:ilvl w:val="0"/>
          <w:numId w:val="16"/>
        </w:numPr>
      </w:pPr>
      <w:r w:rsidRPr="00E832B2">
        <w:t xml:space="preserve">Seeking </w:t>
      </w:r>
      <w:proofErr w:type="gramStart"/>
      <w:r w:rsidRPr="00E832B2">
        <w:t>in particular to</w:t>
      </w:r>
      <w:proofErr w:type="gramEnd"/>
      <w:r w:rsidRPr="00E832B2">
        <w:t xml:space="preserve"> eliminate the use of Polychlorinated Biphenyls (PCBs) by 2025, in line with our commitments under the Stockholm Convention. </w:t>
      </w:r>
    </w:p>
    <w:p w14:paraId="502DFC3E" w14:textId="77777777" w:rsidR="00E832B2" w:rsidRPr="00E832B2" w:rsidRDefault="00E832B2">
      <w:pPr>
        <w:numPr>
          <w:ilvl w:val="0"/>
          <w:numId w:val="16"/>
        </w:numPr>
      </w:pPr>
      <w:r w:rsidRPr="00E832B2">
        <w:t xml:space="preserve">Substantially increasing the amount of Persistent Organic Pollutants (POPs) material being destroyed or irreversibly transformed by 2030, to make sure there are negligible emissions to the environment. </w:t>
      </w:r>
    </w:p>
    <w:p w14:paraId="0F32AA5F" w14:textId="374A9D3D" w:rsidR="00E832B2" w:rsidRPr="00E832B2" w:rsidRDefault="00E832B2">
      <w:pPr>
        <w:numPr>
          <w:ilvl w:val="0"/>
          <w:numId w:val="16"/>
        </w:numPr>
      </w:pPr>
      <w:r w:rsidRPr="00E832B2">
        <w:t>Fulfilling our commitments under the Stockholm Convention as outlined in the UK’s most recent National Implementation Plan</w:t>
      </w:r>
      <w:r w:rsidR="00351A31">
        <w:t>.</w:t>
      </w:r>
    </w:p>
    <w:p w14:paraId="25BEBBCE" w14:textId="75EDE240" w:rsidR="00E832B2" w:rsidRPr="00E832B2" w:rsidRDefault="00E832B2" w:rsidP="00E832B2">
      <w:r w:rsidRPr="00E832B2">
        <w:t xml:space="preserve">We report annually against our 25 </w:t>
      </w:r>
      <w:r w:rsidR="00167815">
        <w:t>Y</w:t>
      </w:r>
      <w:r w:rsidRPr="00E832B2">
        <w:t xml:space="preserve">ear </w:t>
      </w:r>
      <w:r w:rsidR="00167815">
        <w:t>E</w:t>
      </w:r>
      <w:r w:rsidRPr="00E832B2">
        <w:t xml:space="preserve">nvironment </w:t>
      </w:r>
      <w:r w:rsidR="00167815">
        <w:t>P</w:t>
      </w:r>
      <w:r w:rsidRPr="00E832B2">
        <w:t xml:space="preserve">lan targets. Links to these reports </w:t>
      </w:r>
      <w:r w:rsidR="00074BBA">
        <w:t>can be found</w:t>
      </w:r>
      <w:r w:rsidRPr="00E832B2">
        <w:t xml:space="preserve"> at</w:t>
      </w:r>
      <w:r w:rsidR="00532F51">
        <w:t xml:space="preserve">: </w:t>
      </w:r>
      <w:hyperlink r:id="rId22" w:history="1">
        <w:r w:rsidR="00532F51" w:rsidRPr="00AD5E7F">
          <w:rPr>
            <w:rStyle w:val="Hyperlink"/>
          </w:rPr>
          <w:t>https://www.gov.uk/government/publications/25-year-environment-plan</w:t>
        </w:r>
      </w:hyperlink>
      <w:r w:rsidR="00532F51">
        <w:t xml:space="preserve"> </w:t>
      </w:r>
      <w:r w:rsidRPr="00E832B2">
        <w:t xml:space="preserve">  </w:t>
      </w:r>
    </w:p>
    <w:p w14:paraId="213797A4" w14:textId="6DCA814E" w:rsidR="00E832B2" w:rsidRDefault="00E832B2" w:rsidP="00E832B2">
      <w:r w:rsidRPr="00E832B2">
        <w:t>In addition</w:t>
      </w:r>
      <w:r w:rsidR="53CC8834">
        <w:t>,</w:t>
      </w:r>
      <w:r w:rsidRPr="00E832B2">
        <w:t xml:space="preserve"> two other strategies support our objectives to eliminate the use and emissions from POPs. The Clean Air Strategy 2019 sets out our plans for dealing with all sources of air pollution, making our air healthier to breath</w:t>
      </w:r>
      <w:r w:rsidR="004F3CD8">
        <w:t>e</w:t>
      </w:r>
      <w:r w:rsidRPr="00E832B2">
        <w:t xml:space="preserve">, protecting nature and boosting the </w:t>
      </w:r>
      <w:r w:rsidRPr="008C3BD3">
        <w:t>economy</w:t>
      </w:r>
      <w:r w:rsidR="00465FCD" w:rsidRPr="008C3BD3">
        <w:t xml:space="preserve"> (Defra, 2019)</w:t>
      </w:r>
      <w:r w:rsidRPr="008C3BD3">
        <w:t>. Th</w:t>
      </w:r>
      <w:r w:rsidRPr="00E832B2">
        <w:t>e Resources and Waste Strategy 2018 seeks a more circular economy</w:t>
      </w:r>
      <w:r w:rsidR="001559A5">
        <w:t>,</w:t>
      </w:r>
      <w:r w:rsidRPr="00E832B2">
        <w:t xml:space="preserve"> using resources efficiently and reducing the amount of waste we create as a </w:t>
      </w:r>
      <w:r w:rsidRPr="008C3BD3">
        <w:t>society</w:t>
      </w:r>
      <w:r w:rsidR="00465FCD" w:rsidRPr="008C3BD3">
        <w:t xml:space="preserve"> (Defra, 2018)</w:t>
      </w:r>
      <w:r w:rsidRPr="008C3BD3">
        <w:t>.</w:t>
      </w:r>
      <w:r w:rsidRPr="00E832B2">
        <w:t xml:space="preserve"> </w:t>
      </w:r>
    </w:p>
    <w:p w14:paraId="55FF5CD9" w14:textId="2DAEEF7B" w:rsidR="0093611D" w:rsidRPr="0093611D" w:rsidRDefault="00D01263" w:rsidP="0093611D">
      <w:r w:rsidRPr="00D01263">
        <w:t xml:space="preserve">The Welsh Government published </w:t>
      </w:r>
      <w:proofErr w:type="gramStart"/>
      <w:r w:rsidR="003F0B9F">
        <w:t>it</w:t>
      </w:r>
      <w:r w:rsidR="00884F95">
        <w:t>’</w:t>
      </w:r>
      <w:r w:rsidR="003F0B9F">
        <w:t>s</w:t>
      </w:r>
      <w:proofErr w:type="gramEnd"/>
      <w:r w:rsidRPr="00D01263">
        <w:t xml:space="preserve"> Natural Resources Policy</w:t>
      </w:r>
      <w:r w:rsidR="005064F0">
        <w:t xml:space="preserve"> in 2018</w:t>
      </w:r>
      <w:r w:rsidR="000C4E70">
        <w:t>;</w:t>
      </w:r>
      <w:r w:rsidRPr="00D01263">
        <w:t xml:space="preserve"> one of the aims of which is to move towards a more circular economy and accelerating green growth to increase efficiency, reduce pollution and increase profitability</w:t>
      </w:r>
      <w:r w:rsidR="002D2354">
        <w:t xml:space="preserve">. </w:t>
      </w:r>
      <w:r w:rsidR="0093611D" w:rsidRPr="0093611D">
        <w:t xml:space="preserve">It adopted a Clean Air Plan for Wales in 2020, which includes </w:t>
      </w:r>
      <w:proofErr w:type="gramStart"/>
      <w:r w:rsidR="0093611D" w:rsidRPr="0093611D">
        <w:t>a number of</w:t>
      </w:r>
      <w:proofErr w:type="gramEnd"/>
      <w:r w:rsidR="0093611D" w:rsidRPr="0093611D">
        <w:t xml:space="preserve"> commitments relating to indoor as well as outdoor air pollution, domestic burning and bonfires. It will publish a circular economy strategy in March 2021 which will build on the current plan, Towards Zero Waste, and set out actions on a pathway towards a zero waste, net zero carbon Wales</w:t>
      </w:r>
      <w:r w:rsidR="0099476C">
        <w:t>,</w:t>
      </w:r>
      <w:r w:rsidR="0093611D" w:rsidRPr="0093611D">
        <w:t xml:space="preserve"> which uses its fair share of resources and grows the circular economy.</w:t>
      </w:r>
    </w:p>
    <w:p w14:paraId="1674DA61" w14:textId="2B26196D" w:rsidR="00127598" w:rsidRPr="00127598" w:rsidRDefault="00127598" w:rsidP="00127598">
      <w:r w:rsidRPr="00127598">
        <w:t xml:space="preserve">The Scottish Government’s Environment Strategy sets out a long-term </w:t>
      </w:r>
      <w:hyperlink r:id="rId23" w:history="1">
        <w:r w:rsidRPr="00127598">
          <w:rPr>
            <w:color w:val="1D70B8"/>
            <w:u w:val="single"/>
          </w:rPr>
          <w:t>vision</w:t>
        </w:r>
      </w:hyperlink>
      <w:r w:rsidRPr="00127598">
        <w:t xml:space="preserve"> </w:t>
      </w:r>
      <w:r w:rsidRPr="00127598">
        <w:rPr>
          <w:rFonts w:cs="Arial"/>
          <w:szCs w:val="24"/>
        </w:rPr>
        <w:t>for Scotland’s natural environment and its role in tackling the global climate and nature crises, with a set of supporting outcomes. Pathways for</w:t>
      </w:r>
      <w:r w:rsidRPr="00127598">
        <w:t xml:space="preserve"> achieving the outcomes will be developed during 2021, identifying strategic priorities and opportunities across government. These will explore the transformative economic and social changes needed to achieve the </w:t>
      </w:r>
      <w:r w:rsidRPr="00127598">
        <w:lastRenderedPageBreak/>
        <w:t xml:space="preserve">Strategy’s vision – in turn, helping to improve health and wellbeing and build a stronger, fairer and greener economy. </w:t>
      </w:r>
      <w:r w:rsidRPr="00127598">
        <w:rPr>
          <w:rFonts w:cs="Arial"/>
          <w:kern w:val="24"/>
          <w:szCs w:val="24"/>
        </w:rPr>
        <w:t xml:space="preserve">An </w:t>
      </w:r>
      <w:hyperlink r:id="rId24" w:history="1">
        <w:r w:rsidRPr="00127598">
          <w:rPr>
            <w:rFonts w:cs="Arial"/>
            <w:color w:val="1D70B8"/>
            <w:kern w:val="24"/>
            <w:szCs w:val="24"/>
            <w:u w:val="single"/>
          </w:rPr>
          <w:t>Initial Monitoring Framework</w:t>
        </w:r>
      </w:hyperlink>
      <w:r w:rsidRPr="00127598">
        <w:rPr>
          <w:rFonts w:cs="Arial"/>
          <w:kern w:val="24"/>
          <w:szCs w:val="24"/>
        </w:rPr>
        <w:t xml:space="preserve">, published in February 2021, </w:t>
      </w:r>
      <w:r w:rsidRPr="00127598">
        <w:t xml:space="preserve">sets out a high-level dashboard of indicators to track progress.  </w:t>
      </w:r>
    </w:p>
    <w:p w14:paraId="6C42FCD4" w14:textId="17FCD2C8" w:rsidR="00E91FC9" w:rsidRPr="00E91FC9" w:rsidRDefault="005114DC" w:rsidP="00E91FC9">
      <w:r>
        <w:t>In 2019 t</w:t>
      </w:r>
      <w:r w:rsidR="00E91FC9" w:rsidRPr="00E91FC9">
        <w:t>he Scottish Government</w:t>
      </w:r>
      <w:r w:rsidR="008A7F6A">
        <w:t xml:space="preserve"> </w:t>
      </w:r>
      <w:r w:rsidR="001B189E">
        <w:t>completed an</w:t>
      </w:r>
      <w:r w:rsidR="00E91FC9" w:rsidRPr="00E91FC9">
        <w:t xml:space="preserve"> independent review of </w:t>
      </w:r>
      <w:r w:rsidR="001B189E">
        <w:t xml:space="preserve">its 2015 Clean </w:t>
      </w:r>
      <w:r w:rsidR="00FA76EB">
        <w:t>A</w:t>
      </w:r>
      <w:r w:rsidR="001B189E">
        <w:t>ir</w:t>
      </w:r>
      <w:r w:rsidR="00E91FC9" w:rsidRPr="00E91FC9">
        <w:t xml:space="preserve"> </w:t>
      </w:r>
      <w:r w:rsidR="00FA76EB">
        <w:t>S</w:t>
      </w:r>
      <w:r w:rsidR="00E91FC9" w:rsidRPr="00E91FC9">
        <w:t xml:space="preserve">trategy, which assessed progress to date and made recommendations for additional action.  A consultation on a draft new strategy, </w:t>
      </w:r>
      <w:proofErr w:type="gramStart"/>
      <w:r w:rsidR="00E91FC9" w:rsidRPr="00E91FC9">
        <w:t>taking into account</w:t>
      </w:r>
      <w:proofErr w:type="gramEnd"/>
      <w:r w:rsidR="00E91FC9" w:rsidRPr="00E91FC9">
        <w:t xml:space="preserve"> those recommendations, was completed in January 2021.  The final strategy will be published later in 2021 and will include actions relating to domestic fuel burning.</w:t>
      </w:r>
    </w:p>
    <w:p w14:paraId="16ED3218" w14:textId="5860383E" w:rsidR="00E91FC9" w:rsidRPr="00E91FC9" w:rsidRDefault="001706BA" w:rsidP="008C5246">
      <w:r>
        <w:t xml:space="preserve">Northern Ireland </w:t>
      </w:r>
      <w:r w:rsidR="00E91FC9" w:rsidRPr="00E91FC9">
        <w:t xml:space="preserve">is developing </w:t>
      </w:r>
      <w:proofErr w:type="gramStart"/>
      <w:r>
        <w:t>it</w:t>
      </w:r>
      <w:r w:rsidR="006E5855">
        <w:t>’</w:t>
      </w:r>
      <w:r>
        <w:t>s</w:t>
      </w:r>
      <w:proofErr w:type="gramEnd"/>
      <w:r w:rsidR="00CA1CD3">
        <w:t xml:space="preserve"> Environment</w:t>
      </w:r>
      <w:r w:rsidR="00E91FC9" w:rsidRPr="00E91FC9">
        <w:t xml:space="preserve"> Strategy</w:t>
      </w:r>
      <w:r w:rsidR="005B2623" w:rsidRPr="005B2623">
        <w:t xml:space="preserve"> a</w:t>
      </w:r>
      <w:r w:rsidR="00CA1CD3">
        <w:t xml:space="preserve">nd </w:t>
      </w:r>
      <w:r w:rsidR="00F945AE">
        <w:t>it’s</w:t>
      </w:r>
      <w:r w:rsidR="005B2623" w:rsidRPr="005B2623">
        <w:t xml:space="preserve"> </w:t>
      </w:r>
      <w:r w:rsidR="00E91FC9" w:rsidRPr="00E91FC9">
        <w:t>first Clean Air Strategy</w:t>
      </w:r>
      <w:r w:rsidR="009B10D0">
        <w:t xml:space="preserve">. </w:t>
      </w:r>
      <w:r w:rsidR="009F2B35">
        <w:t xml:space="preserve">A </w:t>
      </w:r>
      <w:r w:rsidR="00E91FC9" w:rsidRPr="00E91FC9">
        <w:t xml:space="preserve">Clean Air Strategy Discussion Document, </w:t>
      </w:r>
      <w:r w:rsidR="009F2B35">
        <w:t xml:space="preserve">published in November 2020, </w:t>
      </w:r>
      <w:r w:rsidR="00E91FC9" w:rsidRPr="00E91FC9">
        <w:t>presents an in-depth analysis of air quality in Northern Ireland and sets out current policy and evidence</w:t>
      </w:r>
      <w:r w:rsidR="000B636B">
        <w:rPr>
          <w:rStyle w:val="FootnoteReference"/>
        </w:rPr>
        <w:footnoteReference w:id="13"/>
      </w:r>
      <w:r w:rsidR="008C5246">
        <w:t>.</w:t>
      </w:r>
      <w:r w:rsidR="00E91FC9" w:rsidRPr="00E91FC9">
        <w:t xml:space="preserve"> </w:t>
      </w:r>
    </w:p>
    <w:p w14:paraId="6F433A5F" w14:textId="770388B7" w:rsidR="00C277C3" w:rsidRDefault="00C277C3" w:rsidP="00C277C3">
      <w:pPr>
        <w:pStyle w:val="Heading3"/>
      </w:pPr>
      <w:bookmarkStart w:id="29" w:name="_Hlk64020417"/>
      <w:r>
        <w:t>The Chemicals Framework</w:t>
      </w:r>
    </w:p>
    <w:p w14:paraId="59B6CAF9" w14:textId="4930B1D0" w:rsidR="00E832B2" w:rsidRDefault="00C277C3" w:rsidP="00C277C3">
      <w:r w:rsidRPr="00C277C3">
        <w:t xml:space="preserve">As </w:t>
      </w:r>
      <w:r>
        <w:t xml:space="preserve">outlined in the 25 Year Environment Plan, </w:t>
      </w:r>
      <w:r w:rsidRPr="00C277C3">
        <w:t>Defra is also developing an ambitious Chemicals Framework to make sure we protect human health and improve the environment for future generations. It will build on a robust statutory regime, our international obligations, and set out a direction of travel on important policies</w:t>
      </w:r>
      <w:r w:rsidR="00E832B2">
        <w:t>.</w:t>
      </w:r>
      <w:r w:rsidR="001A5A01">
        <w:t xml:space="preserve"> </w:t>
      </w:r>
    </w:p>
    <w:bookmarkEnd w:id="29"/>
    <w:p w14:paraId="17FB8CBE" w14:textId="100933F0" w:rsidR="003B0F17" w:rsidRDefault="003B0F17" w:rsidP="000B636B">
      <w:pPr>
        <w:pStyle w:val="Heading3"/>
      </w:pPr>
      <w:r>
        <w:t>International engagement</w:t>
      </w:r>
    </w:p>
    <w:p w14:paraId="471FED22" w14:textId="418FB315" w:rsidR="003B0F17" w:rsidRDefault="003B0F17">
      <w:pPr>
        <w:rPr>
          <w:rFonts w:asciiTheme="minorHAnsi" w:eastAsiaTheme="minorEastAsia" w:hAnsiTheme="minorHAnsi" w:cstheme="minorBidi"/>
          <w:bCs/>
          <w:szCs w:val="24"/>
        </w:rPr>
      </w:pPr>
      <w:r>
        <w:rPr>
          <w:rFonts w:asciiTheme="minorHAnsi" w:eastAsiaTheme="minorEastAsia" w:hAnsiTheme="minorHAnsi" w:cstheme="minorBidi"/>
          <w:bCs/>
          <w:szCs w:val="24"/>
        </w:rPr>
        <w:t xml:space="preserve">The UK is actively engaged in negotiations to agree a Beyond 2020 framework for chemicals and waste and is supportive of developing ambitious, measurable and time-limited targets. There are strong synergies between the Multilateral Environment Agreements for chemicals and waste such as the Stockholm Convention and </w:t>
      </w:r>
      <w:r w:rsidR="005511F8">
        <w:rPr>
          <w:rFonts w:asciiTheme="minorHAnsi" w:eastAsiaTheme="minorEastAsia" w:hAnsiTheme="minorHAnsi" w:cstheme="minorBidi"/>
          <w:bCs/>
          <w:szCs w:val="24"/>
        </w:rPr>
        <w:t xml:space="preserve">other including </w:t>
      </w:r>
      <w:r>
        <w:rPr>
          <w:rFonts w:asciiTheme="minorHAnsi" w:eastAsiaTheme="minorEastAsia" w:hAnsiTheme="minorHAnsi" w:cstheme="minorBidi"/>
          <w:bCs/>
          <w:szCs w:val="24"/>
        </w:rPr>
        <w:t>biodiversity</w:t>
      </w:r>
      <w:r w:rsidR="005511F8">
        <w:rPr>
          <w:rFonts w:asciiTheme="minorHAnsi" w:eastAsiaTheme="minorEastAsia" w:hAnsiTheme="minorHAnsi" w:cstheme="minorBidi"/>
          <w:bCs/>
          <w:szCs w:val="24"/>
        </w:rPr>
        <w:t xml:space="preserve"> and climate</w:t>
      </w:r>
      <w:r>
        <w:rPr>
          <w:rFonts w:asciiTheme="minorHAnsi" w:eastAsiaTheme="minorEastAsia" w:hAnsiTheme="minorHAnsi" w:cstheme="minorBidi"/>
          <w:bCs/>
          <w:szCs w:val="24"/>
        </w:rPr>
        <w:t xml:space="preserve">. </w:t>
      </w:r>
      <w:r w:rsidR="005511F8">
        <w:rPr>
          <w:rFonts w:asciiTheme="minorHAnsi" w:eastAsiaTheme="minorEastAsia" w:hAnsiTheme="minorHAnsi" w:cstheme="minorBidi"/>
          <w:bCs/>
          <w:szCs w:val="24"/>
        </w:rPr>
        <w:t xml:space="preserve">The UK stands ready to prioritise actions and ramp up efforts for the </w:t>
      </w:r>
      <w:r>
        <w:rPr>
          <w:rFonts w:asciiTheme="minorHAnsi" w:eastAsiaTheme="minorEastAsia" w:hAnsiTheme="minorHAnsi" w:cstheme="minorBidi"/>
          <w:bCs/>
          <w:szCs w:val="24"/>
        </w:rPr>
        <w:t xml:space="preserve">delivery </w:t>
      </w:r>
      <w:r w:rsidR="005511F8">
        <w:rPr>
          <w:rFonts w:asciiTheme="minorHAnsi" w:eastAsiaTheme="minorEastAsia" w:hAnsiTheme="minorHAnsi" w:cstheme="minorBidi"/>
          <w:bCs/>
          <w:szCs w:val="24"/>
        </w:rPr>
        <w:t>against</w:t>
      </w:r>
      <w:r>
        <w:rPr>
          <w:rFonts w:asciiTheme="minorHAnsi" w:eastAsiaTheme="minorEastAsia" w:hAnsiTheme="minorHAnsi" w:cstheme="minorBidi"/>
          <w:bCs/>
          <w:szCs w:val="24"/>
        </w:rPr>
        <w:t xml:space="preserve"> </w:t>
      </w:r>
      <w:r w:rsidR="005511F8">
        <w:rPr>
          <w:rFonts w:asciiTheme="minorHAnsi" w:eastAsiaTheme="minorEastAsia" w:hAnsiTheme="minorHAnsi" w:cstheme="minorBidi"/>
          <w:bCs/>
          <w:szCs w:val="24"/>
        </w:rPr>
        <w:t xml:space="preserve">these </w:t>
      </w:r>
      <w:r>
        <w:rPr>
          <w:rFonts w:asciiTheme="minorHAnsi" w:eastAsiaTheme="minorEastAsia" w:hAnsiTheme="minorHAnsi" w:cstheme="minorBidi"/>
          <w:bCs/>
          <w:szCs w:val="24"/>
        </w:rPr>
        <w:t>future targets.</w:t>
      </w:r>
    </w:p>
    <w:p w14:paraId="53A10E85" w14:textId="6F102366" w:rsidR="225AF72F" w:rsidRPr="006B41B8" w:rsidRDefault="005511F8">
      <w:pPr>
        <w:rPr>
          <w:rFonts w:asciiTheme="minorHAnsi" w:eastAsiaTheme="minorEastAsia" w:hAnsiTheme="minorHAnsi" w:cstheme="minorBidi"/>
          <w:szCs w:val="24"/>
          <w:lang w:val="en-US"/>
        </w:rPr>
      </w:pPr>
      <w:r w:rsidRPr="00CA6953">
        <w:rPr>
          <w:rFonts w:asciiTheme="minorHAnsi" w:eastAsiaTheme="minorEastAsia" w:hAnsiTheme="minorHAnsi" w:cstheme="minorBidi"/>
          <w:szCs w:val="24"/>
        </w:rPr>
        <w:t xml:space="preserve">The UK </w:t>
      </w:r>
      <w:r w:rsidR="0055148A">
        <w:rPr>
          <w:rFonts w:asciiTheme="minorHAnsi" w:eastAsiaTheme="minorEastAsia" w:hAnsiTheme="minorHAnsi" w:cstheme="minorBidi"/>
          <w:bCs/>
          <w:szCs w:val="24"/>
        </w:rPr>
        <w:t xml:space="preserve">is the third largest donor to </w:t>
      </w:r>
      <w:r>
        <w:rPr>
          <w:rFonts w:asciiTheme="minorHAnsi" w:eastAsiaTheme="minorEastAsia" w:hAnsiTheme="minorHAnsi" w:cstheme="minorBidi"/>
          <w:bCs/>
          <w:szCs w:val="24"/>
        </w:rPr>
        <w:t>the Global Environment Facility (GEF)</w:t>
      </w:r>
      <w:r w:rsidR="00C061CD">
        <w:rPr>
          <w:rFonts w:asciiTheme="minorHAnsi" w:eastAsiaTheme="minorEastAsia" w:hAnsiTheme="minorHAnsi" w:cstheme="minorBidi"/>
          <w:bCs/>
          <w:szCs w:val="24"/>
        </w:rPr>
        <w:t>. The UK contribution is up to £250 million during the period 2018-2022</w:t>
      </w:r>
      <w:r>
        <w:rPr>
          <w:rFonts w:asciiTheme="minorHAnsi" w:eastAsiaTheme="minorEastAsia" w:hAnsiTheme="minorHAnsi" w:cstheme="minorBidi"/>
          <w:bCs/>
          <w:szCs w:val="24"/>
        </w:rPr>
        <w:t xml:space="preserve"> delivering projects on the ground in support of the objectives of the Stockholm</w:t>
      </w:r>
      <w:r w:rsidR="00351A31">
        <w:rPr>
          <w:rFonts w:asciiTheme="minorHAnsi" w:eastAsiaTheme="minorEastAsia" w:hAnsiTheme="minorHAnsi" w:cstheme="minorBidi"/>
          <w:bCs/>
          <w:szCs w:val="24"/>
        </w:rPr>
        <w:t xml:space="preserve"> Convention</w:t>
      </w:r>
      <w:r w:rsidR="00C061CD">
        <w:rPr>
          <w:rFonts w:asciiTheme="minorHAnsi" w:eastAsiaTheme="minorEastAsia" w:hAnsiTheme="minorHAnsi" w:cstheme="minorBidi"/>
          <w:bCs/>
          <w:szCs w:val="24"/>
        </w:rPr>
        <w:t>. We</w:t>
      </w:r>
      <w:r>
        <w:rPr>
          <w:rFonts w:asciiTheme="minorHAnsi" w:eastAsiaTheme="minorEastAsia" w:hAnsiTheme="minorHAnsi" w:cstheme="minorBidi"/>
          <w:bCs/>
          <w:szCs w:val="24"/>
        </w:rPr>
        <w:t xml:space="preserve"> will engage fully in the 8</w:t>
      </w:r>
      <w:r w:rsidRPr="00CA6953">
        <w:rPr>
          <w:rFonts w:asciiTheme="minorHAnsi" w:eastAsiaTheme="minorEastAsia" w:hAnsiTheme="minorHAnsi" w:cstheme="minorBidi"/>
          <w:szCs w:val="24"/>
          <w:vertAlign w:val="superscript"/>
        </w:rPr>
        <w:t>th</w:t>
      </w:r>
      <w:r>
        <w:rPr>
          <w:rFonts w:asciiTheme="minorHAnsi" w:eastAsiaTheme="minorEastAsia" w:hAnsiTheme="minorHAnsi" w:cstheme="minorBidi"/>
          <w:bCs/>
          <w:szCs w:val="24"/>
        </w:rPr>
        <w:t xml:space="preserve"> replenishment of this fund. </w:t>
      </w:r>
      <w:r w:rsidR="002338C5">
        <w:rPr>
          <w:rFonts w:asciiTheme="minorHAnsi" w:eastAsiaTheme="minorEastAsia" w:hAnsiTheme="minorHAnsi" w:cstheme="minorBidi"/>
          <w:bCs/>
          <w:szCs w:val="24"/>
        </w:rPr>
        <w:t xml:space="preserve">In addition to supporting voluntary funds such as the UN Special Programme </w:t>
      </w:r>
      <w:r w:rsidR="002338C5">
        <w:rPr>
          <w:rFonts w:asciiTheme="minorHAnsi" w:eastAsiaTheme="minorEastAsia" w:hAnsiTheme="minorHAnsi" w:cstheme="minorBidi"/>
          <w:bCs/>
          <w:szCs w:val="24"/>
          <w:lang w:val="en-US"/>
        </w:rPr>
        <w:t>we</w:t>
      </w:r>
      <w:r w:rsidR="0055148A">
        <w:rPr>
          <w:rFonts w:asciiTheme="minorHAnsi" w:eastAsiaTheme="minorEastAsia" w:hAnsiTheme="minorHAnsi" w:cstheme="minorBidi"/>
          <w:bCs/>
          <w:szCs w:val="24"/>
          <w:lang w:val="en-US"/>
        </w:rPr>
        <w:t xml:space="preserve"> are also developing our own capacity building </w:t>
      </w:r>
      <w:proofErr w:type="spellStart"/>
      <w:r w:rsidR="00C061CD">
        <w:rPr>
          <w:rFonts w:asciiTheme="minorHAnsi" w:eastAsiaTheme="minorEastAsia" w:hAnsiTheme="minorHAnsi" w:cstheme="minorBidi"/>
          <w:bCs/>
          <w:szCs w:val="24"/>
          <w:lang w:val="en-US"/>
        </w:rPr>
        <w:t>programme</w:t>
      </w:r>
      <w:proofErr w:type="spellEnd"/>
      <w:r w:rsidR="00C061CD">
        <w:rPr>
          <w:rFonts w:asciiTheme="minorHAnsi" w:eastAsiaTheme="minorEastAsia" w:hAnsiTheme="minorHAnsi" w:cstheme="minorBidi"/>
          <w:bCs/>
          <w:szCs w:val="24"/>
          <w:lang w:val="en-US"/>
        </w:rPr>
        <w:t xml:space="preserve"> for</w:t>
      </w:r>
      <w:r w:rsidR="0055148A">
        <w:rPr>
          <w:rFonts w:asciiTheme="minorHAnsi" w:eastAsiaTheme="minorEastAsia" w:hAnsiTheme="minorHAnsi" w:cstheme="minorBidi"/>
          <w:bCs/>
          <w:szCs w:val="24"/>
          <w:lang w:val="en-US"/>
        </w:rPr>
        <w:t xml:space="preserve"> </w:t>
      </w:r>
      <w:r w:rsidR="00351A31">
        <w:rPr>
          <w:rFonts w:asciiTheme="minorHAnsi" w:eastAsiaTheme="minorEastAsia" w:hAnsiTheme="minorHAnsi" w:cstheme="minorBidi"/>
          <w:bCs/>
          <w:szCs w:val="24"/>
          <w:lang w:val="en-US"/>
        </w:rPr>
        <w:t>l</w:t>
      </w:r>
      <w:r w:rsidR="0055148A">
        <w:rPr>
          <w:rFonts w:asciiTheme="minorHAnsi" w:eastAsiaTheme="minorEastAsia" w:hAnsiTheme="minorHAnsi" w:cstheme="minorBidi"/>
          <w:bCs/>
          <w:szCs w:val="24"/>
          <w:lang w:val="en-US"/>
        </w:rPr>
        <w:t xml:space="preserve">ow </w:t>
      </w:r>
      <w:r w:rsidR="00C061CD">
        <w:rPr>
          <w:rFonts w:asciiTheme="minorHAnsi" w:eastAsiaTheme="minorEastAsia" w:hAnsiTheme="minorHAnsi" w:cstheme="minorBidi"/>
          <w:bCs/>
          <w:szCs w:val="24"/>
          <w:lang w:val="en-US"/>
        </w:rPr>
        <w:t>i</w:t>
      </w:r>
      <w:r w:rsidR="0055148A">
        <w:rPr>
          <w:rFonts w:asciiTheme="minorHAnsi" w:eastAsiaTheme="minorEastAsia" w:hAnsiTheme="minorHAnsi" w:cstheme="minorBidi"/>
          <w:bCs/>
          <w:szCs w:val="24"/>
          <w:lang w:val="en-US"/>
        </w:rPr>
        <w:t xml:space="preserve">ncome countries to address pollution caused by </w:t>
      </w:r>
      <w:r w:rsidR="00D82527">
        <w:rPr>
          <w:rFonts w:asciiTheme="minorHAnsi" w:eastAsiaTheme="minorEastAsia" w:hAnsiTheme="minorHAnsi" w:cstheme="minorBidi"/>
          <w:bCs/>
          <w:szCs w:val="24"/>
          <w:lang w:val="en-US"/>
        </w:rPr>
        <w:t xml:space="preserve">harmful </w:t>
      </w:r>
      <w:r w:rsidR="0055148A">
        <w:rPr>
          <w:rFonts w:asciiTheme="minorHAnsi" w:eastAsiaTheme="minorEastAsia" w:hAnsiTheme="minorHAnsi" w:cstheme="minorBidi"/>
          <w:bCs/>
          <w:szCs w:val="24"/>
          <w:lang w:val="en-US"/>
        </w:rPr>
        <w:t>chemicals and other pollutants</w:t>
      </w:r>
      <w:r w:rsidR="225AF72F" w:rsidRPr="00CA6953">
        <w:rPr>
          <w:rFonts w:asciiTheme="minorHAnsi" w:eastAsiaTheme="minorEastAsia" w:hAnsiTheme="minorHAnsi" w:cstheme="minorBidi"/>
          <w:lang w:val="en-US"/>
        </w:rPr>
        <w:t xml:space="preserve">. </w:t>
      </w:r>
    </w:p>
    <w:p w14:paraId="64021FD3" w14:textId="332190E3" w:rsidR="225AF72F" w:rsidRDefault="225AF72F">
      <w:pPr>
        <w:rPr>
          <w:rFonts w:asciiTheme="minorHAnsi" w:eastAsiaTheme="minorEastAsia" w:hAnsiTheme="minorHAnsi" w:cstheme="minorBidi"/>
          <w:szCs w:val="24"/>
          <w:lang w:val="en-US"/>
        </w:rPr>
      </w:pPr>
      <w:r w:rsidRPr="00CA6953">
        <w:rPr>
          <w:rFonts w:asciiTheme="minorHAnsi" w:eastAsiaTheme="minorEastAsia" w:hAnsiTheme="minorHAnsi" w:cstheme="minorBidi"/>
          <w:lang w:val="en-US"/>
        </w:rPr>
        <w:lastRenderedPageBreak/>
        <w:t xml:space="preserve">The Stockholm </w:t>
      </w:r>
      <w:r w:rsidR="00351A31">
        <w:rPr>
          <w:rFonts w:asciiTheme="minorHAnsi" w:eastAsiaTheme="minorEastAsia" w:hAnsiTheme="minorHAnsi" w:cstheme="minorBidi"/>
          <w:lang w:val="en-US"/>
        </w:rPr>
        <w:t>C</w:t>
      </w:r>
      <w:r w:rsidRPr="00CA6953">
        <w:rPr>
          <w:rFonts w:asciiTheme="minorHAnsi" w:eastAsiaTheme="minorEastAsia" w:hAnsiTheme="minorHAnsi" w:cstheme="minorBidi"/>
          <w:lang w:val="en-US"/>
        </w:rPr>
        <w:t xml:space="preserve">onvention also makes important contributions to </w:t>
      </w:r>
      <w:r w:rsidR="40DCE6B1" w:rsidRPr="00CA6953">
        <w:rPr>
          <w:rFonts w:asciiTheme="minorHAnsi" w:eastAsiaTheme="minorEastAsia" w:hAnsiTheme="minorHAnsi" w:cstheme="minorBidi"/>
          <w:lang w:val="en-US"/>
        </w:rPr>
        <w:t>sup</w:t>
      </w:r>
      <w:r w:rsidR="16B56514" w:rsidRPr="7D2B6475">
        <w:rPr>
          <w:rFonts w:asciiTheme="minorHAnsi" w:eastAsiaTheme="minorEastAsia" w:hAnsiTheme="minorHAnsi" w:cstheme="minorBidi"/>
          <w:lang w:val="en-US"/>
        </w:rPr>
        <w:t>port</w:t>
      </w:r>
      <w:r w:rsidRPr="00CA6953">
        <w:rPr>
          <w:rFonts w:asciiTheme="minorHAnsi" w:eastAsiaTheme="minorEastAsia" w:hAnsiTheme="minorHAnsi" w:cstheme="minorBidi"/>
          <w:lang w:val="en-US"/>
        </w:rPr>
        <w:t xml:space="preserve"> </w:t>
      </w:r>
      <w:r w:rsidR="40DCE6B1" w:rsidRPr="00CA6953">
        <w:rPr>
          <w:rFonts w:asciiTheme="minorHAnsi" w:eastAsiaTheme="minorEastAsia" w:hAnsiTheme="minorHAnsi" w:cstheme="minorBidi"/>
          <w:lang w:val="en-US"/>
        </w:rPr>
        <w:t>implement</w:t>
      </w:r>
      <w:r w:rsidR="2E8A01BA" w:rsidRPr="1D92588E">
        <w:rPr>
          <w:rFonts w:asciiTheme="minorHAnsi" w:eastAsiaTheme="minorEastAsia" w:hAnsiTheme="minorHAnsi" w:cstheme="minorBidi"/>
          <w:lang w:val="en-US"/>
        </w:rPr>
        <w:t>ation of</w:t>
      </w:r>
      <w:r w:rsidRPr="00CA6953">
        <w:rPr>
          <w:rFonts w:asciiTheme="minorHAnsi" w:eastAsiaTheme="minorEastAsia" w:hAnsiTheme="minorHAnsi" w:cstheme="minorBidi"/>
          <w:lang w:val="en-US"/>
        </w:rPr>
        <w:t xml:space="preserve"> the 2030 Agenda for Sustainable Development and the achievement of the relevant Sustainable Development Goals and associated targets. Alignment is key to ensuring effective delivery against </w:t>
      </w:r>
      <w:proofErr w:type="gramStart"/>
      <w:r w:rsidRPr="00CA6953">
        <w:rPr>
          <w:rFonts w:asciiTheme="minorHAnsi" w:eastAsiaTheme="minorEastAsia" w:hAnsiTheme="minorHAnsi" w:cstheme="minorBidi"/>
          <w:lang w:val="en-US"/>
        </w:rPr>
        <w:t>all of</w:t>
      </w:r>
      <w:proofErr w:type="gramEnd"/>
      <w:r w:rsidRPr="00CA6953">
        <w:rPr>
          <w:rFonts w:asciiTheme="minorHAnsi" w:eastAsiaTheme="minorEastAsia" w:hAnsiTheme="minorHAnsi" w:cstheme="minorBidi"/>
          <w:lang w:val="en-US"/>
        </w:rPr>
        <w:t xml:space="preserve"> our international obligations.</w:t>
      </w:r>
      <w:r w:rsidR="0055148A">
        <w:rPr>
          <w:rFonts w:asciiTheme="minorHAnsi" w:eastAsiaTheme="minorEastAsia" w:hAnsiTheme="minorHAnsi" w:cstheme="minorBidi"/>
          <w:lang w:val="en-US"/>
        </w:rPr>
        <w:t xml:space="preserve"> We support strong synergies between the Basel, Rotterdam and Stockholm Conventions.</w:t>
      </w:r>
    </w:p>
    <w:p w14:paraId="29225BC4" w14:textId="73D04E01" w:rsidR="008B3A27" w:rsidRDefault="00571A2F" w:rsidP="00EB778D">
      <w:pPr>
        <w:pStyle w:val="Heading2"/>
      </w:pPr>
      <w:bookmarkStart w:id="30" w:name="_Toc67030069"/>
      <w:r>
        <w:t>Action on n</w:t>
      </w:r>
      <w:r w:rsidR="008B3A27">
        <w:t>ew POPs</w:t>
      </w:r>
      <w:bookmarkEnd w:id="30"/>
    </w:p>
    <w:p w14:paraId="1F708B56" w14:textId="3122D5EE" w:rsidR="00967499" w:rsidRDefault="00967499" w:rsidP="00967499">
      <w:r>
        <w:t xml:space="preserve">“New POPs” are those </w:t>
      </w:r>
      <w:r w:rsidR="00393223">
        <w:t>listed under the</w:t>
      </w:r>
      <w:r>
        <w:t xml:space="preserve"> </w:t>
      </w:r>
      <w:r w:rsidR="00393223">
        <w:t>C</w:t>
      </w:r>
      <w:r>
        <w:t>onvention in 2017 (at COP</w:t>
      </w:r>
      <w:r w:rsidR="00465FCD">
        <w:t xml:space="preserve"> </w:t>
      </w:r>
      <w:r>
        <w:t>8) and 2019 (COP</w:t>
      </w:r>
      <w:r w:rsidR="00465FCD">
        <w:t xml:space="preserve"> </w:t>
      </w:r>
      <w:r>
        <w:t>9).</w:t>
      </w:r>
    </w:p>
    <w:p w14:paraId="2420C1BD" w14:textId="1CE0AB62" w:rsidR="008B3A27" w:rsidRDefault="008B3A27" w:rsidP="008B3A27">
      <w:pPr>
        <w:pStyle w:val="Heading3"/>
      </w:pPr>
      <w:r>
        <w:t xml:space="preserve">Measures to reduce or eliminate releases of </w:t>
      </w:r>
      <w:proofErr w:type="spellStart"/>
      <w:r>
        <w:t>deca</w:t>
      </w:r>
      <w:r w:rsidR="00FC1154">
        <w:t>brom</w:t>
      </w:r>
      <w:r w:rsidR="00F47021">
        <w:t>o</w:t>
      </w:r>
      <w:r w:rsidR="00FC1154">
        <w:t>diphenyl</w:t>
      </w:r>
      <w:proofErr w:type="spellEnd"/>
      <w:r w:rsidR="00FC1154">
        <w:t xml:space="preserve"> ether (</w:t>
      </w:r>
      <w:proofErr w:type="spellStart"/>
      <w:r w:rsidR="00FC1154">
        <w:t>decaBDE</w:t>
      </w:r>
      <w:proofErr w:type="spellEnd"/>
      <w:r w:rsidR="00FC1154">
        <w:t>)</w:t>
      </w:r>
    </w:p>
    <w:p w14:paraId="28C755AE" w14:textId="290EEA88" w:rsidR="00817F84" w:rsidRPr="00817F84" w:rsidRDefault="00817F84" w:rsidP="008B3A27">
      <w:pPr>
        <w:rPr>
          <w:b/>
          <w:bCs/>
        </w:rPr>
      </w:pPr>
      <w:r w:rsidRPr="00817F84">
        <w:rPr>
          <w:b/>
          <w:bCs/>
        </w:rPr>
        <w:t>Brominated flame retardants in electric and electronic items</w:t>
      </w:r>
    </w:p>
    <w:p w14:paraId="231A3B2A" w14:textId="00162A76" w:rsidR="00CE1AE3" w:rsidRDefault="00B85EF2" w:rsidP="009E1DA6">
      <w:r>
        <w:t xml:space="preserve">The </w:t>
      </w:r>
      <w:r w:rsidR="00D47F78" w:rsidRPr="00AD3731">
        <w:t>Industry Council for Electronic Equipment Recycling (ICER)</w:t>
      </w:r>
      <w:r>
        <w:t>, with input and guidance from Defra, the EA</w:t>
      </w:r>
      <w:r w:rsidR="004B7BA9">
        <w:t xml:space="preserve">, NRW, </w:t>
      </w:r>
      <w:r w:rsidR="0012239D">
        <w:t>SEPA</w:t>
      </w:r>
      <w:r>
        <w:t xml:space="preserve"> and </w:t>
      </w:r>
      <w:r w:rsidR="009C7986">
        <w:t xml:space="preserve">an </w:t>
      </w:r>
      <w:r>
        <w:t>industry group,</w:t>
      </w:r>
      <w:r w:rsidRPr="00AD3731">
        <w:t xml:space="preserve"> </w:t>
      </w:r>
      <w:r w:rsidR="00532F51">
        <w:t xml:space="preserve">led an investigation to determine the </w:t>
      </w:r>
      <w:r w:rsidR="00D47F78" w:rsidRPr="00AD3731">
        <w:t xml:space="preserve">extent of the presence of </w:t>
      </w:r>
      <w:r w:rsidR="000E08D3">
        <w:t>polybrominated diphenyl ethers (</w:t>
      </w:r>
      <w:r w:rsidR="00D47F78" w:rsidRPr="00AD3731">
        <w:t>PBDE</w:t>
      </w:r>
      <w:r w:rsidR="000E08D3">
        <w:t>)</w:t>
      </w:r>
      <w:r w:rsidR="00D47F78" w:rsidRPr="00AD3731">
        <w:t xml:space="preserve"> chemicals in waste electrical and electronic equipment</w:t>
      </w:r>
      <w:r w:rsidR="00D47F78">
        <w:t xml:space="preserve"> (</w:t>
      </w:r>
      <w:r w:rsidR="00D47F78" w:rsidRPr="4CB48EDB">
        <w:t>WEEE</w:t>
      </w:r>
      <w:r w:rsidR="00D47F78">
        <w:t>).</w:t>
      </w:r>
      <w:r w:rsidR="00CE1AE3">
        <w:t xml:space="preserve"> </w:t>
      </w:r>
      <w:r w:rsidR="00CE1AE3" w:rsidRPr="4CB48EDB">
        <w:t>The results from a sampling study show</w:t>
      </w:r>
      <w:r>
        <w:t>ed</w:t>
      </w:r>
      <w:r w:rsidR="00CE1AE3" w:rsidRPr="4CB48EDB">
        <w:t xml:space="preserve"> that both the PBDEs banned in 2009 and </w:t>
      </w:r>
      <w:proofErr w:type="spellStart"/>
      <w:r w:rsidR="00CE1AE3" w:rsidRPr="4CB48EDB">
        <w:t>decaBDE</w:t>
      </w:r>
      <w:proofErr w:type="spellEnd"/>
      <w:r w:rsidR="00CE1AE3" w:rsidRPr="4CB48EDB">
        <w:t xml:space="preserve"> </w:t>
      </w:r>
      <w:r w:rsidR="00677766">
        <w:t>(listed as a POP in</w:t>
      </w:r>
      <w:r>
        <w:t xml:space="preserve"> 2017</w:t>
      </w:r>
      <w:r w:rsidR="00677766">
        <w:t xml:space="preserve"> but restricted in the UK under RoH</w:t>
      </w:r>
      <w:r w:rsidR="008B7A96">
        <w:t xml:space="preserve">S </w:t>
      </w:r>
      <w:r w:rsidR="00677766">
        <w:t xml:space="preserve">from </w:t>
      </w:r>
      <w:r w:rsidR="00895E7D">
        <w:t xml:space="preserve">July </w:t>
      </w:r>
      <w:r w:rsidR="00677766">
        <w:t>200</w:t>
      </w:r>
      <w:r w:rsidR="00895E7D">
        <w:t>6</w:t>
      </w:r>
      <w:r w:rsidR="00677766">
        <w:t>)</w:t>
      </w:r>
      <w:r>
        <w:t xml:space="preserve"> </w:t>
      </w:r>
      <w:r w:rsidR="00CE1AE3" w:rsidRPr="4CB48EDB">
        <w:t xml:space="preserve">are </w:t>
      </w:r>
      <w:r w:rsidR="00BE7889">
        <w:t xml:space="preserve">still </w:t>
      </w:r>
      <w:r w:rsidR="00CE1AE3" w:rsidRPr="4CB48EDB">
        <w:t>present in various WEEE collection streams</w:t>
      </w:r>
      <w:r w:rsidR="00431D69">
        <w:t xml:space="preserve"> (Keeley-Lopez et al., 2020)</w:t>
      </w:r>
      <w:r w:rsidR="00CE1AE3" w:rsidRPr="4CB48EDB">
        <w:t xml:space="preserve">. </w:t>
      </w:r>
    </w:p>
    <w:p w14:paraId="36DF2A15" w14:textId="77777777" w:rsidR="00310955" w:rsidRPr="00310955" w:rsidRDefault="00F40A23" w:rsidP="00D16288">
      <w:pPr>
        <w:rPr>
          <w:b/>
          <w:bCs/>
        </w:rPr>
      </w:pPr>
      <w:r w:rsidRPr="00310955">
        <w:t>The study found PBDE POPs at concentrations above the maximum concentration levels (MCL) in components for several WEEE categories</w:t>
      </w:r>
      <w:r w:rsidR="00014E72" w:rsidRPr="00310955">
        <w:t>;</w:t>
      </w:r>
    </w:p>
    <w:p w14:paraId="14875F6D" w14:textId="514DF5E5" w:rsidR="00014E72" w:rsidRPr="00EC7519" w:rsidRDefault="00014E72" w:rsidP="001A5709">
      <w:pPr>
        <w:pStyle w:val="ListParagraph"/>
        <w:numPr>
          <w:ilvl w:val="0"/>
          <w:numId w:val="50"/>
        </w:numPr>
        <w:spacing w:before="0" w:after="0"/>
        <w:rPr>
          <w:b/>
          <w:bCs/>
          <w:color w:val="000000" w:themeColor="text1"/>
        </w:rPr>
      </w:pPr>
      <w:r w:rsidRPr="00EC7519">
        <w:rPr>
          <w:b/>
          <w:bCs/>
          <w:color w:val="000000" w:themeColor="text1"/>
        </w:rPr>
        <w:t>Printed circuit boards</w:t>
      </w:r>
    </w:p>
    <w:p w14:paraId="2C654397" w14:textId="713691C0" w:rsidR="00014E72" w:rsidRPr="00EC7519" w:rsidRDefault="00E96CBE">
      <w:pPr>
        <w:pStyle w:val="ListParagraph"/>
        <w:numPr>
          <w:ilvl w:val="0"/>
          <w:numId w:val="50"/>
        </w:numPr>
        <w:spacing w:before="0" w:after="0"/>
        <w:rPr>
          <w:b/>
          <w:bCs/>
          <w:color w:val="000000" w:themeColor="text1"/>
        </w:rPr>
      </w:pPr>
      <w:r w:rsidRPr="00EC7519">
        <w:rPr>
          <w:b/>
          <w:bCs/>
          <w:color w:val="000000" w:themeColor="text1"/>
        </w:rPr>
        <w:t>Cables</w:t>
      </w:r>
    </w:p>
    <w:p w14:paraId="55827307" w14:textId="2D6D1706" w:rsidR="00E96CBE" w:rsidRPr="00EC7519" w:rsidRDefault="00454DAE">
      <w:pPr>
        <w:pStyle w:val="ListParagraph"/>
        <w:numPr>
          <w:ilvl w:val="0"/>
          <w:numId w:val="50"/>
        </w:numPr>
        <w:spacing w:before="0" w:after="0"/>
        <w:rPr>
          <w:color w:val="000000" w:themeColor="text1"/>
        </w:rPr>
      </w:pPr>
      <w:r w:rsidRPr="3C0A3149">
        <w:rPr>
          <w:b/>
          <w:bCs/>
          <w:color w:val="000000" w:themeColor="text1"/>
        </w:rPr>
        <w:t>Cathode-</w:t>
      </w:r>
      <w:r w:rsidR="00E96CBE" w:rsidRPr="00EC7519">
        <w:rPr>
          <w:b/>
          <w:bCs/>
          <w:color w:val="000000" w:themeColor="text1"/>
        </w:rPr>
        <w:t>ray tube displays (CRT</w:t>
      </w:r>
      <w:r w:rsidR="00072986" w:rsidRPr="00EC7519">
        <w:rPr>
          <w:b/>
          <w:bCs/>
          <w:color w:val="000000" w:themeColor="text1"/>
        </w:rPr>
        <w:t>s)</w:t>
      </w:r>
      <w:r w:rsidR="00072986" w:rsidRPr="00EC7519">
        <w:rPr>
          <w:color w:val="000000" w:themeColor="text1"/>
        </w:rPr>
        <w:t>. POPs PBDEs were found at levels above the MCL</w:t>
      </w:r>
      <w:r w:rsidR="002C0E9D" w:rsidRPr="00EC7519">
        <w:rPr>
          <w:color w:val="000000" w:themeColor="text1"/>
        </w:rPr>
        <w:t xml:space="preserve"> in the plastic casings of some CRT </w:t>
      </w:r>
      <w:r w:rsidR="00745921" w:rsidRPr="00EC7519">
        <w:rPr>
          <w:color w:val="000000" w:themeColor="text1"/>
        </w:rPr>
        <w:t>displays.</w:t>
      </w:r>
    </w:p>
    <w:p w14:paraId="4A5BE5A6" w14:textId="619AC6D4" w:rsidR="00745921" w:rsidRPr="00EC7519" w:rsidRDefault="00745921">
      <w:pPr>
        <w:pStyle w:val="ListParagraph"/>
        <w:numPr>
          <w:ilvl w:val="0"/>
          <w:numId w:val="50"/>
        </w:numPr>
        <w:spacing w:before="0" w:after="0"/>
        <w:rPr>
          <w:color w:val="000000" w:themeColor="text1"/>
        </w:rPr>
      </w:pPr>
      <w:r w:rsidRPr="00EC7519">
        <w:rPr>
          <w:b/>
          <w:bCs/>
          <w:color w:val="000000" w:themeColor="text1"/>
        </w:rPr>
        <w:t>Flat panel displays (FPDs)</w:t>
      </w:r>
      <w:r w:rsidR="00790A9E" w:rsidRPr="00EC7519">
        <w:rPr>
          <w:b/>
          <w:bCs/>
          <w:color w:val="000000" w:themeColor="text1"/>
        </w:rPr>
        <w:t>.</w:t>
      </w:r>
      <w:r w:rsidR="00790A9E" w:rsidRPr="00EC7519">
        <w:rPr>
          <w:color w:val="000000" w:themeColor="text1"/>
        </w:rPr>
        <w:t xml:space="preserve"> POPs PBDE levels </w:t>
      </w:r>
      <w:r w:rsidR="009C5BCD" w:rsidRPr="00EC7519">
        <w:rPr>
          <w:color w:val="000000" w:themeColor="text1"/>
        </w:rPr>
        <w:t xml:space="preserve">exceed the MCL in plastic casings </w:t>
      </w:r>
      <w:r w:rsidR="00A3437B" w:rsidRPr="00EC7519">
        <w:rPr>
          <w:color w:val="000000" w:themeColor="text1"/>
        </w:rPr>
        <w:t>of some FPDs.</w:t>
      </w:r>
    </w:p>
    <w:p w14:paraId="09CA98B2" w14:textId="2C75F652" w:rsidR="00A3437B" w:rsidRPr="00EC7519" w:rsidRDefault="00A3437B">
      <w:pPr>
        <w:pStyle w:val="ListParagraph"/>
        <w:numPr>
          <w:ilvl w:val="0"/>
          <w:numId w:val="50"/>
        </w:numPr>
        <w:spacing w:before="0" w:after="0"/>
        <w:rPr>
          <w:color w:val="000000" w:themeColor="text1"/>
        </w:rPr>
      </w:pPr>
      <w:r w:rsidRPr="00EC7519">
        <w:rPr>
          <w:b/>
          <w:bCs/>
          <w:color w:val="000000" w:themeColor="text1"/>
        </w:rPr>
        <w:t>Fridges and large domestic appliances</w:t>
      </w:r>
      <w:r w:rsidR="00B211C4" w:rsidRPr="00EC7519">
        <w:rPr>
          <w:color w:val="000000" w:themeColor="text1"/>
        </w:rPr>
        <w:t>.</w:t>
      </w:r>
    </w:p>
    <w:p w14:paraId="44777D35" w14:textId="370B36CB" w:rsidR="00B211C4" w:rsidRDefault="00B211C4" w:rsidP="00014E72">
      <w:pPr>
        <w:spacing w:before="0" w:after="0"/>
        <w:rPr>
          <w:color w:val="000000" w:themeColor="text1"/>
        </w:rPr>
      </w:pPr>
    </w:p>
    <w:p w14:paraId="04870748" w14:textId="4175CFE8" w:rsidR="00E96CBE" w:rsidRPr="00EC7519" w:rsidRDefault="00B211C4" w:rsidP="00EC7519">
      <w:pPr>
        <w:spacing w:before="0" w:after="0"/>
        <w:rPr>
          <w:color w:val="000000" w:themeColor="text1"/>
        </w:rPr>
      </w:pPr>
      <w:r>
        <w:rPr>
          <w:color w:val="000000" w:themeColor="text1"/>
        </w:rPr>
        <w:t>The presence</w:t>
      </w:r>
      <w:r w:rsidR="00836FD6">
        <w:rPr>
          <w:color w:val="000000" w:themeColor="text1"/>
        </w:rPr>
        <w:t xml:space="preserve"> of</w:t>
      </w:r>
      <w:r>
        <w:rPr>
          <w:color w:val="000000" w:themeColor="text1"/>
        </w:rPr>
        <w:t xml:space="preserve"> </w:t>
      </w:r>
      <w:r w:rsidR="00604109">
        <w:rPr>
          <w:color w:val="000000" w:themeColor="text1"/>
        </w:rPr>
        <w:t xml:space="preserve">antimony, assumed to be present as </w:t>
      </w:r>
      <w:r>
        <w:rPr>
          <w:color w:val="000000" w:themeColor="text1"/>
        </w:rPr>
        <w:t>the hazardous substance ant</w:t>
      </w:r>
      <w:r w:rsidR="00011E21">
        <w:rPr>
          <w:color w:val="000000" w:themeColor="text1"/>
        </w:rPr>
        <w:t>imony trioxide</w:t>
      </w:r>
      <w:r w:rsidR="00836FD6">
        <w:rPr>
          <w:color w:val="000000" w:themeColor="text1"/>
        </w:rPr>
        <w:t>,</w:t>
      </w:r>
      <w:r w:rsidR="00011E21">
        <w:rPr>
          <w:color w:val="000000" w:themeColor="text1"/>
        </w:rPr>
        <w:t xml:space="preserve"> was also </w:t>
      </w:r>
      <w:r w:rsidR="00604109">
        <w:rPr>
          <w:color w:val="000000" w:themeColor="text1"/>
        </w:rPr>
        <w:t>d</w:t>
      </w:r>
      <w:r w:rsidR="003C794E">
        <w:rPr>
          <w:color w:val="000000" w:themeColor="text1"/>
        </w:rPr>
        <w:t>etermined.</w:t>
      </w:r>
      <w:r w:rsidR="009E1DA6">
        <w:rPr>
          <w:color w:val="000000" w:themeColor="text1"/>
        </w:rPr>
        <w:t xml:space="preserve"> This is relevant as the presence of this substance will need to be taken into consideration when classifying waste as hazardous or non-hazardous.</w:t>
      </w:r>
      <w:r w:rsidR="003C794E">
        <w:rPr>
          <w:color w:val="000000" w:themeColor="text1"/>
        </w:rPr>
        <w:t xml:space="preserve"> </w:t>
      </w:r>
    </w:p>
    <w:p w14:paraId="38E25865" w14:textId="021CCE41" w:rsidR="00CD0289" w:rsidRPr="00CD0289" w:rsidRDefault="00CD0289" w:rsidP="009E1DA6">
      <w:r w:rsidRPr="00CD0289">
        <w:t>This study has also helped to identify the need for further work in other areas, such as c</w:t>
      </w:r>
      <w:r>
        <w:t>o</w:t>
      </w:r>
      <w:r w:rsidRPr="00CD0289">
        <w:t xml:space="preserve">ncerns that analytical methods may underestimate concentrations. </w:t>
      </w:r>
    </w:p>
    <w:p w14:paraId="357E36BB" w14:textId="6FAA38F8" w:rsidR="00CE1AE3" w:rsidRDefault="00CE1AE3">
      <w:r>
        <w:t>Our regulators</w:t>
      </w:r>
      <w:r w:rsidRPr="00AD3731">
        <w:t xml:space="preserve"> </w:t>
      </w:r>
      <w:r>
        <w:t xml:space="preserve">have </w:t>
      </w:r>
      <w:r w:rsidR="00A5504A">
        <w:t>published guidance</w:t>
      </w:r>
      <w:r w:rsidR="00E2768C">
        <w:t xml:space="preserve"> and</w:t>
      </w:r>
      <w:r w:rsidR="00A5504A">
        <w:t xml:space="preserve"> </w:t>
      </w:r>
      <w:r>
        <w:t>engag</w:t>
      </w:r>
      <w:r w:rsidR="00E2768C">
        <w:t>ed</w:t>
      </w:r>
      <w:r>
        <w:t xml:space="preserve"> with the waste </w:t>
      </w:r>
      <w:r w:rsidRPr="00AD3731">
        <w:t>industry to</w:t>
      </w:r>
      <w:r>
        <w:t xml:space="preserve"> inform them of this study</w:t>
      </w:r>
      <w:r w:rsidR="00A74996">
        <w:t>,</w:t>
      </w:r>
      <w:r>
        <w:t xml:space="preserve"> </w:t>
      </w:r>
      <w:r w:rsidR="00527602">
        <w:t>provide further advice on restrictions on re-use and export of WEEE containing POP</w:t>
      </w:r>
      <w:r w:rsidR="005B0C68">
        <w:t>s</w:t>
      </w:r>
      <w:r>
        <w:t xml:space="preserve"> and their obligations to identify and destroy articles with a POPs level above the legal limit. </w:t>
      </w:r>
      <w:r w:rsidR="00677766">
        <w:t>The study supports their work</w:t>
      </w:r>
      <w:r w:rsidRPr="00AD3731">
        <w:t xml:space="preserve"> to undertake characterisation of their waste to </w:t>
      </w:r>
      <w:r>
        <w:t xml:space="preserve">better </w:t>
      </w:r>
      <w:r w:rsidRPr="00AD3731">
        <w:t>understand the presence of POPs</w:t>
      </w:r>
      <w:r w:rsidR="00EE6E08">
        <w:t>,</w:t>
      </w:r>
      <w:r w:rsidRPr="00AD3731">
        <w:t xml:space="preserve"> </w:t>
      </w:r>
      <w:r>
        <w:t xml:space="preserve">including </w:t>
      </w:r>
      <w:proofErr w:type="spellStart"/>
      <w:r>
        <w:t>decaBDE</w:t>
      </w:r>
      <w:proofErr w:type="spellEnd"/>
      <w:r w:rsidR="00EE6E08">
        <w:t>,</w:t>
      </w:r>
      <w:r>
        <w:t xml:space="preserve"> </w:t>
      </w:r>
      <w:r w:rsidRPr="00AD3731">
        <w:t>in different sub-</w:t>
      </w:r>
      <w:r w:rsidRPr="00AD3731">
        <w:lastRenderedPageBreak/>
        <w:t>streams</w:t>
      </w:r>
      <w:r>
        <w:t xml:space="preserve"> and to destroy the POPs content, preventing its use in recycled materials</w:t>
      </w:r>
      <w:r w:rsidRPr="00AD3731">
        <w:t>.</w:t>
      </w:r>
      <w:r w:rsidR="007B093C">
        <w:t xml:space="preserve"> This study was heavily referenced by the authors of two recent draft reports for the Stockholm Convention</w:t>
      </w:r>
      <w:r w:rsidR="00B534F0">
        <w:t>. B</w:t>
      </w:r>
      <w:r w:rsidR="007B093C">
        <w:t>oth reports</w:t>
      </w:r>
      <w:r w:rsidR="00B534F0">
        <w:t xml:space="preserve"> were</w:t>
      </w:r>
      <w:r w:rsidR="007B093C">
        <w:t xml:space="preserve"> items for discussion at the 16</w:t>
      </w:r>
      <w:r w:rsidR="007B093C" w:rsidRPr="00D50FA5">
        <w:rPr>
          <w:vertAlign w:val="superscript"/>
        </w:rPr>
        <w:t>th</w:t>
      </w:r>
      <w:r w:rsidR="007B093C">
        <w:t xml:space="preserve"> POPs Review Committee (POPRC) meeting in January 2021 (UNEP</w:t>
      </w:r>
      <w:r w:rsidR="00431D69">
        <w:t>, 2021a and UNEP, 2021b).</w:t>
      </w:r>
    </w:p>
    <w:p w14:paraId="053D2C56" w14:textId="77777777" w:rsidR="00FE48C3" w:rsidRPr="00E6538C" w:rsidRDefault="00FE48C3" w:rsidP="00FE48C3">
      <w:pPr>
        <w:rPr>
          <w:b/>
          <w:bCs/>
        </w:rPr>
      </w:pPr>
      <w:r w:rsidRPr="00E6538C">
        <w:rPr>
          <w:b/>
          <w:bCs/>
        </w:rPr>
        <w:t>Brominated flame retardants in soft furnishings</w:t>
      </w:r>
    </w:p>
    <w:p w14:paraId="5DE40549" w14:textId="6AF83A76" w:rsidR="00966AC1" w:rsidRDefault="00416932" w:rsidP="00FC1154">
      <w:r>
        <w:t xml:space="preserve">A report was funded </w:t>
      </w:r>
      <w:r w:rsidR="008961FF">
        <w:t xml:space="preserve">by Defra </w:t>
      </w:r>
      <w:r>
        <w:t>to</w:t>
      </w:r>
      <w:r w:rsidR="00FC1154">
        <w:t xml:space="preserve"> provide further information on the </w:t>
      </w:r>
      <w:r w:rsidR="00E2239D">
        <w:t xml:space="preserve">past use of </w:t>
      </w:r>
      <w:r w:rsidR="00FC1154">
        <w:t>two brominated POP</w:t>
      </w:r>
      <w:r w:rsidR="001E7533">
        <w:t>s</w:t>
      </w:r>
      <w:r w:rsidR="00FC1154">
        <w:t xml:space="preserve"> flame-retardants</w:t>
      </w:r>
      <w:r w:rsidR="001E7533">
        <w:t>,</w:t>
      </w:r>
      <w:r w:rsidR="00FC1154">
        <w:t xml:space="preserve"> </w:t>
      </w:r>
      <w:proofErr w:type="spellStart"/>
      <w:r w:rsidR="00FC1154">
        <w:t>decaBDE</w:t>
      </w:r>
      <w:proofErr w:type="spellEnd"/>
      <w:r w:rsidR="00FC1154">
        <w:t xml:space="preserve"> and hexabromocyclododecane (HBCDD)</w:t>
      </w:r>
      <w:r w:rsidR="001E7533">
        <w:t>,</w:t>
      </w:r>
      <w:r w:rsidR="00FC1154">
        <w:t xml:space="preserve"> in a range of soft furnishings</w:t>
      </w:r>
      <w:r w:rsidR="004A1020">
        <w:t>.</w:t>
      </w:r>
      <w:r w:rsidR="00FC1154">
        <w:t xml:space="preserve"> </w:t>
      </w:r>
    </w:p>
    <w:p w14:paraId="6F568388" w14:textId="51339425" w:rsidR="00597C62" w:rsidRPr="00597C62" w:rsidRDefault="00597C62" w:rsidP="00597C62">
      <w:r w:rsidRPr="00597C62">
        <w:t xml:space="preserve">The study aimed to provide data that would allow the identification of </w:t>
      </w:r>
      <w:r w:rsidR="0078085E">
        <w:t xml:space="preserve">articles </w:t>
      </w:r>
      <w:r w:rsidRPr="00597C62">
        <w:t>likely</w:t>
      </w:r>
      <w:r w:rsidR="0078085E">
        <w:t xml:space="preserve"> to be</w:t>
      </w:r>
      <w:r w:rsidRPr="00597C62">
        <w:t xml:space="preserve"> contaminated </w:t>
      </w:r>
      <w:r w:rsidR="0078085E">
        <w:t xml:space="preserve">with these </w:t>
      </w:r>
      <w:r w:rsidR="00727BC0">
        <w:t>substances</w:t>
      </w:r>
      <w:r w:rsidR="00E03BC7">
        <w:t>. This information will</w:t>
      </w:r>
      <w:r w:rsidR="00727BC0">
        <w:t xml:space="preserve"> supp</w:t>
      </w:r>
      <w:r w:rsidR="001C52DB">
        <w:t>ort</w:t>
      </w:r>
      <w:r w:rsidRPr="00597C62">
        <w:t xml:space="preserve"> early intervention </w:t>
      </w:r>
      <w:r w:rsidR="00E03BC7">
        <w:t>t</w:t>
      </w:r>
      <w:r w:rsidRPr="00597C62">
        <w:t xml:space="preserve">o prevent those articles </w:t>
      </w:r>
      <w:r w:rsidR="00093293">
        <w:t>with POPs above the legal</w:t>
      </w:r>
      <w:r w:rsidRPr="00597C62">
        <w:t xml:space="preserve"> thresholds from entering landfill or being recycled.</w:t>
      </w:r>
    </w:p>
    <w:p w14:paraId="40E7873C" w14:textId="7AAE463D" w:rsidR="00966AC1" w:rsidRDefault="003663D9" w:rsidP="00BE7889">
      <w:r>
        <w:t>In addition</w:t>
      </w:r>
      <w:r w:rsidR="006D7821">
        <w:t>,</w:t>
      </w:r>
      <w:r>
        <w:t xml:space="preserve"> the report</w:t>
      </w:r>
      <w:r w:rsidR="004E1BFE">
        <w:t xml:space="preserve"> looked at</w:t>
      </w:r>
      <w:r w:rsidR="00966AC1">
        <w:t xml:space="preserve"> where materials </w:t>
      </w:r>
      <w:r w:rsidR="006D7821">
        <w:t xml:space="preserve">currently </w:t>
      </w:r>
      <w:r w:rsidR="00966AC1">
        <w:t>go at end of life and how are they treated</w:t>
      </w:r>
      <w:r w:rsidR="00836FD6">
        <w:t xml:space="preserve"> and</w:t>
      </w:r>
      <w:r w:rsidR="00966AC1">
        <w:t xml:space="preserve"> disposed of. This is particularly important when trying to </w:t>
      </w:r>
      <w:r w:rsidR="00AF42D8">
        <w:t xml:space="preserve">prevent </w:t>
      </w:r>
      <w:r w:rsidR="00966AC1">
        <w:t xml:space="preserve">unintentional recycling of </w:t>
      </w:r>
      <w:proofErr w:type="spellStart"/>
      <w:r w:rsidR="00966AC1">
        <w:t>decaBDE</w:t>
      </w:r>
      <w:proofErr w:type="spellEnd"/>
      <w:r w:rsidR="00966AC1">
        <w:t xml:space="preserve"> and HBCDD into new applications</w:t>
      </w:r>
      <w:r w:rsidR="00836FD6">
        <w:t>.</w:t>
      </w:r>
      <w:r w:rsidR="00966AC1">
        <w:t xml:space="preserve"> </w:t>
      </w:r>
    </w:p>
    <w:p w14:paraId="00310813" w14:textId="1981160E" w:rsidR="005B5C69" w:rsidRDefault="00966AC1" w:rsidP="00AA1F49">
      <w:pPr>
        <w:rPr>
          <w:rFonts w:cs="Arial"/>
        </w:rPr>
      </w:pPr>
      <w:r>
        <w:t xml:space="preserve">The report concluded that </w:t>
      </w:r>
      <w:proofErr w:type="spellStart"/>
      <w:r>
        <w:t>decaBDE</w:t>
      </w:r>
      <w:proofErr w:type="spellEnd"/>
      <w:r>
        <w:t xml:space="preserve"> and HBCDD were used in the back coatings of textile coverings for a range of soft furniture applications. Where this is the case the textile coverings for sofas are likely to have the highest concentrations, with foam and fibre cushioned seating acting as a sink for </w:t>
      </w:r>
      <w:r w:rsidR="003713E6">
        <w:t xml:space="preserve">the </w:t>
      </w:r>
      <w:proofErr w:type="spellStart"/>
      <w:r>
        <w:t>decaBDE</w:t>
      </w:r>
      <w:proofErr w:type="spellEnd"/>
      <w:r>
        <w:t>/ HBCDD which has leached from the textile covering</w:t>
      </w:r>
      <w:r w:rsidR="003713E6">
        <w:t>.</w:t>
      </w:r>
      <w:r w:rsidR="005B5C69">
        <w:rPr>
          <w:rFonts w:cs="Arial"/>
        </w:rPr>
        <w:t xml:space="preserve"> </w:t>
      </w:r>
    </w:p>
    <w:p w14:paraId="35D7BC0C" w14:textId="0DCB306D" w:rsidR="005B5C69" w:rsidRDefault="005B5C69" w:rsidP="00BE7889">
      <w:r>
        <w:t xml:space="preserve">The research concluded that domestic seating (such as sofas) </w:t>
      </w:r>
      <w:r w:rsidR="00294D65">
        <w:t>should</w:t>
      </w:r>
      <w:r>
        <w:t xml:space="preserve"> be a priority</w:t>
      </w:r>
      <w:r w:rsidR="00306DA3">
        <w:t xml:space="preserve"> area for working with the waste handling industry to investigate current waste handling practices and identifying appropriate actions required to ensure that the POPs in waste items are </w:t>
      </w:r>
      <w:r w:rsidR="00D103F1">
        <w:t xml:space="preserve">dealt with </w:t>
      </w:r>
      <w:r w:rsidR="00306DA3">
        <w:t>correctly</w:t>
      </w:r>
      <w:r w:rsidR="0046604B">
        <w:t xml:space="preserve"> (Wood, </w:t>
      </w:r>
      <w:r w:rsidR="00690A69">
        <w:t>unpublished c</w:t>
      </w:r>
      <w:r w:rsidR="0046604B">
        <w:t>)</w:t>
      </w:r>
      <w:r w:rsidR="00836FD6">
        <w:t>.</w:t>
      </w:r>
    </w:p>
    <w:p w14:paraId="1683C35E" w14:textId="5A79F2BE" w:rsidR="00C54416" w:rsidRDefault="00C54416" w:rsidP="008B3A27">
      <w:pPr>
        <w:rPr>
          <w:b/>
          <w:bCs/>
        </w:rPr>
      </w:pPr>
      <w:r w:rsidRPr="00817F84">
        <w:rPr>
          <w:b/>
          <w:bCs/>
        </w:rPr>
        <w:t xml:space="preserve">Soft furnishings working group </w:t>
      </w:r>
    </w:p>
    <w:p w14:paraId="0813580D" w14:textId="5FEB66FB" w:rsidR="00184534" w:rsidRDefault="00184534" w:rsidP="00BE7889">
      <w:r>
        <w:t xml:space="preserve">Following on from the report above, </w:t>
      </w:r>
      <w:r w:rsidR="00306DA3" w:rsidRPr="00264C79">
        <w:t>a Soft Furnishings Waste Working Group</w:t>
      </w:r>
      <w:r w:rsidR="00306DA3" w:rsidRPr="003235DF" w:rsidDel="004426D8">
        <w:t xml:space="preserve"> </w:t>
      </w:r>
      <w:r w:rsidR="002B67BC">
        <w:t xml:space="preserve">has been set up </w:t>
      </w:r>
      <w:r w:rsidR="00306DA3">
        <w:t>t</w:t>
      </w:r>
      <w:r w:rsidR="00264C79" w:rsidRPr="00264C79">
        <w:t xml:space="preserve">o </w:t>
      </w:r>
      <w:r w:rsidR="00191373">
        <w:t xml:space="preserve">consider </w:t>
      </w:r>
      <w:r w:rsidR="00D4495D">
        <w:t>a</w:t>
      </w:r>
      <w:r w:rsidR="00BE58C2">
        <w:t>ppropriate action</w:t>
      </w:r>
      <w:r w:rsidR="00306DA3">
        <w:t>s</w:t>
      </w:r>
      <w:r w:rsidR="00BE58C2">
        <w:t xml:space="preserve"> and next steps</w:t>
      </w:r>
      <w:r w:rsidR="00264C79" w:rsidRPr="00264C79">
        <w:t xml:space="preserve"> for </w:t>
      </w:r>
      <w:r w:rsidR="00BE58C2">
        <w:t xml:space="preserve">identifying and managing </w:t>
      </w:r>
      <w:r w:rsidR="00264C79" w:rsidRPr="00264C79">
        <w:t>POPs in soft furnishings waste</w:t>
      </w:r>
      <w:r w:rsidR="0040073C">
        <w:t xml:space="preserve">. </w:t>
      </w:r>
    </w:p>
    <w:p w14:paraId="283AF691" w14:textId="36147BAA" w:rsidR="00C141ED" w:rsidRDefault="00F91CF0" w:rsidP="00BE7889">
      <w:r>
        <w:t>Th</w:t>
      </w:r>
      <w:r w:rsidR="00306DA3">
        <w:t>e</w:t>
      </w:r>
      <w:r>
        <w:t xml:space="preserve"> group includes</w:t>
      </w:r>
      <w:r w:rsidR="00306DA3">
        <w:t xml:space="preserve"> membership from Defra, EA, Environmental Services Association, British Furniture Confederation, Chartered Institution of Wastes Management and National Association of Waste Disposal Officers. </w:t>
      </w:r>
      <w:r w:rsidR="009056B1">
        <w:t xml:space="preserve">Regulators from the devolved administrations </w:t>
      </w:r>
      <w:r w:rsidR="00DD7F44">
        <w:t>are also engaged in this work</w:t>
      </w:r>
      <w:r w:rsidR="009056B1">
        <w:t>.</w:t>
      </w:r>
    </w:p>
    <w:p w14:paraId="0FE65AF0" w14:textId="6703BEB7" w:rsidR="00100EE8" w:rsidRDefault="003536EB" w:rsidP="00BE7889">
      <w:r>
        <w:t xml:space="preserve">We will be working with </w:t>
      </w:r>
      <w:r w:rsidR="00306DA3">
        <w:t xml:space="preserve">the group </w:t>
      </w:r>
      <w:r>
        <w:t xml:space="preserve">to gather </w:t>
      </w:r>
      <w:r w:rsidR="00306DA3">
        <w:t>evide</w:t>
      </w:r>
      <w:r>
        <w:t xml:space="preserve">nce </w:t>
      </w:r>
      <w:r w:rsidR="00306DA3">
        <w:t xml:space="preserve">and data </w:t>
      </w:r>
      <w:r>
        <w:t>to</w:t>
      </w:r>
      <w:r w:rsidR="00100EE8">
        <w:t>:</w:t>
      </w:r>
    </w:p>
    <w:p w14:paraId="5A1D860C" w14:textId="15B864D4" w:rsidR="00100EE8" w:rsidRDefault="003536EB" w:rsidP="001A5709">
      <w:pPr>
        <w:pStyle w:val="ListParagraph"/>
        <w:numPr>
          <w:ilvl w:val="0"/>
          <w:numId w:val="68"/>
        </w:numPr>
      </w:pPr>
      <w:r>
        <w:t xml:space="preserve">better understand </w:t>
      </w:r>
      <w:r w:rsidR="00306DA3">
        <w:t>current soft furnishings waste management practices</w:t>
      </w:r>
      <w:r w:rsidR="006F265D">
        <w:t xml:space="preserve">, </w:t>
      </w:r>
    </w:p>
    <w:p w14:paraId="619DD67F" w14:textId="35CA794C" w:rsidR="009613A7" w:rsidRDefault="00306DA3">
      <w:pPr>
        <w:pStyle w:val="ListParagraph"/>
        <w:numPr>
          <w:ilvl w:val="0"/>
          <w:numId w:val="68"/>
        </w:numPr>
      </w:pPr>
      <w:r>
        <w:t>identify appropriate actions</w:t>
      </w:r>
      <w:r w:rsidR="003536EB">
        <w:t xml:space="preserve"> </w:t>
      </w:r>
      <w:r w:rsidR="00D0456D">
        <w:t xml:space="preserve">for changes to methods of waste handling </w:t>
      </w:r>
      <w:r w:rsidR="006F265D">
        <w:t xml:space="preserve">that will ensure that items of soft furnishings are safely dealt with in future according to international obligations and POPs legislation, </w:t>
      </w:r>
    </w:p>
    <w:p w14:paraId="67CDE455" w14:textId="64079466" w:rsidR="00264C79" w:rsidRPr="00264C79" w:rsidRDefault="009613A7" w:rsidP="002B67BC">
      <w:pPr>
        <w:ind w:left="60"/>
      </w:pPr>
      <w:r>
        <w:lastRenderedPageBreak/>
        <w:t>T</w:t>
      </w:r>
      <w:r w:rsidR="006F265D">
        <w:t>his programme of work will include</w:t>
      </w:r>
      <w:r w:rsidR="00264C79" w:rsidRPr="00264C79">
        <w:t xml:space="preserve"> develop</w:t>
      </w:r>
      <w:r w:rsidR="006F265D">
        <w:t>ing</w:t>
      </w:r>
      <w:r w:rsidR="00264C79" w:rsidRPr="00264C79">
        <w:t xml:space="preserve"> guidance </w:t>
      </w:r>
      <w:r w:rsidR="006F265D">
        <w:t>for waste handlers</w:t>
      </w:r>
      <w:r w:rsidR="00D0456D">
        <w:t xml:space="preserve">. We are planning to complete the programme of work </w:t>
      </w:r>
      <w:r w:rsidR="0046604B">
        <w:t>in</w:t>
      </w:r>
      <w:r w:rsidR="006F265D">
        <w:t xml:space="preserve"> 2022.</w:t>
      </w:r>
    </w:p>
    <w:p w14:paraId="13623D77" w14:textId="68123835" w:rsidR="00C54416" w:rsidRDefault="00C54416" w:rsidP="008B3A27">
      <w:pPr>
        <w:rPr>
          <w:b/>
          <w:bCs/>
        </w:rPr>
      </w:pPr>
      <w:r w:rsidRPr="00817F84">
        <w:rPr>
          <w:b/>
          <w:bCs/>
        </w:rPr>
        <w:t>Future work on</w:t>
      </w:r>
      <w:r w:rsidR="0046604B">
        <w:rPr>
          <w:b/>
          <w:bCs/>
        </w:rPr>
        <w:t xml:space="preserve"> waste management in other</w:t>
      </w:r>
      <w:r w:rsidR="00AF1446">
        <w:rPr>
          <w:b/>
          <w:bCs/>
        </w:rPr>
        <w:t xml:space="preserve"> sectors.</w:t>
      </w:r>
    </w:p>
    <w:p w14:paraId="3CFBFFC9" w14:textId="4D548CE3" w:rsidR="00510CD0" w:rsidRPr="000C28FA" w:rsidRDefault="00675A74" w:rsidP="000C28FA">
      <w:pPr>
        <w:rPr>
          <w:rFonts w:asciiTheme="minorHAnsi" w:eastAsia="Calibri" w:hAnsiTheme="minorHAnsi" w:cstheme="minorHAnsi"/>
          <w:szCs w:val="24"/>
        </w:rPr>
      </w:pPr>
      <w:r>
        <w:t>T</w:t>
      </w:r>
      <w:r w:rsidR="00B85EF2">
        <w:t>he UK recognise</w:t>
      </w:r>
      <w:r>
        <w:t>s</w:t>
      </w:r>
      <w:r w:rsidR="00B85EF2">
        <w:t xml:space="preserve"> that waste from construction and demolition </w:t>
      </w:r>
      <w:r>
        <w:t xml:space="preserve">and </w:t>
      </w:r>
      <w:r w:rsidR="0046604B">
        <w:t>end-of-life vehicle (ELV) treatment ma</w:t>
      </w:r>
      <w:r w:rsidR="00C449E3">
        <w:t>y</w:t>
      </w:r>
      <w:r>
        <w:t xml:space="preserve"> contain POPs</w:t>
      </w:r>
      <w:r w:rsidR="00D946ED">
        <w:t xml:space="preserve"> and will</w:t>
      </w:r>
      <w:r>
        <w:t xml:space="preserve"> explore the handling of waste from these sectors </w:t>
      </w:r>
      <w:r w:rsidR="00D946ED">
        <w:t>to determine if further work is required</w:t>
      </w:r>
      <w:r>
        <w:t xml:space="preserve">. </w:t>
      </w:r>
      <w:r w:rsidR="00614419">
        <w:t xml:space="preserve">An industry </w:t>
      </w:r>
      <w:r w:rsidR="0084441E">
        <w:t>funded p</w:t>
      </w:r>
      <w:r w:rsidR="00510CD0" w:rsidRPr="000C28FA">
        <w:rPr>
          <w:rFonts w:asciiTheme="minorHAnsi" w:eastAsia="Calibri" w:hAnsiTheme="minorHAnsi" w:cstheme="minorHAnsi"/>
          <w:szCs w:val="24"/>
        </w:rPr>
        <w:t>roject</w:t>
      </w:r>
      <w:r w:rsidR="00716912" w:rsidRPr="000C28FA">
        <w:rPr>
          <w:rFonts w:asciiTheme="minorHAnsi" w:eastAsia="Calibri" w:hAnsiTheme="minorHAnsi" w:cstheme="minorHAnsi"/>
          <w:szCs w:val="24"/>
        </w:rPr>
        <w:t>,</w:t>
      </w:r>
      <w:r w:rsidR="002E0CA3">
        <w:rPr>
          <w:rFonts w:asciiTheme="minorHAnsi" w:eastAsia="Calibri" w:hAnsiTheme="minorHAnsi" w:cstheme="minorHAnsi"/>
          <w:szCs w:val="24"/>
        </w:rPr>
        <w:t xml:space="preserve"> to collect and test samples</w:t>
      </w:r>
      <w:r w:rsidR="00716912" w:rsidRPr="000C28FA">
        <w:rPr>
          <w:rFonts w:asciiTheme="minorHAnsi" w:eastAsia="Calibri" w:hAnsiTheme="minorHAnsi" w:cstheme="minorHAnsi"/>
          <w:szCs w:val="24"/>
        </w:rPr>
        <w:t xml:space="preserve"> </w:t>
      </w:r>
      <w:r w:rsidR="0046604B">
        <w:rPr>
          <w:rFonts w:asciiTheme="minorHAnsi" w:eastAsia="Calibri" w:hAnsiTheme="minorHAnsi" w:cstheme="minorHAnsi"/>
          <w:szCs w:val="24"/>
        </w:rPr>
        <w:t xml:space="preserve">from ELV treatment facilities </w:t>
      </w:r>
      <w:r w:rsidR="00716912" w:rsidRPr="000C28FA">
        <w:rPr>
          <w:rFonts w:asciiTheme="minorHAnsi" w:eastAsia="Calibri" w:hAnsiTheme="minorHAnsi" w:cstheme="minorHAnsi"/>
          <w:szCs w:val="24"/>
        </w:rPr>
        <w:t>is currently on hold due to covid-19</w:t>
      </w:r>
      <w:r w:rsidR="00195634">
        <w:rPr>
          <w:rFonts w:asciiTheme="minorHAnsi" w:eastAsia="Calibri" w:hAnsiTheme="minorHAnsi" w:cstheme="minorHAnsi"/>
          <w:szCs w:val="24"/>
        </w:rPr>
        <w:t xml:space="preserve">. </w:t>
      </w:r>
    </w:p>
    <w:p w14:paraId="1FC5997D" w14:textId="21F47F56" w:rsidR="008B3A27" w:rsidRDefault="008B3A27" w:rsidP="008B3A27">
      <w:pPr>
        <w:pStyle w:val="Heading3"/>
      </w:pPr>
      <w:r>
        <w:t xml:space="preserve">Measures to reduce or eliminate releases of </w:t>
      </w:r>
      <w:r w:rsidR="004901F2">
        <w:t>S</w:t>
      </w:r>
      <w:r w:rsidR="00F72ADF">
        <w:t>CCPs</w:t>
      </w:r>
    </w:p>
    <w:p w14:paraId="6F997D30" w14:textId="31945102" w:rsidR="00F53A42" w:rsidRPr="00256019" w:rsidRDefault="00256019" w:rsidP="00D903F2">
      <w:pPr>
        <w:rPr>
          <w:b/>
          <w:bCs/>
          <w:lang w:val="en"/>
        </w:rPr>
      </w:pPr>
      <w:r>
        <w:rPr>
          <w:b/>
          <w:bCs/>
          <w:lang w:val="en"/>
        </w:rPr>
        <w:t>Further a</w:t>
      </w:r>
      <w:r w:rsidR="00F53A42" w:rsidRPr="00256019">
        <w:rPr>
          <w:b/>
          <w:bCs/>
          <w:lang w:val="en"/>
        </w:rPr>
        <w:t xml:space="preserve">ssessment of chlorinated paraffins </w:t>
      </w:r>
    </w:p>
    <w:p w14:paraId="59470D31" w14:textId="50D50143" w:rsidR="001F3160" w:rsidRDefault="00975F14" w:rsidP="001F3160">
      <w:r w:rsidRPr="00975F14">
        <w:rPr>
          <w:lang w:val="en"/>
        </w:rPr>
        <w:t xml:space="preserve">The UK has been at the forefront of </w:t>
      </w:r>
      <w:r w:rsidR="00577DF9">
        <w:rPr>
          <w:lang w:val="en"/>
        </w:rPr>
        <w:t>assessment of</w:t>
      </w:r>
      <w:r w:rsidRPr="00975F14">
        <w:rPr>
          <w:lang w:val="en"/>
        </w:rPr>
        <w:t xml:space="preserve"> chlorinated paraffins and further studies have </w:t>
      </w:r>
      <w:r w:rsidRPr="00577DF9">
        <w:rPr>
          <w:szCs w:val="24"/>
          <w:lang w:val="en"/>
        </w:rPr>
        <w:t xml:space="preserve">identified </w:t>
      </w:r>
      <w:r w:rsidR="00577DF9">
        <w:rPr>
          <w:szCs w:val="24"/>
          <w:lang w:val="en"/>
        </w:rPr>
        <w:t xml:space="preserve">that </w:t>
      </w:r>
      <w:r w:rsidRPr="00577DF9">
        <w:rPr>
          <w:szCs w:val="24"/>
          <w:lang w:val="en"/>
        </w:rPr>
        <w:t>chlorinated paraffins with carbon chain lengths in the range of C</w:t>
      </w:r>
      <w:r w:rsidRPr="00577DF9">
        <w:rPr>
          <w:szCs w:val="24"/>
          <w:vertAlign w:val="subscript"/>
          <w:lang w:val="en"/>
        </w:rPr>
        <w:t xml:space="preserve">14 </w:t>
      </w:r>
      <w:r w:rsidRPr="00577DF9">
        <w:rPr>
          <w:szCs w:val="24"/>
          <w:lang w:val="en"/>
        </w:rPr>
        <w:t>to C</w:t>
      </w:r>
      <w:r w:rsidRPr="00577DF9">
        <w:rPr>
          <w:szCs w:val="24"/>
          <w:vertAlign w:val="subscript"/>
          <w:lang w:val="en"/>
        </w:rPr>
        <w:t>17</w:t>
      </w:r>
      <w:r w:rsidRPr="00577DF9">
        <w:rPr>
          <w:szCs w:val="24"/>
          <w:lang w:val="en"/>
        </w:rPr>
        <w:t xml:space="preserve"> </w:t>
      </w:r>
      <w:r w:rsidR="00EC115C" w:rsidRPr="00577DF9">
        <w:rPr>
          <w:szCs w:val="24"/>
          <w:lang w:val="en"/>
        </w:rPr>
        <w:t xml:space="preserve">and </w:t>
      </w:r>
      <w:r w:rsidR="00EC115C" w:rsidRPr="00D903F2">
        <w:rPr>
          <w:rStyle w:val="normaltextrun"/>
          <w:rFonts w:cs="Arial"/>
          <w:color w:val="000000"/>
          <w:szCs w:val="24"/>
          <w:shd w:val="clear" w:color="auto" w:fill="FFFFFF"/>
        </w:rPr>
        <w:t>chlorination levels ≥45% chlorine by weight</w:t>
      </w:r>
      <w:r w:rsidR="00EC115C" w:rsidRPr="00577DF9">
        <w:rPr>
          <w:szCs w:val="24"/>
          <w:lang w:val="en"/>
        </w:rPr>
        <w:t xml:space="preserve"> </w:t>
      </w:r>
      <w:r w:rsidRPr="00577DF9">
        <w:rPr>
          <w:szCs w:val="24"/>
          <w:lang w:val="en"/>
        </w:rPr>
        <w:t>as a possible candidate for listing as a POP.</w:t>
      </w:r>
      <w:r w:rsidR="00F53A42">
        <w:rPr>
          <w:szCs w:val="24"/>
          <w:lang w:val="en"/>
        </w:rPr>
        <w:t xml:space="preserve"> This includes constituents of the substance known as </w:t>
      </w:r>
      <w:r w:rsidR="00CF048D">
        <w:rPr>
          <w:szCs w:val="24"/>
          <w:lang w:val="en"/>
        </w:rPr>
        <w:t>medium-chain chlorinated paraffins (</w:t>
      </w:r>
      <w:r w:rsidR="00F53A42">
        <w:rPr>
          <w:szCs w:val="24"/>
          <w:lang w:val="en"/>
        </w:rPr>
        <w:t>MCCPs</w:t>
      </w:r>
      <w:r w:rsidR="00656D9D">
        <w:rPr>
          <w:szCs w:val="24"/>
          <w:lang w:val="en"/>
        </w:rPr>
        <w:t>)</w:t>
      </w:r>
      <w:r w:rsidR="00F53A42">
        <w:rPr>
          <w:szCs w:val="24"/>
          <w:lang w:val="en"/>
        </w:rPr>
        <w:t xml:space="preserve"> in Europe, North America and Australia.</w:t>
      </w:r>
      <w:r w:rsidR="00EC115C">
        <w:rPr>
          <w:szCs w:val="24"/>
          <w:lang w:val="en"/>
        </w:rPr>
        <w:t xml:space="preserve"> A draft proposal to list has been prepared and was published for comment on 18 January 2021 </w:t>
      </w:r>
      <w:hyperlink r:id="rId25" w:history="1">
        <w:r w:rsidR="00EC115C" w:rsidRPr="00144907">
          <w:rPr>
            <w:rStyle w:val="Hyperlink"/>
            <w:szCs w:val="24"/>
            <w:lang w:val="en"/>
          </w:rPr>
          <w:t>https://www.gov.uk/government/publications/chlorinated-paraffins-with-carbon-chain-lengths-in-the-range-c14-17</w:t>
        </w:r>
      </w:hyperlink>
      <w:r w:rsidR="001F3160">
        <w:rPr>
          <w:szCs w:val="24"/>
          <w:lang w:val="en"/>
        </w:rPr>
        <w:t xml:space="preserve">. </w:t>
      </w:r>
      <w:r w:rsidR="001F3160" w:rsidRPr="00577DF9">
        <w:rPr>
          <w:szCs w:val="24"/>
          <w:lang w:val="en"/>
        </w:rPr>
        <w:t>If the UK decide</w:t>
      </w:r>
      <w:r w:rsidR="001F3160">
        <w:rPr>
          <w:szCs w:val="24"/>
          <w:lang w:val="en"/>
        </w:rPr>
        <w:t>s</w:t>
      </w:r>
      <w:r w:rsidR="001F3160" w:rsidRPr="00577DF9">
        <w:rPr>
          <w:szCs w:val="24"/>
          <w:lang w:val="en"/>
        </w:rPr>
        <w:t xml:space="preserve"> that the evidence suggests th</w:t>
      </w:r>
      <w:r w:rsidR="001F3160">
        <w:rPr>
          <w:szCs w:val="24"/>
          <w:lang w:val="en"/>
        </w:rPr>
        <w:t>at these substances</w:t>
      </w:r>
      <w:r w:rsidR="001F3160" w:rsidRPr="00577DF9">
        <w:rPr>
          <w:szCs w:val="24"/>
          <w:lang w:val="en"/>
        </w:rPr>
        <w:t xml:space="preserve"> fulfil the POPs criteria, a </w:t>
      </w:r>
      <w:r w:rsidR="001F3160">
        <w:rPr>
          <w:szCs w:val="24"/>
          <w:lang w:val="en"/>
        </w:rPr>
        <w:t xml:space="preserve">final </w:t>
      </w:r>
      <w:r w:rsidR="001F3160" w:rsidRPr="00577DF9">
        <w:rPr>
          <w:szCs w:val="24"/>
          <w:lang w:val="en"/>
        </w:rPr>
        <w:t>proposal will be submitted to the POPs Review Committee</w:t>
      </w:r>
      <w:r w:rsidR="001F3160">
        <w:rPr>
          <w:szCs w:val="24"/>
          <w:lang w:val="en"/>
        </w:rPr>
        <w:t>.</w:t>
      </w:r>
      <w:r w:rsidR="001F3160" w:rsidRPr="00577DF9" w:rsidDel="00D903F2">
        <w:rPr>
          <w:szCs w:val="24"/>
          <w:lang w:val="en"/>
        </w:rPr>
        <w:t xml:space="preserve"> </w:t>
      </w:r>
      <w:r w:rsidR="001F3160">
        <w:rPr>
          <w:szCs w:val="24"/>
          <w:lang w:val="en"/>
        </w:rPr>
        <w:t xml:space="preserve">  </w:t>
      </w:r>
    </w:p>
    <w:p w14:paraId="1053100F" w14:textId="346342DD" w:rsidR="001F3160" w:rsidRDefault="00EC115C" w:rsidP="00D903F2">
      <w:pPr>
        <w:rPr>
          <w:rStyle w:val="normaltextrun"/>
          <w:rFonts w:cs="Arial"/>
          <w:szCs w:val="24"/>
        </w:rPr>
      </w:pPr>
      <w:r>
        <w:rPr>
          <w:rStyle w:val="normaltextrun"/>
          <w:rFonts w:cs="Arial"/>
          <w:szCs w:val="24"/>
        </w:rPr>
        <w:t>Th</w:t>
      </w:r>
      <w:r w:rsidR="00D903F2">
        <w:rPr>
          <w:rStyle w:val="normaltextrun"/>
          <w:rFonts w:cs="Arial"/>
          <w:szCs w:val="24"/>
        </w:rPr>
        <w:t>is</w:t>
      </w:r>
      <w:r>
        <w:rPr>
          <w:rStyle w:val="normaltextrun"/>
          <w:rFonts w:cs="Arial"/>
          <w:szCs w:val="24"/>
        </w:rPr>
        <w:t xml:space="preserve"> work is relevant to SCCPs because </w:t>
      </w:r>
      <w:r w:rsidR="001F3160">
        <w:rPr>
          <w:rStyle w:val="normaltextrun"/>
          <w:rFonts w:cs="Arial"/>
          <w:szCs w:val="24"/>
        </w:rPr>
        <w:t xml:space="preserve">some chlorinated paraffin products that remain on the market, which are manufactured in </w:t>
      </w:r>
      <w:r w:rsidR="003D0D33">
        <w:rPr>
          <w:rStyle w:val="normaltextrun"/>
          <w:rFonts w:cs="Arial"/>
          <w:szCs w:val="24"/>
        </w:rPr>
        <w:t>some</w:t>
      </w:r>
      <w:r w:rsidR="001F3160">
        <w:rPr>
          <w:rStyle w:val="normaltextrun"/>
          <w:rFonts w:cs="Arial"/>
          <w:szCs w:val="24"/>
        </w:rPr>
        <w:t xml:space="preserve"> countries, may contain SCCPs as minor constituents. This is due to the use of different approaches to substance definition in different parts of the world (Environment Agency, 2021). A new listing of this </w:t>
      </w:r>
      <w:r w:rsidR="00477FAD">
        <w:rPr>
          <w:rStyle w:val="normaltextrun"/>
          <w:rFonts w:cs="Arial"/>
          <w:szCs w:val="24"/>
        </w:rPr>
        <w:t>additional</w:t>
      </w:r>
      <w:r w:rsidR="001F3160">
        <w:rPr>
          <w:rStyle w:val="normaltextrun"/>
          <w:rFonts w:cs="Arial"/>
          <w:szCs w:val="24"/>
        </w:rPr>
        <w:t xml:space="preserve"> group of chlorinated paraffins could, therefore, reduce emissions of SCCPs.</w:t>
      </w:r>
    </w:p>
    <w:p w14:paraId="4215D3CD" w14:textId="71C5FBFF" w:rsidR="008B3A27" w:rsidRDefault="00824EFA" w:rsidP="00577DF9">
      <w:pPr>
        <w:pStyle w:val="Heading3"/>
      </w:pPr>
      <w:r>
        <w:t xml:space="preserve">Measures to </w:t>
      </w:r>
      <w:r w:rsidR="00164CAC">
        <w:t xml:space="preserve">reduce or eliminate releases of </w:t>
      </w:r>
      <w:r w:rsidR="00372D79">
        <w:t>Hexachlorobutadiene (HCBD)</w:t>
      </w:r>
    </w:p>
    <w:p w14:paraId="3FF6C942" w14:textId="7E196188" w:rsidR="00164CAC" w:rsidRDefault="00164CAC" w:rsidP="00345D4B">
      <w:pPr>
        <w:rPr>
          <w:i/>
          <w:iCs/>
        </w:rPr>
      </w:pPr>
      <w:r>
        <w:t>A</w:t>
      </w:r>
      <w:r w:rsidRPr="00014B09">
        <w:t>ccording to industry estimates of HCBD</w:t>
      </w:r>
      <w:r w:rsidR="00477FAD">
        <w:t>,</w:t>
      </w:r>
      <w:r w:rsidRPr="00014B09">
        <w:t xml:space="preserve"> emissions to air from European chlor-alkali production sites are close to zero (CEFIC, 2004). </w:t>
      </w:r>
      <w:r w:rsidR="0043155C">
        <w:t>We consider that n</w:t>
      </w:r>
      <w:r>
        <w:t>o new measures are required</w:t>
      </w:r>
      <w:r w:rsidR="00EB1E3B">
        <w:t xml:space="preserve"> but we will continue to review this</w:t>
      </w:r>
      <w:r>
        <w:t xml:space="preserve">. </w:t>
      </w:r>
    </w:p>
    <w:p w14:paraId="6982CF59" w14:textId="3DFD9EFE" w:rsidR="00C54416" w:rsidRPr="00C54416" w:rsidRDefault="003A1F61" w:rsidP="00C54416">
      <w:pPr>
        <w:pStyle w:val="Heading3"/>
      </w:pPr>
      <w:r>
        <w:t xml:space="preserve">Measures to reduce or eliminate releases of </w:t>
      </w:r>
      <w:r w:rsidR="008B3A27">
        <w:t>Dicofol</w:t>
      </w:r>
    </w:p>
    <w:p w14:paraId="7809E3EC" w14:textId="456731BA" w:rsidR="008B3A27" w:rsidRDefault="00164CAC" w:rsidP="008B3A27">
      <w:r>
        <w:t>Dicofol is no longer</w:t>
      </w:r>
      <w:r w:rsidR="00C54416">
        <w:t xml:space="preserve"> </w:t>
      </w:r>
      <w:r>
        <w:t xml:space="preserve">produced or used in the UK. </w:t>
      </w:r>
      <w:r w:rsidR="0043155C">
        <w:t>We consider that n</w:t>
      </w:r>
      <w:r>
        <w:t>o measures are required.</w:t>
      </w:r>
      <w:r w:rsidR="00C54416">
        <w:t xml:space="preserve"> </w:t>
      </w:r>
    </w:p>
    <w:p w14:paraId="029BBC57" w14:textId="15119212" w:rsidR="00C54416" w:rsidRDefault="003A1F61" w:rsidP="00C54416">
      <w:pPr>
        <w:pStyle w:val="Heading3"/>
      </w:pPr>
      <w:r>
        <w:lastRenderedPageBreak/>
        <w:t xml:space="preserve">Measures to reduce or eliminate releases of </w:t>
      </w:r>
      <w:r w:rsidR="00C54416">
        <w:t>PFOA</w:t>
      </w:r>
    </w:p>
    <w:p w14:paraId="0FFB82F7" w14:textId="7BDE3831" w:rsidR="00182758" w:rsidRPr="00710A1C" w:rsidRDefault="00710A1C" w:rsidP="00182758">
      <w:r>
        <w:t xml:space="preserve">In early 2019 the UK undertook a literature study into </w:t>
      </w:r>
      <w:r w:rsidR="00C54416">
        <w:t>PFOA in fire</w:t>
      </w:r>
      <w:r w:rsidR="006266FD">
        <w:t>-</w:t>
      </w:r>
      <w:r w:rsidR="00C54416">
        <w:t>fighting foams</w:t>
      </w:r>
      <w:r w:rsidR="00182758">
        <w:t>. The report considered</w:t>
      </w:r>
      <w:r w:rsidR="00DF63D2">
        <w:t xml:space="preserve"> the cost of phasing out PFOA containing firefighting foams in the UK, and the availability of suitable alternatives in April 2019</w:t>
      </w:r>
      <w:r>
        <w:t xml:space="preserve">. </w:t>
      </w:r>
      <w:r w:rsidR="00182758">
        <w:t>It</w:t>
      </w:r>
      <w:r w:rsidR="00DF63D2" w:rsidRPr="00DF63D2">
        <w:t xml:space="preserve"> </w:t>
      </w:r>
      <w:r w:rsidRPr="00710A1C">
        <w:t>look</w:t>
      </w:r>
      <w:r>
        <w:t>ed</w:t>
      </w:r>
      <w:r w:rsidRPr="00710A1C">
        <w:t xml:space="preserve"> at:</w:t>
      </w:r>
    </w:p>
    <w:p w14:paraId="347783E9" w14:textId="007F432B" w:rsidR="00182758" w:rsidRPr="00710A1C" w:rsidRDefault="00710A1C" w:rsidP="001A5709">
      <w:pPr>
        <w:pStyle w:val="ListParagraph"/>
        <w:numPr>
          <w:ilvl w:val="0"/>
          <w:numId w:val="45"/>
        </w:numPr>
      </w:pPr>
      <w:r w:rsidRPr="00710A1C">
        <w:t>Uses of PFOA-containing firefighting foams</w:t>
      </w:r>
    </w:p>
    <w:p w14:paraId="68801070" w14:textId="049AD219" w:rsidR="00182758" w:rsidRPr="00710A1C" w:rsidRDefault="00710A1C">
      <w:pPr>
        <w:pStyle w:val="ListParagraph"/>
        <w:numPr>
          <w:ilvl w:val="0"/>
          <w:numId w:val="45"/>
        </w:numPr>
      </w:pPr>
      <w:r w:rsidRPr="00710A1C">
        <w:t>Current stockpiles of PFOA-containing firefighting foams in the United Kingdom</w:t>
      </w:r>
    </w:p>
    <w:p w14:paraId="4C97720B" w14:textId="3EF3C622" w:rsidR="00182758" w:rsidRPr="00710A1C" w:rsidRDefault="00710A1C">
      <w:pPr>
        <w:pStyle w:val="ListParagraph"/>
        <w:numPr>
          <w:ilvl w:val="0"/>
          <w:numId w:val="45"/>
        </w:numPr>
      </w:pPr>
      <w:r w:rsidRPr="00710A1C">
        <w:t xml:space="preserve">Availability of suitable alternatives </w:t>
      </w:r>
    </w:p>
    <w:p w14:paraId="5D9E2BB1" w14:textId="77777777" w:rsidR="00710A1C" w:rsidRPr="00710A1C" w:rsidRDefault="00710A1C">
      <w:pPr>
        <w:pStyle w:val="ListParagraph"/>
        <w:numPr>
          <w:ilvl w:val="0"/>
          <w:numId w:val="45"/>
        </w:numPr>
      </w:pPr>
      <w:r w:rsidRPr="00710A1C">
        <w:t xml:space="preserve">Disposal cost and capacity </w:t>
      </w:r>
    </w:p>
    <w:p w14:paraId="626C71BE" w14:textId="143EEAFF" w:rsidR="006B7749" w:rsidRDefault="006B7749" w:rsidP="00182758">
      <w:pPr>
        <w:rPr>
          <w:rFonts w:ascii="Open Sans" w:hAnsi="Open Sans" w:cs="Open Sans"/>
          <w:color w:val="575756"/>
          <w:sz w:val="22"/>
          <w:shd w:val="clear" w:color="auto" w:fill="FFFFFF"/>
          <w:lang w:val="en-US"/>
        </w:rPr>
      </w:pPr>
      <w:r w:rsidRPr="006B7749">
        <w:rPr>
          <w:lang w:val="en-US"/>
        </w:rPr>
        <w:t xml:space="preserve">The </w:t>
      </w:r>
      <w:r w:rsidR="00182758">
        <w:rPr>
          <w:lang w:val="en-US"/>
        </w:rPr>
        <w:t xml:space="preserve">study </w:t>
      </w:r>
      <w:r w:rsidRPr="006B7749">
        <w:rPr>
          <w:lang w:val="en-US"/>
        </w:rPr>
        <w:t xml:space="preserve">results indicate there are suitable alternatives available in </w:t>
      </w:r>
      <w:proofErr w:type="gramStart"/>
      <w:r w:rsidRPr="006B7749">
        <w:rPr>
          <w:lang w:val="en-US"/>
        </w:rPr>
        <w:t>sufficient</w:t>
      </w:r>
      <w:proofErr w:type="gramEnd"/>
      <w:r w:rsidRPr="006B7749">
        <w:rPr>
          <w:lang w:val="en-US"/>
        </w:rPr>
        <w:t xml:space="preserve"> supply to replace existing stockpiles of PFOA-containing F</w:t>
      </w:r>
      <w:r>
        <w:rPr>
          <w:lang w:val="en-US"/>
        </w:rPr>
        <w:t xml:space="preserve">ire </w:t>
      </w:r>
      <w:r w:rsidRPr="006B7749">
        <w:rPr>
          <w:lang w:val="en-US"/>
        </w:rPr>
        <w:t>F</w:t>
      </w:r>
      <w:r>
        <w:rPr>
          <w:lang w:val="en-US"/>
        </w:rPr>
        <w:t xml:space="preserve">ighting </w:t>
      </w:r>
      <w:r w:rsidRPr="006B7749">
        <w:rPr>
          <w:lang w:val="en-US"/>
        </w:rPr>
        <w:t>F</w:t>
      </w:r>
      <w:r>
        <w:rPr>
          <w:lang w:val="en-US"/>
        </w:rPr>
        <w:t>oam</w:t>
      </w:r>
      <w:r w:rsidRPr="006B7749">
        <w:rPr>
          <w:lang w:val="en-US"/>
        </w:rPr>
        <w:t>s</w:t>
      </w:r>
      <w:r>
        <w:rPr>
          <w:lang w:val="en-US"/>
        </w:rPr>
        <w:t xml:space="preserve"> (FFF)</w:t>
      </w:r>
      <w:r w:rsidRPr="006B7749">
        <w:rPr>
          <w:lang w:val="en-US"/>
        </w:rPr>
        <w:t>. The main two types of alternative FFFs are referred to as C6 AFFFs (aqueous film-forming foams based on substances with </w:t>
      </w:r>
      <w:proofErr w:type="spellStart"/>
      <w:r w:rsidRPr="006B7749">
        <w:rPr>
          <w:lang w:val="en-US"/>
        </w:rPr>
        <w:t>perfluorinated</w:t>
      </w:r>
      <w:proofErr w:type="spellEnd"/>
      <w:r w:rsidRPr="006B7749">
        <w:rPr>
          <w:lang w:val="en-US"/>
        </w:rPr>
        <w:t> carbon chain lengths of 6 atoms) and fluorine free foams</w:t>
      </w:r>
      <w:r>
        <w:rPr>
          <w:lang w:val="en-US"/>
        </w:rPr>
        <w:t>.</w:t>
      </w:r>
      <w:r w:rsidRPr="006B7749">
        <w:rPr>
          <w:rFonts w:ascii="Open Sans" w:hAnsi="Open Sans" w:cs="Open Sans"/>
          <w:color w:val="575756"/>
          <w:sz w:val="22"/>
          <w:shd w:val="clear" w:color="auto" w:fill="FFFFFF"/>
          <w:lang w:val="en-US"/>
        </w:rPr>
        <w:t xml:space="preserve"> </w:t>
      </w:r>
    </w:p>
    <w:p w14:paraId="0F813ADC" w14:textId="0E3FA2C8" w:rsidR="00DF63D2" w:rsidRDefault="006B7749" w:rsidP="00C54416">
      <w:pPr>
        <w:rPr>
          <w:lang w:val="en-US"/>
        </w:rPr>
      </w:pPr>
      <w:r w:rsidRPr="006B7749">
        <w:rPr>
          <w:lang w:val="en-US"/>
        </w:rPr>
        <w:t>The main barriers for affected users substituting to these alternative FFFs appears to be the costs of replacing existing stockpiles and the capacity constraints of high temperature incineration in the UK, as this is one of the few ways of</w:t>
      </w:r>
      <w:r>
        <w:rPr>
          <w:lang w:val="en-US"/>
        </w:rPr>
        <w:t xml:space="preserve"> </w:t>
      </w:r>
      <w:r w:rsidRPr="006B7749">
        <w:rPr>
          <w:lang w:val="en-US"/>
        </w:rPr>
        <w:t>safely dispos</w:t>
      </w:r>
      <w:r w:rsidR="00182758">
        <w:rPr>
          <w:lang w:val="en-US"/>
        </w:rPr>
        <w:t>ing</w:t>
      </w:r>
      <w:r w:rsidRPr="006B7749">
        <w:rPr>
          <w:lang w:val="en-US"/>
        </w:rPr>
        <w:t xml:space="preserve"> of these foam</w:t>
      </w:r>
      <w:r w:rsidR="00182758">
        <w:rPr>
          <w:lang w:val="en-US"/>
        </w:rPr>
        <w:t>s</w:t>
      </w:r>
      <w:r w:rsidR="004A7EF3">
        <w:rPr>
          <w:lang w:val="en-US"/>
        </w:rPr>
        <w:t xml:space="preserve"> (</w:t>
      </w:r>
      <w:proofErr w:type="spellStart"/>
      <w:r w:rsidR="004A7EF3">
        <w:rPr>
          <w:lang w:val="en-US"/>
        </w:rPr>
        <w:t>Eftec</w:t>
      </w:r>
      <w:proofErr w:type="spellEnd"/>
      <w:r w:rsidR="004A7EF3">
        <w:rPr>
          <w:lang w:val="en-US"/>
        </w:rPr>
        <w:t>, 2019. Unpublished)</w:t>
      </w:r>
      <w:r w:rsidR="00182758">
        <w:rPr>
          <w:lang w:val="en-US"/>
        </w:rPr>
        <w:t>.</w:t>
      </w:r>
    </w:p>
    <w:p w14:paraId="4B4BE731" w14:textId="2344C26B" w:rsidR="009D431F" w:rsidRPr="005D60DF" w:rsidRDefault="009D431F" w:rsidP="009D431F">
      <w:r w:rsidRPr="005D60DF">
        <w:t xml:space="preserve">The UK competent authorities will work with suppliers and users of </w:t>
      </w:r>
      <w:r w:rsidR="005F70AC">
        <w:t>FFF</w:t>
      </w:r>
      <w:r w:rsidRPr="005D60DF">
        <w:t xml:space="preserve"> ahead of the 2023 and 2025 deadlines to ensure that stockpiles and waste are managed as required by the regulations.</w:t>
      </w:r>
    </w:p>
    <w:p w14:paraId="6690296B" w14:textId="088685C7" w:rsidR="005D60DF" w:rsidRPr="005D60DF" w:rsidRDefault="005D60DF" w:rsidP="009D431F">
      <w:r w:rsidRPr="00DA356D">
        <w:t>In 2020 the UK completed initial</w:t>
      </w:r>
      <w:r w:rsidRPr="005D60DF">
        <w:rPr>
          <w:b/>
          <w:bCs/>
        </w:rPr>
        <w:t> </w:t>
      </w:r>
      <w:r w:rsidRPr="005D60DF">
        <w:t xml:space="preserve">development of a multi-media emission source inventory for PFOA, its salts and PFOA-related compounds. </w:t>
      </w:r>
      <w:r w:rsidR="00DA356D">
        <w:t>The UK will report on this further in the next NIP update.</w:t>
      </w:r>
      <w:r w:rsidRPr="005D60DF">
        <w:t> </w:t>
      </w:r>
    </w:p>
    <w:p w14:paraId="04F2E173" w14:textId="08548960" w:rsidR="00084B2B" w:rsidRDefault="005D60DF" w:rsidP="00084B2B">
      <w:r w:rsidRPr="005D60DF">
        <w:rPr>
          <w:rFonts w:eastAsia="Times New Roman"/>
          <w:szCs w:val="24"/>
        </w:rPr>
        <w:t>Defra and the EA have set up a coordinated programme of work that will help us to assess levels of PFAS occurring in the environment, to identify sources and potential risks, and to inform future policy and regulatory approaches. This work will include the development of new analytical methods, mapping of legacy uses, and water company investigations to understand removal of PFAS during wastewater treatment. The EA has already been progressively adding PFAS chemicals to its surveillance monitoring programmes.</w:t>
      </w:r>
      <w:r w:rsidR="00084B2B" w:rsidRPr="00084B2B">
        <w:t xml:space="preserve"> Defra and the EA have set up a coordinated</w:t>
      </w:r>
      <w:r w:rsidR="00084B2B" w:rsidRPr="00CF1763">
        <w:t>, cross government</w:t>
      </w:r>
      <w:r w:rsidR="00C669A1">
        <w:t>,</w:t>
      </w:r>
      <w:r w:rsidR="00084B2B" w:rsidRPr="00CF1763">
        <w:t xml:space="preserve"> agency and administration</w:t>
      </w:r>
      <w:r w:rsidR="00084B2B" w:rsidRPr="00084B2B">
        <w:rPr>
          <w:u w:val="single"/>
        </w:rPr>
        <w:t xml:space="preserve"> </w:t>
      </w:r>
      <w:r w:rsidR="00084B2B" w:rsidRPr="00084B2B">
        <w:t>programme of work that will help us to assess levels of PFAS occurring in the environment, to identify sources and potential risks, and to inform future policy and regulatory approaches.</w:t>
      </w:r>
    </w:p>
    <w:p w14:paraId="22DE55DB" w14:textId="753E4556" w:rsidR="005D60DF" w:rsidRDefault="005D60DF" w:rsidP="009D431F">
      <w:r>
        <w:t>F</w:t>
      </w:r>
      <w:r w:rsidR="00010671">
        <w:t xml:space="preserve">urther </w:t>
      </w:r>
      <w:r>
        <w:t xml:space="preserve">work on PFOA will be covered in more depth </w:t>
      </w:r>
      <w:r w:rsidR="00010671">
        <w:t>in the next update</w:t>
      </w:r>
      <w:r w:rsidR="009D431F">
        <w:t>.</w:t>
      </w:r>
      <w:r w:rsidR="00010671">
        <w:t xml:space="preserve"> </w:t>
      </w:r>
    </w:p>
    <w:p w14:paraId="669D8065" w14:textId="1DF581CD" w:rsidR="008B3A27" w:rsidRDefault="00571A2F" w:rsidP="00EB778D">
      <w:pPr>
        <w:pStyle w:val="Heading2"/>
      </w:pPr>
      <w:bookmarkStart w:id="31" w:name="_Toc67030070"/>
      <w:r>
        <w:t>A</w:t>
      </w:r>
      <w:r w:rsidR="001948FE">
        <w:t>ction</w:t>
      </w:r>
      <w:r>
        <w:t xml:space="preserve"> on existing POPs</w:t>
      </w:r>
      <w:bookmarkEnd w:id="31"/>
    </w:p>
    <w:p w14:paraId="2A94EAB7" w14:textId="4704753A" w:rsidR="00967499" w:rsidRDefault="00967499" w:rsidP="008B3A27">
      <w:r>
        <w:t xml:space="preserve">“Existing POPs” are those listed under the Convention </w:t>
      </w:r>
      <w:r w:rsidR="00393223">
        <w:t>before 2017 (COP</w:t>
      </w:r>
      <w:r w:rsidR="009D431F">
        <w:t xml:space="preserve"> </w:t>
      </w:r>
      <w:r w:rsidR="00393223">
        <w:t>8).</w:t>
      </w:r>
    </w:p>
    <w:p w14:paraId="710C219E" w14:textId="1E650863" w:rsidR="00571A2F" w:rsidRDefault="00571A2F" w:rsidP="008B3A27">
      <w:r>
        <w:lastRenderedPageBreak/>
        <w:t>This section includes an update on commitments made in the 2017 NIP along with any other action on existing POPs</w:t>
      </w:r>
      <w:r w:rsidR="64662C09">
        <w:t>,</w:t>
      </w:r>
      <w:r w:rsidR="00A62635">
        <w:t xml:space="preserve"> </w:t>
      </w:r>
      <w:r w:rsidR="00CD4899">
        <w:t>A</w:t>
      </w:r>
      <w:r w:rsidR="002353E3">
        <w:t>ll actions from the last NIP have been comp</w:t>
      </w:r>
      <w:r w:rsidR="00F005E7">
        <w:t xml:space="preserve">leted or </w:t>
      </w:r>
      <w:r w:rsidR="00DD1DE3">
        <w:t xml:space="preserve">are necessarily ongoing, apart from </w:t>
      </w:r>
      <w:r w:rsidR="00794E25">
        <w:t xml:space="preserve">the </w:t>
      </w:r>
      <w:r w:rsidR="00531BB9">
        <w:t xml:space="preserve">sampling for </w:t>
      </w:r>
      <w:r w:rsidR="00794E25">
        <w:t>landfill leacha</w:t>
      </w:r>
      <w:r w:rsidR="00531BB9">
        <w:t>te</w:t>
      </w:r>
      <w:r w:rsidR="00343321">
        <w:t xml:space="preserve">, </w:t>
      </w:r>
      <w:r w:rsidR="00A92EDF">
        <w:t xml:space="preserve">which </w:t>
      </w:r>
      <w:r w:rsidR="00D9069F">
        <w:t>has been delayed (see page 3</w:t>
      </w:r>
      <w:r w:rsidR="001F5B94">
        <w:t>6</w:t>
      </w:r>
      <w:r w:rsidR="00D9069F">
        <w:t>)</w:t>
      </w:r>
      <w:r w:rsidR="002353E3">
        <w:t xml:space="preserve"> and POPs in sludge </w:t>
      </w:r>
      <w:r w:rsidR="0082465B">
        <w:t>(page 3</w:t>
      </w:r>
      <w:r w:rsidR="001F5B94">
        <w:t>9</w:t>
      </w:r>
      <w:r w:rsidR="0018114A">
        <w:t>)</w:t>
      </w:r>
      <w:r w:rsidR="00A62635">
        <w:t xml:space="preserve"> </w:t>
      </w:r>
      <w:r w:rsidR="002353E3">
        <w:t xml:space="preserve">which </w:t>
      </w:r>
      <w:r w:rsidR="00A62635">
        <w:t>is an</w:t>
      </w:r>
      <w:r w:rsidR="002353E3">
        <w:t xml:space="preserve"> ongoing</w:t>
      </w:r>
      <w:r w:rsidR="00A62635">
        <w:t xml:space="preserve"> activity</w:t>
      </w:r>
      <w:r w:rsidR="00734A8D">
        <w:t xml:space="preserve">. </w:t>
      </w:r>
    </w:p>
    <w:p w14:paraId="37E3DD49" w14:textId="7C14E4D4" w:rsidR="001948FE" w:rsidRDefault="001948FE" w:rsidP="001948FE">
      <w:pPr>
        <w:pStyle w:val="Heading3"/>
      </w:pPr>
      <w:r>
        <w:t xml:space="preserve">Awareness raising to help mitigate emissions from diffuse sources </w:t>
      </w:r>
    </w:p>
    <w:p w14:paraId="4CBF1410" w14:textId="534C1D58" w:rsidR="009D431F" w:rsidRDefault="00162F74" w:rsidP="00F528E7">
      <w:r>
        <w:t>As mentioned in the strategy section above</w:t>
      </w:r>
      <w:r w:rsidR="00F10980">
        <w:t>, i</w:t>
      </w:r>
      <w:r w:rsidR="2DB45F92">
        <w:t xml:space="preserve">n January 2019 the UK government published a Clean Air Strategy </w:t>
      </w:r>
      <w:hyperlink r:id="rId26">
        <w:r w:rsidR="2DB45F92" w:rsidRPr="007F4701">
          <w:rPr>
            <w:rStyle w:val="Hyperlink"/>
          </w:rPr>
          <w:t>https://www.gov.uk/government/publications/clean-air-strategy-2019</w:t>
        </w:r>
      </w:hyperlink>
      <w:r w:rsidR="1799E4C9">
        <w:t xml:space="preserve"> for England. </w:t>
      </w:r>
      <w:r w:rsidR="2DB45F92">
        <w:t xml:space="preserve">This includes commitments to reduce the level of emissions in the home, in industry and agriculture, which will complement our objectives to reduce POPs emissions in the environment.  </w:t>
      </w:r>
    </w:p>
    <w:p w14:paraId="5971878C" w14:textId="77777777" w:rsidR="009D431F" w:rsidRDefault="009D431F" w:rsidP="00F528E7">
      <w:r>
        <w:t xml:space="preserve">This strategy was accompanied by </w:t>
      </w:r>
      <w:proofErr w:type="gramStart"/>
      <w:r>
        <w:t>a number of</w:t>
      </w:r>
      <w:proofErr w:type="gramEnd"/>
      <w:r>
        <w:t xml:space="preserve"> guidance updates as part of the UK clean air strategy objectives that have potential benefits for reducing POPs emissions:</w:t>
      </w:r>
    </w:p>
    <w:p w14:paraId="7369E89D" w14:textId="24702A8A" w:rsidR="009D431F" w:rsidRDefault="009D431F" w:rsidP="001A5709">
      <w:pPr>
        <w:pStyle w:val="ListParagraph"/>
        <w:numPr>
          <w:ilvl w:val="0"/>
          <w:numId w:val="48"/>
        </w:numPr>
      </w:pPr>
      <w:r>
        <w:t>Revised guidance on the use of open fires and woodburning stoves was published in January 2019</w:t>
      </w:r>
      <w:r w:rsidR="00142C50">
        <w:rPr>
          <w:rStyle w:val="FootnoteReference"/>
        </w:rPr>
        <w:footnoteReference w:id="14"/>
      </w:r>
      <w:r>
        <w:t xml:space="preserve">. </w:t>
      </w:r>
    </w:p>
    <w:p w14:paraId="6ACD790F" w14:textId="679576C3" w:rsidR="009D431F" w:rsidRDefault="009D431F">
      <w:pPr>
        <w:pStyle w:val="ListParagraph"/>
        <w:numPr>
          <w:ilvl w:val="0"/>
          <w:numId w:val="48"/>
        </w:numPr>
      </w:pPr>
      <w:r w:rsidRPr="009D431F">
        <w:t>Further guidance on burning waste in the open was updated in September 2019 and published on the government website</w:t>
      </w:r>
      <w:r w:rsidR="004005AE">
        <w:rPr>
          <w:rStyle w:val="FootnoteReference"/>
        </w:rPr>
        <w:footnoteReference w:id="15"/>
      </w:r>
      <w:r w:rsidRPr="009D431F">
        <w:t xml:space="preserve">. </w:t>
      </w:r>
    </w:p>
    <w:p w14:paraId="32E08EBF" w14:textId="4AA724BE" w:rsidR="003B46A5" w:rsidRPr="00F528E7" w:rsidRDefault="2DB45F92">
      <w:pPr>
        <w:pStyle w:val="ListParagraph"/>
        <w:numPr>
          <w:ilvl w:val="0"/>
          <w:numId w:val="48"/>
        </w:numPr>
      </w:pPr>
      <w:r>
        <w:t>An updated regulatory position statement on the burning waste on bonfires and campfires was also produced in November 2020, reminding the public that they should not burn unsuitable wastes such as plastic, rubber, glass, oils or metal as burning these wastes is likely to produce dark smoke and harmful chemicals</w:t>
      </w:r>
      <w:r w:rsidR="00743553">
        <w:rPr>
          <w:rStyle w:val="FootnoteReference"/>
        </w:rPr>
        <w:footnoteReference w:id="16"/>
      </w:r>
      <w:r>
        <w:t>.</w:t>
      </w:r>
    </w:p>
    <w:p w14:paraId="6B901774" w14:textId="033DA97E" w:rsidR="001948FE" w:rsidRDefault="001948FE" w:rsidP="001948FE">
      <w:pPr>
        <w:pStyle w:val="Heading3"/>
      </w:pPr>
      <w:r>
        <w:t>Addressing PCBs</w:t>
      </w:r>
      <w:r w:rsidR="00571A2F">
        <w:t xml:space="preserve"> in electrical equipment</w:t>
      </w:r>
    </w:p>
    <w:p w14:paraId="692586BB" w14:textId="12810043" w:rsidR="00967499" w:rsidRDefault="00967499" w:rsidP="001948FE">
      <w:r w:rsidRPr="00967499">
        <w:t>For polychlorinated biphenyls (PCBs), the major source of emissions to air and land continue to be PCB</w:t>
      </w:r>
      <w:r w:rsidR="004E3C0F">
        <w:t xml:space="preserve"> </w:t>
      </w:r>
      <w:r w:rsidRPr="00967499">
        <w:t>based di-electric heat transfer fluids from old electrical equipment (e.g. capacitors, transformers, electrical switching gear). The PCB regulations were update</w:t>
      </w:r>
      <w:r>
        <w:t>d in 2020</w:t>
      </w:r>
      <w:r w:rsidRPr="00967499">
        <w:t xml:space="preserve"> to require all such equipment with PCB contamination over a certain level to be removed from use by the end of 2025.  </w:t>
      </w:r>
      <w:r w:rsidR="00826094">
        <w:t xml:space="preserve">This also supports the 25 </w:t>
      </w:r>
      <w:r w:rsidR="00AB6A15">
        <w:t>Year</w:t>
      </w:r>
      <w:r w:rsidR="00826094">
        <w:t xml:space="preserve"> </w:t>
      </w:r>
      <w:r w:rsidR="00AB6A15">
        <w:t xml:space="preserve">Environment Plan </w:t>
      </w:r>
      <w:r w:rsidR="00826094">
        <w:t>objective to eliminate the use of PCBs by 2025.</w:t>
      </w:r>
    </w:p>
    <w:p w14:paraId="6F9156BD" w14:textId="28376E89" w:rsidR="00826094" w:rsidRDefault="43901F41" w:rsidP="007F4701">
      <w:r>
        <w:t xml:space="preserve">The </w:t>
      </w:r>
      <w:r w:rsidR="00C66225">
        <w:t xml:space="preserve">UK competent authorities </w:t>
      </w:r>
      <w:r w:rsidR="4CD09814">
        <w:t xml:space="preserve">maintain </w:t>
      </w:r>
      <w:r>
        <w:t>inventor</w:t>
      </w:r>
      <w:r w:rsidR="003A1F61">
        <w:t>ies</w:t>
      </w:r>
      <w:r>
        <w:t xml:space="preserve"> of equipment that has or may have been contaminated with PCBs</w:t>
      </w:r>
      <w:r w:rsidR="4CD09814">
        <w:t>. Th</w:t>
      </w:r>
      <w:r w:rsidR="00695647">
        <w:t>e</w:t>
      </w:r>
      <w:r w:rsidR="4CD09814" w:rsidDel="003A1F61">
        <w:t xml:space="preserve"> England</w:t>
      </w:r>
      <w:r w:rsidR="004E5851">
        <w:t>/</w:t>
      </w:r>
      <w:r w:rsidR="4CD09814" w:rsidDel="003A1F61">
        <w:t>Wales</w:t>
      </w:r>
      <w:r w:rsidR="4CD09814">
        <w:t xml:space="preserve"> </w:t>
      </w:r>
      <w:r w:rsidR="004E5851">
        <w:t>inventory</w:t>
      </w:r>
      <w:r w:rsidR="4CD09814">
        <w:t xml:space="preserve"> require</w:t>
      </w:r>
      <w:r w:rsidR="4CD09814" w:rsidDel="0047607E">
        <w:t>s</w:t>
      </w:r>
      <w:r w:rsidR="4CD09814">
        <w:t xml:space="preserve"> a precautionary </w:t>
      </w:r>
      <w:r w:rsidR="4CD09814">
        <w:lastRenderedPageBreak/>
        <w:t xml:space="preserve">approach, listing not only equipment known to contain PCBs but also those where it cannot be confirmed that they are free of PCBs. </w:t>
      </w:r>
    </w:p>
    <w:p w14:paraId="2C650E3E" w14:textId="2AF37658" w:rsidR="00826094" w:rsidRDefault="00826094" w:rsidP="001948FE">
      <w:r>
        <w:t xml:space="preserve">The </w:t>
      </w:r>
      <w:r w:rsidR="00CA342C">
        <w:t>England/Wales</w:t>
      </w:r>
      <w:r>
        <w:t xml:space="preserve"> annual report for 2020</w:t>
      </w:r>
      <w:r w:rsidR="00F76AE1">
        <w:t xml:space="preserve"> states that</w:t>
      </w:r>
      <w:r w:rsidR="00FB23F9">
        <w:t xml:space="preserve"> </w:t>
      </w:r>
      <w:r w:rsidR="00F76AE1">
        <w:t>t</w:t>
      </w:r>
      <w:r>
        <w:t xml:space="preserve">here has been </w:t>
      </w:r>
      <w:r w:rsidRPr="00826094">
        <w:t xml:space="preserve">a decrease </w:t>
      </w:r>
      <w:r w:rsidR="000741C3">
        <w:t xml:space="preserve">of 17% </w:t>
      </w:r>
      <w:r w:rsidRPr="00826094">
        <w:t>in number of registrants compared to this point last year</w:t>
      </w:r>
      <w:r>
        <w:t xml:space="preserve"> and the</w:t>
      </w:r>
      <w:r w:rsidRPr="00826094">
        <w:t xml:space="preserve"> total number of registered items decreased by 6%</w:t>
      </w:r>
      <w:r w:rsidR="00911E4B">
        <w:t>.</w:t>
      </w:r>
      <w:r>
        <w:t xml:space="preserve"> </w:t>
      </w:r>
      <w:r w:rsidR="00911E4B">
        <w:t xml:space="preserve">This equates to </w:t>
      </w:r>
      <w:r w:rsidR="00BF45FC">
        <w:t xml:space="preserve">the removal of </w:t>
      </w:r>
      <w:r>
        <w:t xml:space="preserve">nearly 20,000 </w:t>
      </w:r>
      <w:r w:rsidR="00911E4B">
        <w:t>pieces of equipment, either because they have been removed from use or are no longer considered a risk</w:t>
      </w:r>
      <w:r w:rsidRPr="00826094">
        <w:t xml:space="preserve">. </w:t>
      </w:r>
    </w:p>
    <w:p w14:paraId="304F72DC" w14:textId="239846E8" w:rsidR="00911E4B" w:rsidRDefault="0091753B" w:rsidP="001948FE">
      <w:r w:rsidRPr="0091753B">
        <w:t xml:space="preserve">The EA has been working with the energy distribution network to better understand which equipment is not contaminated and therefore does not need to be replaced by 2025. </w:t>
      </w:r>
    </w:p>
    <w:p w14:paraId="087F1036" w14:textId="754158C6" w:rsidR="00B26469" w:rsidRPr="00B26469" w:rsidRDefault="00B26469" w:rsidP="00B26469">
      <w:r w:rsidRPr="00B26469">
        <w:t xml:space="preserve">Scotland has also revised its PCB legislation and SEPA </w:t>
      </w:r>
      <w:r w:rsidR="002705ED">
        <w:t xml:space="preserve">is planning to use the same </w:t>
      </w:r>
      <w:r w:rsidRPr="00B26469">
        <w:t>cohort approach to testing and categorising equipment for the largest holders of registrations</w:t>
      </w:r>
      <w:r w:rsidRPr="00B26469">
        <w:rPr>
          <w:i/>
          <w:iCs/>
        </w:rPr>
        <w:t>.</w:t>
      </w:r>
      <w:r w:rsidRPr="00B26469">
        <w:t xml:space="preserve"> Northern Ireland also plan to meet the requirement to remove all PCB contaminated equipment as set out in the Stockholm Convention by the end of 2025.</w:t>
      </w:r>
    </w:p>
    <w:p w14:paraId="45691DC9" w14:textId="77777777" w:rsidR="002217AF" w:rsidRPr="002217AF" w:rsidRDefault="002217AF" w:rsidP="002217AF">
      <w:r w:rsidRPr="002217AF">
        <w:t xml:space="preserve">Further work to establish clean cohorts across the UK will continue over the next few years and the competent authorities will continue to support the removal of contaminated equipment by the 2025 deadline. </w:t>
      </w:r>
    </w:p>
    <w:p w14:paraId="4B54789A" w14:textId="277C9227" w:rsidR="16534DEB" w:rsidRDefault="16534DEB" w:rsidP="0ACF7FF0">
      <w:pPr>
        <w:pStyle w:val="Heading3"/>
      </w:pPr>
      <w:r>
        <w:t xml:space="preserve">Review of </w:t>
      </w:r>
      <w:r w:rsidR="6DF8F112">
        <w:t>methods for the pre-treatment and destruction of POPs</w:t>
      </w:r>
    </w:p>
    <w:p w14:paraId="14F779DC" w14:textId="40CE13B6" w:rsidR="0ACF7FF0" w:rsidRDefault="0014092F" w:rsidP="0ACF7FF0">
      <w:r>
        <w:t>In 2020 Defra published</w:t>
      </w:r>
      <w:r w:rsidR="00115317">
        <w:t xml:space="preserve"> an evidence statement</w:t>
      </w:r>
      <w:r w:rsidDel="00F9666A">
        <w:t xml:space="preserve"> </w:t>
      </w:r>
      <w:r>
        <w:t>on</w:t>
      </w:r>
      <w:r w:rsidR="00DB3053">
        <w:t xml:space="preserve"> Methods for the Pre-Treatment and Destruction of Persistent Organic Pollutants (Defra, 2020</w:t>
      </w:r>
      <w:r w:rsidR="00DB3053">
        <w:rPr>
          <w:rStyle w:val="Hyperlink"/>
        </w:rPr>
        <w:t>)</w:t>
      </w:r>
      <w:r w:rsidR="00115317">
        <w:rPr>
          <w:rStyle w:val="Hyperlink"/>
        </w:rPr>
        <w:t>.</w:t>
      </w:r>
      <w:r>
        <w:t xml:space="preserve"> This summarised established and emerging waste separation and POPs destruction technologies, split into:</w:t>
      </w:r>
    </w:p>
    <w:p w14:paraId="190A778E" w14:textId="0DE68F0B" w:rsidR="0014092F" w:rsidRDefault="0014092F" w:rsidP="001A5709">
      <w:pPr>
        <w:pStyle w:val="ListParagraph"/>
        <w:numPr>
          <w:ilvl w:val="0"/>
          <w:numId w:val="25"/>
        </w:numPr>
      </w:pPr>
      <w:r>
        <w:t>Thermal Destruction</w:t>
      </w:r>
    </w:p>
    <w:p w14:paraId="610A5CE1" w14:textId="3994F95A" w:rsidR="0014092F" w:rsidRDefault="0014092F">
      <w:pPr>
        <w:pStyle w:val="ListParagraph"/>
        <w:numPr>
          <w:ilvl w:val="0"/>
          <w:numId w:val="25"/>
        </w:numPr>
      </w:pPr>
      <w:r>
        <w:t>Chemical Destruction</w:t>
      </w:r>
    </w:p>
    <w:p w14:paraId="232EB98E" w14:textId="368762FE" w:rsidR="0014092F" w:rsidRDefault="0014092F">
      <w:pPr>
        <w:pStyle w:val="ListParagraph"/>
        <w:numPr>
          <w:ilvl w:val="0"/>
          <w:numId w:val="25"/>
        </w:numPr>
      </w:pPr>
      <w:r>
        <w:t>Mechanochemical Destruction</w:t>
      </w:r>
    </w:p>
    <w:p w14:paraId="24E9221E" w14:textId="75EFECFC" w:rsidR="00155CD3" w:rsidRPr="00B7056D" w:rsidRDefault="0014092F" w:rsidP="00F528E7">
      <w:pPr>
        <w:pStyle w:val="Heading3"/>
        <w:rPr>
          <w:b w:val="0"/>
          <w:bCs w:val="0"/>
          <w:sz w:val="24"/>
          <w:szCs w:val="20"/>
        </w:rPr>
      </w:pPr>
      <w:r w:rsidRPr="00B7056D">
        <w:rPr>
          <w:b w:val="0"/>
          <w:sz w:val="24"/>
          <w:szCs w:val="20"/>
        </w:rPr>
        <w:t>The research support</w:t>
      </w:r>
      <w:r w:rsidR="00115317" w:rsidRPr="00B7056D">
        <w:rPr>
          <w:b w:val="0"/>
          <w:sz w:val="24"/>
          <w:szCs w:val="20"/>
        </w:rPr>
        <w:t>s</w:t>
      </w:r>
      <w:r w:rsidRPr="00B7056D">
        <w:rPr>
          <w:b w:val="0"/>
          <w:sz w:val="24"/>
          <w:szCs w:val="20"/>
        </w:rPr>
        <w:t xml:space="preserve"> </w:t>
      </w:r>
      <w:r w:rsidR="007A4EA6" w:rsidRPr="00B7056D">
        <w:rPr>
          <w:b w:val="0"/>
          <w:sz w:val="24"/>
          <w:szCs w:val="20"/>
        </w:rPr>
        <w:t xml:space="preserve">the England </w:t>
      </w:r>
      <w:r w:rsidRPr="00B7056D">
        <w:rPr>
          <w:b w:val="0"/>
          <w:sz w:val="24"/>
          <w:szCs w:val="20"/>
        </w:rPr>
        <w:t xml:space="preserve">25 </w:t>
      </w:r>
      <w:r w:rsidR="009D6B53" w:rsidRPr="00B7056D">
        <w:rPr>
          <w:b w:val="0"/>
          <w:sz w:val="24"/>
          <w:szCs w:val="20"/>
        </w:rPr>
        <w:t>Y</w:t>
      </w:r>
      <w:r w:rsidRPr="00B7056D">
        <w:rPr>
          <w:b w:val="0"/>
          <w:sz w:val="24"/>
          <w:szCs w:val="20"/>
        </w:rPr>
        <w:t xml:space="preserve">ear </w:t>
      </w:r>
      <w:r w:rsidR="009D6B53" w:rsidRPr="00B7056D">
        <w:rPr>
          <w:b w:val="0"/>
          <w:sz w:val="24"/>
          <w:szCs w:val="20"/>
        </w:rPr>
        <w:t>E</w:t>
      </w:r>
      <w:r w:rsidRPr="00B7056D">
        <w:rPr>
          <w:b w:val="0"/>
          <w:sz w:val="24"/>
          <w:szCs w:val="20"/>
        </w:rPr>
        <w:t xml:space="preserve">nvironment </w:t>
      </w:r>
      <w:r w:rsidR="009D6B53" w:rsidRPr="00B7056D">
        <w:rPr>
          <w:b w:val="0"/>
          <w:sz w:val="24"/>
          <w:szCs w:val="20"/>
        </w:rPr>
        <w:t>P</w:t>
      </w:r>
      <w:r w:rsidRPr="00B7056D">
        <w:rPr>
          <w:b w:val="0"/>
          <w:sz w:val="24"/>
          <w:szCs w:val="20"/>
        </w:rPr>
        <w:t>lan objective of increasing the amount of POPs destroyed or irreversibly transformed. It will inform policy decisions on effective and environmentally sustainable methods of POPs waste treatment</w:t>
      </w:r>
      <w:r w:rsidR="00606135">
        <w:rPr>
          <w:b w:val="0"/>
          <w:sz w:val="24"/>
          <w:szCs w:val="20"/>
        </w:rPr>
        <w:t xml:space="preserve"> (Defra, 2020)</w:t>
      </w:r>
      <w:r w:rsidRPr="00B7056D">
        <w:rPr>
          <w:b w:val="0"/>
          <w:sz w:val="24"/>
          <w:szCs w:val="20"/>
        </w:rPr>
        <w:t>.</w:t>
      </w:r>
      <w:r w:rsidR="00F528E7" w:rsidRPr="00B7056D">
        <w:rPr>
          <w:b w:val="0"/>
          <w:sz w:val="24"/>
          <w:szCs w:val="20"/>
        </w:rPr>
        <w:t xml:space="preserve"> </w:t>
      </w:r>
    </w:p>
    <w:p w14:paraId="7A85FD02" w14:textId="2B66E197" w:rsidR="00F528E7" w:rsidRDefault="352C5431" w:rsidP="00F528E7">
      <w:pPr>
        <w:pStyle w:val="Heading3"/>
      </w:pPr>
      <w:r>
        <w:t>Assessment of the contribution of PCB emissions from open sources</w:t>
      </w:r>
    </w:p>
    <w:p w14:paraId="60F2B5F6" w14:textId="3793C3F0" w:rsidR="00726E9C" w:rsidRPr="00345D4B" w:rsidRDefault="00726E9C" w:rsidP="00F528E7">
      <w:r w:rsidRPr="00345D4B">
        <w:t xml:space="preserve">The UK has been measuring the emission of PCBs since the creation of the Multi-Media </w:t>
      </w:r>
      <w:r w:rsidR="00C20FF0">
        <w:t>E</w:t>
      </w:r>
      <w:r w:rsidRPr="00345D4B">
        <w:t xml:space="preserve">missions </w:t>
      </w:r>
      <w:r w:rsidR="00C20FF0">
        <w:t>I</w:t>
      </w:r>
      <w:r w:rsidRPr="00345D4B">
        <w:t>nventory in 2007.This inventory for PCBs primarily focussed on emission to air from ‘closed systems’, such as heat transfer fluids in electrical equipment (e.g. transformers, capacitors). However, from the data available it is estimated that approximately 25% of the total PCBs that were produced globally were used in ‘open applications’ (UNEP, 2019 referenced in the MMEI 2019 Annual Report).</w:t>
      </w:r>
    </w:p>
    <w:p w14:paraId="5A3B8398" w14:textId="0CE30EF0" w:rsidR="00726E9C" w:rsidRPr="00345D4B" w:rsidRDefault="00726E9C" w:rsidP="00F528E7">
      <w:r w:rsidRPr="00345D4B">
        <w:lastRenderedPageBreak/>
        <w:t xml:space="preserve">It is reported that open applications of PCBs included use in plasticisers, carbonless copy paper, anti-corrosion coatings, lubricating oils, inks, laminating and impregnating agents, paints, adhesives, sealants, fire retardants, immersion oils and pesticide extenders. </w:t>
      </w:r>
    </w:p>
    <w:p w14:paraId="38344745" w14:textId="47DD857A" w:rsidR="00726E9C" w:rsidRPr="00345D4B" w:rsidRDefault="00726E9C" w:rsidP="00F528E7">
      <w:r w:rsidRPr="00345D4B">
        <w:t xml:space="preserve">PCBs have been used in many of these open applications in buildings and infrastructure, especially between the 1950s and the early 1980s. As many of these buildings etc. are still in use today, it </w:t>
      </w:r>
      <w:r w:rsidR="2AD04CC1">
        <w:t xml:space="preserve">is </w:t>
      </w:r>
      <w:r w:rsidRPr="00345D4B">
        <w:t xml:space="preserve">understood that they could still be a source of PCBs to the environment. Also, these open applications are not easy to identify and are </w:t>
      </w:r>
      <w:r w:rsidR="76CE4BFE">
        <w:t xml:space="preserve">not </w:t>
      </w:r>
      <w:r w:rsidRPr="00345D4B">
        <w:t>considered as hazardous waste, meaning that at</w:t>
      </w:r>
      <w:r w:rsidR="00C85436">
        <w:t xml:space="preserve"> the</w:t>
      </w:r>
      <w:r w:rsidRPr="00345D4B">
        <w:t xml:space="preserve"> end of useful life, or during renovations</w:t>
      </w:r>
      <w:r w:rsidR="00713826">
        <w:t>,</w:t>
      </w:r>
      <w:r w:rsidRPr="00345D4B">
        <w:t xml:space="preserve"> the waste generated could again become a source of PCBs to the environment. </w:t>
      </w:r>
    </w:p>
    <w:p w14:paraId="489EEEDE" w14:textId="3A12DCB8" w:rsidR="00726E9C" w:rsidRDefault="00726E9C" w:rsidP="00F528E7">
      <w:pPr>
        <w:rPr>
          <w:b/>
          <w:bCs/>
        </w:rPr>
      </w:pPr>
      <w:r w:rsidRPr="00345D4B">
        <w:t>With the elimination of PCBs in closed sources, open source PCBs could become the dominant source of PCBs to the environment. The UK PCB emission inventory did not include PCBs from open applications</w:t>
      </w:r>
      <w:r w:rsidR="009605FD">
        <w:t>.</w:t>
      </w:r>
      <w:r w:rsidR="009605FD" w:rsidDel="00367763">
        <w:t xml:space="preserve"> </w:t>
      </w:r>
      <w:r w:rsidR="009605FD">
        <w:t>T</w:t>
      </w:r>
      <w:r w:rsidRPr="00345D4B">
        <w:t>he update to the inventory undertaken in 2019 incorporated PCBs from open applications, and an estimate of this source to the multi-media PCBs inventory in the UK.</w:t>
      </w:r>
    </w:p>
    <w:p w14:paraId="143E9B75" w14:textId="00AA5457" w:rsidR="00726E9C" w:rsidRDefault="00726E9C" w:rsidP="00F528E7">
      <w:pPr>
        <w:rPr>
          <w:b/>
          <w:bCs/>
        </w:rPr>
      </w:pPr>
      <w:r w:rsidRPr="00345D4B">
        <w:t>The estimated emissions of PCBs to air in the UK from open applications (anti-corrosion paints, joint sealants and combined total) and the estimated trend from 1990 to 2017, is shown in Figure 1. In 2017, the combined emissions from the two open application sources are estimated to be approximately 12.4 tonnes, demonstrating a decline of approximately 95% from the estimated emission in 1977.   </w:t>
      </w:r>
    </w:p>
    <w:p w14:paraId="76030A65" w14:textId="682EABD9" w:rsidR="00F528E7" w:rsidRPr="00496BA5" w:rsidRDefault="00103349" w:rsidP="00F528E7">
      <w:pPr>
        <w:rPr>
          <w:b/>
        </w:rPr>
      </w:pPr>
      <w:r>
        <w:rPr>
          <w:b/>
          <w:bCs/>
        </w:rPr>
        <w:t xml:space="preserve">Figure 1 – </w:t>
      </w:r>
      <w:r w:rsidRPr="00496BA5">
        <w:rPr>
          <w:b/>
        </w:rPr>
        <w:t>Graph</w:t>
      </w:r>
      <w:r>
        <w:rPr>
          <w:b/>
          <w:bCs/>
        </w:rPr>
        <w:t xml:space="preserve">: </w:t>
      </w:r>
      <w:r w:rsidRPr="00496BA5">
        <w:rPr>
          <w:b/>
        </w:rPr>
        <w:t>PCB emissions to air from open applications of sealants and paints between 1990 and 2017</w:t>
      </w:r>
    </w:p>
    <w:p w14:paraId="386EE3DA" w14:textId="77777777" w:rsidR="00726E9C" w:rsidRPr="00345D4B" w:rsidRDefault="52146325" w:rsidP="00F528E7">
      <w:r>
        <w:rPr>
          <w:noProof/>
        </w:rPr>
        <w:drawing>
          <wp:inline distT="0" distB="0" distL="0" distR="0" wp14:anchorId="42669891" wp14:editId="6A318DD0">
            <wp:extent cx="6115686" cy="3665855"/>
            <wp:effectExtent l="0" t="0" r="0" b="0"/>
            <wp:docPr id="4" name="Picture 4" descr="Graph showing PCB emissions to air from open applications of sealants and paints (tonnes) between 1990 and 2017. The graph shows a steady decline in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6115686" cy="3665855"/>
                    </a:xfrm>
                    <a:prstGeom prst="rect">
                      <a:avLst/>
                    </a:prstGeom>
                  </pic:spPr>
                </pic:pic>
              </a:graphicData>
            </a:graphic>
          </wp:inline>
        </w:drawing>
      </w:r>
    </w:p>
    <w:p w14:paraId="07738708" w14:textId="1D3FF01F" w:rsidR="00726E9C" w:rsidRPr="00345D4B" w:rsidRDefault="00726E9C" w:rsidP="00F528E7">
      <w:r w:rsidRPr="00345D4B">
        <w:t xml:space="preserve">As </w:t>
      </w:r>
      <w:r w:rsidR="000D61B5">
        <w:t xml:space="preserve">a </w:t>
      </w:r>
      <w:r w:rsidRPr="00345D4B">
        <w:t xml:space="preserve">comparison, in 1990 the emission of PCBs from closed sources (di-electric) were estimated to be 5.7 tonnes to air (total release to air and land was estimated to be </w:t>
      </w:r>
      <w:r w:rsidRPr="00345D4B">
        <w:lastRenderedPageBreak/>
        <w:t>62.1</w:t>
      </w:r>
      <w:r w:rsidR="00017217">
        <w:t> </w:t>
      </w:r>
      <w:r w:rsidRPr="00345D4B">
        <w:t>tonnes). These emissions have been estimated to decline</w:t>
      </w:r>
      <w:r w:rsidR="006742DA">
        <w:t>.</w:t>
      </w:r>
      <w:r w:rsidRPr="00345D4B">
        <w:t xml:space="preserve"> </w:t>
      </w:r>
      <w:r w:rsidR="006742DA">
        <w:t>I</w:t>
      </w:r>
      <w:r w:rsidRPr="00345D4B">
        <w:t>n 2017 the emission for di-electric to air were 0.3 tonnes (total release to air and land was estimated to be 1.2</w:t>
      </w:r>
      <w:r w:rsidR="00017217">
        <w:t> </w:t>
      </w:r>
      <w:r w:rsidRPr="00345D4B">
        <w:t>tonnes).</w:t>
      </w:r>
    </w:p>
    <w:p w14:paraId="760FE6D0" w14:textId="2B369BDF" w:rsidR="00726E9C" w:rsidRPr="00345D4B" w:rsidRDefault="00726E9C" w:rsidP="00F528E7">
      <w:r w:rsidRPr="00345D4B">
        <w:t>These improvements have highlighted that with the elimination of closed source PCBs, the emissions from open applications have become the dominant source of PCBs to air in the UK and that previous emission inventories may have underestimated the total PCBs emission to air in the UK.</w:t>
      </w:r>
    </w:p>
    <w:p w14:paraId="1621575F" w14:textId="14C3F18A" w:rsidR="003075EB" w:rsidRDefault="00726E9C" w:rsidP="00F528E7">
      <w:pPr>
        <w:rPr>
          <w:rFonts w:asciiTheme="majorHAnsi" w:hAnsiTheme="majorHAnsi" w:cstheme="majorHAnsi"/>
        </w:rPr>
      </w:pPr>
      <w:r w:rsidRPr="00345D4B">
        <w:rPr>
          <w:rFonts w:asciiTheme="majorHAnsi" w:hAnsiTheme="majorHAnsi" w:cstheme="majorHAnsi"/>
        </w:rPr>
        <w:t xml:space="preserve">It is important to note that there is a degree of uncertainty with these estimates. It is difficult to retrieve and estimate the quantities used in open application and there is a lack of available data. The </w:t>
      </w:r>
      <w:proofErr w:type="gramStart"/>
      <w:r w:rsidRPr="00345D4B">
        <w:rPr>
          <w:rFonts w:asciiTheme="majorHAnsi" w:hAnsiTheme="majorHAnsi" w:cstheme="majorHAnsi"/>
        </w:rPr>
        <w:t>amount</w:t>
      </w:r>
      <w:proofErr w:type="gramEnd"/>
      <w:r w:rsidRPr="00345D4B">
        <w:rPr>
          <w:rFonts w:asciiTheme="majorHAnsi" w:hAnsiTheme="majorHAnsi" w:cstheme="majorHAnsi"/>
        </w:rPr>
        <w:t xml:space="preserve"> of PCB</w:t>
      </w:r>
      <w:r w:rsidR="007924D9">
        <w:rPr>
          <w:rFonts w:asciiTheme="majorHAnsi" w:hAnsiTheme="majorHAnsi" w:cstheme="majorHAnsi"/>
        </w:rPr>
        <w:t>s</w:t>
      </w:r>
      <w:r w:rsidRPr="00345D4B">
        <w:rPr>
          <w:rFonts w:asciiTheme="majorHAnsi" w:hAnsiTheme="majorHAnsi" w:cstheme="majorHAnsi"/>
        </w:rPr>
        <w:t xml:space="preserve"> used has been estimated</w:t>
      </w:r>
      <w:r w:rsidR="006214C2">
        <w:rPr>
          <w:rFonts w:asciiTheme="majorHAnsi" w:hAnsiTheme="majorHAnsi" w:cstheme="majorHAnsi"/>
        </w:rPr>
        <w:t>,</w:t>
      </w:r>
      <w:r w:rsidRPr="00345D4B">
        <w:rPr>
          <w:rFonts w:asciiTheme="majorHAnsi" w:hAnsiTheme="majorHAnsi" w:cstheme="majorHAnsi"/>
        </w:rPr>
        <w:t xml:space="preserve"> taking account of the pattern of use and release in an inventory produced in Switzerland. Therefore, there could be some country variations. </w:t>
      </w:r>
    </w:p>
    <w:p w14:paraId="5B16C082" w14:textId="0BBD8F48" w:rsidR="00726E9C" w:rsidRPr="00345D4B" w:rsidRDefault="00726E9C" w:rsidP="00F528E7">
      <w:pPr>
        <w:rPr>
          <w:rFonts w:asciiTheme="majorHAnsi" w:hAnsiTheme="majorHAnsi" w:cstheme="majorHAnsi"/>
        </w:rPr>
      </w:pPr>
      <w:r w:rsidRPr="00345D4B">
        <w:rPr>
          <w:rFonts w:asciiTheme="majorHAnsi" w:hAnsiTheme="majorHAnsi" w:cstheme="majorHAnsi"/>
        </w:rPr>
        <w:t xml:space="preserve">There </w:t>
      </w:r>
      <w:r w:rsidR="00E904F9">
        <w:rPr>
          <w:rFonts w:asciiTheme="majorHAnsi" w:hAnsiTheme="majorHAnsi" w:cstheme="majorHAnsi"/>
        </w:rPr>
        <w:t>is</w:t>
      </w:r>
      <w:r w:rsidR="00E904F9" w:rsidRPr="00345D4B">
        <w:rPr>
          <w:rFonts w:asciiTheme="majorHAnsi" w:hAnsiTheme="majorHAnsi" w:cstheme="majorHAnsi"/>
        </w:rPr>
        <w:t xml:space="preserve"> </w:t>
      </w:r>
      <w:r w:rsidRPr="00345D4B">
        <w:rPr>
          <w:rFonts w:asciiTheme="majorHAnsi" w:hAnsiTheme="majorHAnsi" w:cstheme="majorHAnsi"/>
        </w:rPr>
        <w:t xml:space="preserve">also uncertainty over the emission factors used for open application because of the complex nature of the process of PCBs evaporation from various formulations </w:t>
      </w:r>
      <w:r w:rsidR="00ED659C">
        <w:rPr>
          <w:rFonts w:asciiTheme="majorHAnsi" w:hAnsiTheme="majorHAnsi" w:cstheme="majorHAnsi"/>
        </w:rPr>
        <w:t>in which</w:t>
      </w:r>
      <w:r w:rsidR="00ED659C" w:rsidRPr="00345D4B">
        <w:rPr>
          <w:rFonts w:asciiTheme="majorHAnsi" w:hAnsiTheme="majorHAnsi" w:cstheme="majorHAnsi"/>
        </w:rPr>
        <w:t xml:space="preserve"> </w:t>
      </w:r>
      <w:r w:rsidR="001211DE">
        <w:rPr>
          <w:rFonts w:asciiTheme="majorHAnsi" w:hAnsiTheme="majorHAnsi" w:cstheme="majorHAnsi"/>
        </w:rPr>
        <w:t>they</w:t>
      </w:r>
      <w:r w:rsidR="001211DE" w:rsidRPr="00345D4B">
        <w:rPr>
          <w:rFonts w:asciiTheme="majorHAnsi" w:hAnsiTheme="majorHAnsi" w:cstheme="majorHAnsi"/>
        </w:rPr>
        <w:t xml:space="preserve"> </w:t>
      </w:r>
      <w:r w:rsidRPr="00345D4B">
        <w:rPr>
          <w:rFonts w:asciiTheme="majorHAnsi" w:hAnsiTheme="majorHAnsi" w:cstheme="majorHAnsi"/>
        </w:rPr>
        <w:t xml:space="preserve">were used. The emission factors have been based on a study involving emissions from sealants. </w:t>
      </w:r>
    </w:p>
    <w:p w14:paraId="73733638" w14:textId="0CDCFE3C" w:rsidR="001948FE" w:rsidRDefault="088304C7" w:rsidP="5D963AD2">
      <w:pPr>
        <w:pStyle w:val="Heading3"/>
      </w:pPr>
      <w:r>
        <w:t>Review of historical lindane found in railway sleepers</w:t>
      </w:r>
    </w:p>
    <w:p w14:paraId="5CD95620" w14:textId="77777777" w:rsidR="0008302A" w:rsidRDefault="0008302A" w:rsidP="0008302A">
      <w:pPr>
        <w:spacing w:before="0" w:after="0"/>
        <w:rPr>
          <w:color w:val="000000" w:themeColor="text1"/>
        </w:rPr>
      </w:pPr>
    </w:p>
    <w:p w14:paraId="3760D7C7" w14:textId="620F80C4" w:rsidR="0008302A" w:rsidRDefault="006F0932" w:rsidP="0008302A">
      <w:pPr>
        <w:spacing w:before="0" w:after="0"/>
        <w:rPr>
          <w:color w:val="000000" w:themeColor="text1"/>
        </w:rPr>
      </w:pPr>
      <w:r>
        <w:rPr>
          <w:color w:val="000000" w:themeColor="text1"/>
        </w:rPr>
        <w:t>The 2017 NIP committed to a review of lindane in railway sleepers.</w:t>
      </w:r>
      <w:r w:rsidR="0008302A" w:rsidRPr="4CB48EDB">
        <w:rPr>
          <w:color w:val="000000" w:themeColor="text1"/>
        </w:rPr>
        <w:t xml:space="preserve"> The </w:t>
      </w:r>
      <w:r w:rsidR="0008302A" w:rsidRPr="3C0A3149">
        <w:rPr>
          <w:color w:val="000000" w:themeColor="text1"/>
        </w:rPr>
        <w:t>EA</w:t>
      </w:r>
      <w:r w:rsidR="0008302A" w:rsidRPr="4CB48EDB">
        <w:rPr>
          <w:color w:val="000000" w:themeColor="text1"/>
        </w:rPr>
        <w:t xml:space="preserve"> collected 50 samples and had them sent for analysis. No </w:t>
      </w:r>
      <w:r>
        <w:rPr>
          <w:color w:val="000000" w:themeColor="text1"/>
        </w:rPr>
        <w:t>l</w:t>
      </w:r>
      <w:r w:rsidR="0008302A" w:rsidRPr="4CB48EDB">
        <w:rPr>
          <w:color w:val="000000" w:themeColor="text1"/>
        </w:rPr>
        <w:t xml:space="preserve">indane was detected </w:t>
      </w:r>
      <w:r>
        <w:rPr>
          <w:color w:val="000000" w:themeColor="text1"/>
        </w:rPr>
        <w:t xml:space="preserve">and </w:t>
      </w:r>
      <w:r w:rsidR="0008302A" w:rsidRPr="4CB48EDB">
        <w:rPr>
          <w:color w:val="000000" w:themeColor="text1"/>
        </w:rPr>
        <w:t xml:space="preserve">no </w:t>
      </w:r>
      <w:r>
        <w:rPr>
          <w:color w:val="000000" w:themeColor="text1"/>
        </w:rPr>
        <w:t xml:space="preserve">further action was required from a </w:t>
      </w:r>
      <w:r w:rsidR="0008302A" w:rsidRPr="4CB48EDB">
        <w:rPr>
          <w:color w:val="000000" w:themeColor="text1"/>
        </w:rPr>
        <w:t xml:space="preserve">POPs </w:t>
      </w:r>
      <w:r>
        <w:rPr>
          <w:color w:val="000000" w:themeColor="text1"/>
        </w:rPr>
        <w:t>perspective.</w:t>
      </w:r>
      <w:r w:rsidR="00F528E7" w:rsidRPr="4CB48EDB" w:rsidDel="00F528E7">
        <w:rPr>
          <w:color w:val="000000" w:themeColor="text1"/>
        </w:rPr>
        <w:t xml:space="preserve"> </w:t>
      </w:r>
    </w:p>
    <w:p w14:paraId="181FD20D" w14:textId="378F3B4A" w:rsidR="001948FE" w:rsidRDefault="088304C7" w:rsidP="00F528E7">
      <w:pPr>
        <w:pStyle w:val="Heading3"/>
      </w:pPr>
      <w:r>
        <w:t xml:space="preserve">Assessment of </w:t>
      </w:r>
      <w:r w:rsidR="003C794E">
        <w:t>PBDEs in plastics</w:t>
      </w:r>
    </w:p>
    <w:p w14:paraId="62975739" w14:textId="77777777" w:rsidR="00AD3731" w:rsidRDefault="00AD3731" w:rsidP="0008302A">
      <w:pPr>
        <w:spacing w:before="0" w:after="0"/>
        <w:rPr>
          <w:color w:val="000000" w:themeColor="text1"/>
        </w:rPr>
      </w:pPr>
    </w:p>
    <w:p w14:paraId="0BA77679" w14:textId="022E78BA" w:rsidR="0008302A" w:rsidRDefault="0008302A" w:rsidP="0008302A">
      <w:pPr>
        <w:spacing w:before="0" w:after="0"/>
        <w:rPr>
          <w:color w:val="000000" w:themeColor="text1"/>
          <w:shd w:val="clear" w:color="auto" w:fill="E6E6E6"/>
        </w:rPr>
      </w:pPr>
      <w:r>
        <w:rPr>
          <w:color w:val="000000" w:themeColor="text1"/>
        </w:rPr>
        <w:t>The EA worked with the</w:t>
      </w:r>
      <w:r w:rsidR="00AD3731" w:rsidRPr="00AD3731">
        <w:rPr>
          <w:color w:val="000000" w:themeColor="text1"/>
        </w:rPr>
        <w:t xml:space="preserve"> ICER</w:t>
      </w:r>
      <w:r w:rsidR="00AD3731">
        <w:rPr>
          <w:color w:val="000000" w:themeColor="text1"/>
        </w:rPr>
        <w:t xml:space="preserve"> </w:t>
      </w:r>
      <w:r w:rsidR="00AD3731" w:rsidRPr="00AD3731">
        <w:rPr>
          <w:color w:val="000000" w:themeColor="text1"/>
        </w:rPr>
        <w:t xml:space="preserve">to investigate the extent of the presence of PBDE chemicals in </w:t>
      </w:r>
      <w:r w:rsidRPr="4CB48EDB">
        <w:rPr>
          <w:color w:val="000000" w:themeColor="text1"/>
        </w:rPr>
        <w:t>WEEE</w:t>
      </w:r>
      <w:r w:rsidR="00AD3731">
        <w:rPr>
          <w:color w:val="000000" w:themeColor="text1"/>
        </w:rPr>
        <w:t>.</w:t>
      </w:r>
      <w:r w:rsidRPr="4CB48EDB">
        <w:rPr>
          <w:color w:val="000000" w:themeColor="text1"/>
        </w:rPr>
        <w:t xml:space="preserve"> </w:t>
      </w:r>
      <w:r w:rsidR="00675A74" w:rsidRPr="006A05F7">
        <w:rPr>
          <w:color w:val="000000" w:themeColor="text1"/>
        </w:rPr>
        <w:t xml:space="preserve">More details can be found on page </w:t>
      </w:r>
      <w:r w:rsidR="00F35A22" w:rsidRPr="006A05F7">
        <w:rPr>
          <w:color w:val="000000" w:themeColor="text1"/>
        </w:rPr>
        <w:t>2</w:t>
      </w:r>
      <w:r w:rsidR="001052F6">
        <w:rPr>
          <w:color w:val="000000" w:themeColor="text1"/>
        </w:rPr>
        <w:t>6</w:t>
      </w:r>
      <w:r w:rsidR="00F35A22">
        <w:rPr>
          <w:color w:val="000000" w:themeColor="text1"/>
        </w:rPr>
        <w:t xml:space="preserve"> above</w:t>
      </w:r>
      <w:r w:rsidR="006A05F7">
        <w:rPr>
          <w:color w:val="000000" w:themeColor="text1"/>
        </w:rPr>
        <w:t>.</w:t>
      </w:r>
    </w:p>
    <w:p w14:paraId="5B2E2E73" w14:textId="77777777" w:rsidR="003075EB" w:rsidRDefault="00843A12" w:rsidP="0008302A">
      <w:pPr>
        <w:rPr>
          <w:szCs w:val="24"/>
        </w:rPr>
      </w:pPr>
      <w:r>
        <w:rPr>
          <w:szCs w:val="24"/>
        </w:rPr>
        <w:t>Our regulators</w:t>
      </w:r>
      <w:r w:rsidR="00AD3731" w:rsidRPr="00AD3731">
        <w:rPr>
          <w:szCs w:val="24"/>
        </w:rPr>
        <w:t xml:space="preserve"> </w:t>
      </w:r>
      <w:r w:rsidR="00CE1AE3">
        <w:rPr>
          <w:szCs w:val="24"/>
        </w:rPr>
        <w:t xml:space="preserve">continue to </w:t>
      </w:r>
      <w:r>
        <w:rPr>
          <w:szCs w:val="24"/>
        </w:rPr>
        <w:t>engag</w:t>
      </w:r>
      <w:r w:rsidR="00CE1AE3">
        <w:rPr>
          <w:szCs w:val="24"/>
        </w:rPr>
        <w:t>e</w:t>
      </w:r>
      <w:r>
        <w:rPr>
          <w:szCs w:val="24"/>
        </w:rPr>
        <w:t xml:space="preserve"> with </w:t>
      </w:r>
      <w:r w:rsidR="006C7110">
        <w:rPr>
          <w:szCs w:val="24"/>
        </w:rPr>
        <w:t xml:space="preserve">the waste </w:t>
      </w:r>
      <w:r w:rsidR="00AD3731" w:rsidRPr="00AD3731">
        <w:rPr>
          <w:szCs w:val="24"/>
        </w:rPr>
        <w:t>industry to</w:t>
      </w:r>
      <w:r w:rsidR="006C7110">
        <w:rPr>
          <w:szCs w:val="24"/>
        </w:rPr>
        <w:t xml:space="preserve"> inform </w:t>
      </w:r>
      <w:r w:rsidR="00CE1AE3">
        <w:rPr>
          <w:szCs w:val="24"/>
        </w:rPr>
        <w:t xml:space="preserve">and remind </w:t>
      </w:r>
      <w:r w:rsidR="006C7110">
        <w:rPr>
          <w:szCs w:val="24"/>
        </w:rPr>
        <w:t xml:space="preserve">them of this study and their obligations to identify and destroy articles with a POPs level above the legal limit. </w:t>
      </w:r>
      <w:r w:rsidR="0055690A">
        <w:rPr>
          <w:szCs w:val="24"/>
        </w:rPr>
        <w:t>T</w:t>
      </w:r>
      <w:r w:rsidR="0055690A" w:rsidRPr="0055690A">
        <w:rPr>
          <w:szCs w:val="24"/>
        </w:rPr>
        <w:t>he EA has published guidance</w:t>
      </w:r>
      <w:r w:rsidR="009D3BE5">
        <w:rPr>
          <w:rStyle w:val="FootnoteReference"/>
          <w:szCs w:val="24"/>
        </w:rPr>
        <w:footnoteReference w:id="17"/>
      </w:r>
      <w:r w:rsidR="0055690A" w:rsidRPr="0055690A">
        <w:rPr>
          <w:szCs w:val="24"/>
        </w:rPr>
        <w:t xml:space="preserve"> on how to classify some WEEE wastes that are likely to contain POPs</w:t>
      </w:r>
      <w:r w:rsidR="00221C83">
        <w:rPr>
          <w:szCs w:val="24"/>
        </w:rPr>
        <w:t>.</w:t>
      </w:r>
      <w:r w:rsidR="00832299">
        <w:rPr>
          <w:szCs w:val="24"/>
        </w:rPr>
        <w:t xml:space="preserve"> </w:t>
      </w:r>
    </w:p>
    <w:p w14:paraId="737D988A" w14:textId="182193C2" w:rsidR="00AD3731" w:rsidRDefault="00AB2914" w:rsidP="0008302A">
      <w:pPr>
        <w:rPr>
          <w:szCs w:val="24"/>
        </w:rPr>
      </w:pPr>
      <w:r>
        <w:rPr>
          <w:szCs w:val="24"/>
        </w:rPr>
        <w:lastRenderedPageBreak/>
        <w:t>Competent authorities</w:t>
      </w:r>
      <w:r w:rsidR="006C7110">
        <w:rPr>
          <w:szCs w:val="24"/>
        </w:rPr>
        <w:t xml:space="preserve"> </w:t>
      </w:r>
      <w:r w:rsidR="00CE1AE3">
        <w:rPr>
          <w:szCs w:val="24"/>
        </w:rPr>
        <w:t xml:space="preserve">continue to </w:t>
      </w:r>
      <w:r w:rsidR="00832299">
        <w:rPr>
          <w:szCs w:val="24"/>
        </w:rPr>
        <w:t>support</w:t>
      </w:r>
      <w:r w:rsidR="00832299" w:rsidRPr="00AD3731">
        <w:rPr>
          <w:szCs w:val="24"/>
        </w:rPr>
        <w:t xml:space="preserve"> </w:t>
      </w:r>
      <w:r>
        <w:rPr>
          <w:szCs w:val="24"/>
        </w:rPr>
        <w:t>the industry</w:t>
      </w:r>
      <w:r w:rsidR="00AD3731" w:rsidRPr="00AD3731">
        <w:rPr>
          <w:szCs w:val="24"/>
        </w:rPr>
        <w:t xml:space="preserve"> to undertake characterisation of their waste to </w:t>
      </w:r>
      <w:r w:rsidR="006C7110">
        <w:rPr>
          <w:szCs w:val="24"/>
        </w:rPr>
        <w:t xml:space="preserve">better </w:t>
      </w:r>
      <w:r w:rsidR="00AD3731" w:rsidRPr="00AD3731">
        <w:rPr>
          <w:szCs w:val="24"/>
        </w:rPr>
        <w:t>understand the presence of POPs in different sub-streams</w:t>
      </w:r>
      <w:r w:rsidR="00843A12">
        <w:rPr>
          <w:szCs w:val="24"/>
        </w:rPr>
        <w:t xml:space="preserve"> and destroy the POPs content, preventing its use in recycled materials</w:t>
      </w:r>
      <w:r w:rsidR="00AD3731" w:rsidRPr="00AD3731">
        <w:rPr>
          <w:szCs w:val="24"/>
        </w:rPr>
        <w:t>.</w:t>
      </w:r>
    </w:p>
    <w:p w14:paraId="6E029CFA" w14:textId="274A3598" w:rsidR="001948FE" w:rsidRDefault="006D25D2" w:rsidP="001948FE">
      <w:r w:rsidRPr="00B55F52">
        <w:t xml:space="preserve">The </w:t>
      </w:r>
      <w:r w:rsidR="00FF751C">
        <w:t>competent authorities</w:t>
      </w:r>
      <w:r>
        <w:t xml:space="preserve"> </w:t>
      </w:r>
      <w:r w:rsidR="001D668B">
        <w:t>are</w:t>
      </w:r>
      <w:r w:rsidR="00757E72">
        <w:t xml:space="preserve"> now focussing on </w:t>
      </w:r>
      <w:r w:rsidR="00555C02">
        <w:t xml:space="preserve">domestic </w:t>
      </w:r>
      <w:r w:rsidR="005C2E1F">
        <w:t xml:space="preserve">and commercial </w:t>
      </w:r>
      <w:r w:rsidR="00555C02">
        <w:t>seating</w:t>
      </w:r>
      <w:r w:rsidR="002D5D81">
        <w:t>, carpet,</w:t>
      </w:r>
      <w:r w:rsidR="005C2E1F">
        <w:t xml:space="preserve"> </w:t>
      </w:r>
      <w:r w:rsidR="00043F0B">
        <w:t xml:space="preserve">residue from treatment of End of Life Vehicles </w:t>
      </w:r>
      <w:r w:rsidR="00AE104E">
        <w:t>and non-WEEE cables.</w:t>
      </w:r>
      <w:r w:rsidR="002D5D81">
        <w:t xml:space="preserve"> </w:t>
      </w:r>
    </w:p>
    <w:p w14:paraId="64F6C92E" w14:textId="6A90D60E" w:rsidR="003075EB" w:rsidRDefault="003075EB">
      <w:pPr>
        <w:spacing w:before="0" w:after="0" w:line="240" w:lineRule="auto"/>
      </w:pPr>
      <w:r>
        <w:br w:type="page"/>
      </w:r>
    </w:p>
    <w:p w14:paraId="357CF1D0" w14:textId="6D738F9B" w:rsidR="001948FE" w:rsidRDefault="088304C7" w:rsidP="001948FE">
      <w:pPr>
        <w:pStyle w:val="Heading3"/>
      </w:pPr>
      <w:r>
        <w:lastRenderedPageBreak/>
        <w:t xml:space="preserve">Assessment of </w:t>
      </w:r>
      <w:r w:rsidR="003C794E">
        <w:t>POPs in consumer products</w:t>
      </w:r>
    </w:p>
    <w:p w14:paraId="71F04DD6" w14:textId="2014FFB5" w:rsidR="00835677" w:rsidRPr="00726E9C" w:rsidRDefault="00835677" w:rsidP="00835677">
      <w:r w:rsidRPr="00726E9C">
        <w:t>In 2017 a study</w:t>
      </w:r>
      <w:r w:rsidR="000D37E8">
        <w:t xml:space="preserve"> (Wood, unpublished</w:t>
      </w:r>
      <w:r w:rsidR="00FD713F">
        <w:t xml:space="preserve"> a</w:t>
      </w:r>
      <w:r w:rsidR="000D37E8">
        <w:t>)</w:t>
      </w:r>
      <w:r w:rsidRPr="00726E9C">
        <w:t xml:space="preserve"> was undertaken to assess the presence and concentrations of PBDEs (including </w:t>
      </w:r>
      <w:proofErr w:type="spellStart"/>
      <w:r w:rsidRPr="00726E9C">
        <w:t>decaBDE</w:t>
      </w:r>
      <w:proofErr w:type="spellEnd"/>
      <w:r w:rsidRPr="00726E9C">
        <w:t xml:space="preserve">) within plastics on sale in the UK, focussing on products which had been manufactured outside the EU. The plastic products examined were both electrical and non-electrical, and a small number of packaging plastics were also examined. </w:t>
      </w:r>
    </w:p>
    <w:p w14:paraId="6FD24243" w14:textId="77777777" w:rsidR="003075EB" w:rsidRDefault="00835677" w:rsidP="00835677">
      <w:r w:rsidRPr="00726E9C">
        <w:t xml:space="preserve">The results were variable, with </w:t>
      </w:r>
      <w:proofErr w:type="gramStart"/>
      <w:r w:rsidRPr="00726E9C">
        <w:t>a number of</w:t>
      </w:r>
      <w:proofErr w:type="gramEnd"/>
      <w:r w:rsidRPr="00726E9C">
        <w:t xml:space="preserve"> samples containing either very low concentrations of PBDEs or no presence of PBDE above the limits of detection. In other cases</w:t>
      </w:r>
      <w:r w:rsidR="007924D9">
        <w:t>,</w:t>
      </w:r>
      <w:r w:rsidRPr="00726E9C">
        <w:t xml:space="preserve"> for a small number </w:t>
      </w:r>
      <w:r w:rsidR="007924D9">
        <w:t xml:space="preserve">of </w:t>
      </w:r>
      <w:r w:rsidRPr="00726E9C">
        <w:t>samples</w:t>
      </w:r>
      <w:r w:rsidR="007924D9">
        <w:t>,</w:t>
      </w:r>
      <w:r w:rsidRPr="00726E9C">
        <w:t xml:space="preserve"> very high concentrations of PBDEs were found, with the highest concentration detected </w:t>
      </w:r>
      <w:r w:rsidR="00653BDA">
        <w:t xml:space="preserve">at </w:t>
      </w:r>
      <w:r w:rsidRPr="00726E9C">
        <w:t xml:space="preserve">500 mg/kg </w:t>
      </w:r>
      <w:r w:rsidR="00653BDA">
        <w:t>in</w:t>
      </w:r>
      <w:r w:rsidR="00653BDA" w:rsidRPr="00726E9C">
        <w:t xml:space="preserve"> </w:t>
      </w:r>
      <w:r w:rsidRPr="00726E9C">
        <w:t xml:space="preserve">plastic. </w:t>
      </w:r>
    </w:p>
    <w:p w14:paraId="2AE70015" w14:textId="4BDA3A8E" w:rsidR="00835677" w:rsidRPr="00726E9C" w:rsidRDefault="00835677" w:rsidP="00835677">
      <w:r w:rsidRPr="00726E9C">
        <w:t>Combined</w:t>
      </w:r>
      <w:r w:rsidR="007924D9">
        <w:t>,</w:t>
      </w:r>
      <w:r w:rsidRPr="00726E9C">
        <w:t xml:space="preserve"> these results indicate that even though PBDEs have been banned for </w:t>
      </w:r>
      <w:r w:rsidR="00505EF8" w:rsidRPr="00726E9C">
        <w:t>several</w:t>
      </w:r>
      <w:r w:rsidRPr="00726E9C">
        <w:t xml:space="preserve"> years, concentrations found in some items available on the market are exceeding the legal limit.</w:t>
      </w:r>
    </w:p>
    <w:p w14:paraId="7AFAEA7C" w14:textId="0CCB0B77" w:rsidR="00835677" w:rsidRPr="00726E9C" w:rsidRDefault="00835677" w:rsidP="00835677">
      <w:r w:rsidRPr="00726E9C">
        <w:t xml:space="preserve">For tetra and </w:t>
      </w:r>
      <w:proofErr w:type="spellStart"/>
      <w:r w:rsidRPr="00726E9C">
        <w:t>penta</w:t>
      </w:r>
      <w:proofErr w:type="spellEnd"/>
      <w:r w:rsidR="007924D9">
        <w:t>,</w:t>
      </w:r>
      <w:r w:rsidRPr="00726E9C">
        <w:t xml:space="preserve"> concentrations were low in both electrical and non-electrical plastics. For </w:t>
      </w:r>
      <w:proofErr w:type="spellStart"/>
      <w:r w:rsidRPr="00726E9C">
        <w:t>hexa</w:t>
      </w:r>
      <w:proofErr w:type="spellEnd"/>
      <w:r w:rsidRPr="00726E9C">
        <w:t xml:space="preserve">, </w:t>
      </w:r>
      <w:proofErr w:type="spellStart"/>
      <w:r w:rsidRPr="00726E9C">
        <w:t>hepta</w:t>
      </w:r>
      <w:proofErr w:type="spellEnd"/>
      <w:r w:rsidRPr="00726E9C">
        <w:t xml:space="preserve"> and octa</w:t>
      </w:r>
      <w:r w:rsidR="007924D9">
        <w:t>,</w:t>
      </w:r>
      <w:r w:rsidRPr="00726E9C">
        <w:t xml:space="preserve"> concentrations were found to be higher with electrical goods</w:t>
      </w:r>
      <w:r w:rsidR="00F806DD">
        <w:t>,</w:t>
      </w:r>
      <w:r w:rsidRPr="00726E9C">
        <w:t xml:space="preserve"> having higher concentrations than non-electrical. </w:t>
      </w:r>
    </w:p>
    <w:p w14:paraId="0702947B" w14:textId="16AED704" w:rsidR="00835677" w:rsidRPr="00726E9C" w:rsidRDefault="00835677" w:rsidP="00835677">
      <w:r w:rsidRPr="00726E9C">
        <w:t xml:space="preserve">The </w:t>
      </w:r>
      <w:proofErr w:type="spellStart"/>
      <w:r w:rsidRPr="00726E9C">
        <w:t>decaBDE</w:t>
      </w:r>
      <w:proofErr w:type="spellEnd"/>
      <w:r w:rsidRPr="00726E9C">
        <w:t xml:space="preserve"> concentrations measured were higher than the other PDBEs, with concentrations significantly higher than the lower concentrations in the same goods (see table </w:t>
      </w:r>
      <w:r w:rsidR="000A3E6C">
        <w:t>2</w:t>
      </w:r>
      <w:r w:rsidRPr="00726E9C">
        <w:t xml:space="preserve"> below). The highest concentration identified for </w:t>
      </w:r>
      <w:proofErr w:type="spellStart"/>
      <w:r w:rsidR="001715E1">
        <w:t>d</w:t>
      </w:r>
      <w:r w:rsidRPr="00726E9C">
        <w:t>ecaBDE</w:t>
      </w:r>
      <w:proofErr w:type="spellEnd"/>
      <w:r w:rsidRPr="00726E9C">
        <w:t xml:space="preserve"> within the non-EU plastics sampled was </w:t>
      </w:r>
      <w:r w:rsidRPr="00505EF8">
        <w:t>550 mg/kg (or 550</w:t>
      </w:r>
      <w:r w:rsidR="0043155C" w:rsidRPr="00505EF8">
        <w:t>,</w:t>
      </w:r>
      <w:r w:rsidRPr="00505EF8">
        <w:t>000 ng/g).</w:t>
      </w:r>
      <w:r w:rsidRPr="00726E9C">
        <w:t xml:space="preserve"> </w:t>
      </w:r>
      <w:r w:rsidR="00496CD3">
        <w:t xml:space="preserve">This highest concentration is above the both the legal limits for </w:t>
      </w:r>
      <w:proofErr w:type="spellStart"/>
      <w:r w:rsidR="00574D93">
        <w:t>d</w:t>
      </w:r>
      <w:r w:rsidR="00496CD3">
        <w:t>ecaBDE</w:t>
      </w:r>
      <w:proofErr w:type="spellEnd"/>
      <w:r w:rsidR="00574D93">
        <w:t xml:space="preserve"> present in substances</w:t>
      </w:r>
      <w:r w:rsidR="00496CD3">
        <w:t xml:space="preserve"> and PBDEs (tetra-, penta-, hexa-, </w:t>
      </w:r>
      <w:proofErr w:type="spellStart"/>
      <w:r w:rsidR="00496CD3">
        <w:t>hepta</w:t>
      </w:r>
      <w:proofErr w:type="spellEnd"/>
      <w:r w:rsidR="00496CD3">
        <w:t xml:space="preserve">- and </w:t>
      </w:r>
      <w:proofErr w:type="spellStart"/>
      <w:r w:rsidR="00496CD3">
        <w:t>decaBDE</w:t>
      </w:r>
      <w:proofErr w:type="spellEnd"/>
      <w:r w:rsidR="00574D93">
        <w:t>) where they are present in mixtures or articles</w:t>
      </w:r>
      <w:r w:rsidR="00496CD3">
        <w:t xml:space="preserve"> of equal to or below 10 mg/kg</w:t>
      </w:r>
      <w:r w:rsidR="00574D93">
        <w:t xml:space="preserve"> (10,000 ng/g) and 500 m/kg (500,000 ng/g), respectively.</w:t>
      </w:r>
      <w:r w:rsidRPr="00726E9C">
        <w:t>.</w:t>
      </w:r>
    </w:p>
    <w:p w14:paraId="0906E8DC" w14:textId="18E0C808" w:rsidR="00835677" w:rsidRPr="00726E9C" w:rsidRDefault="003C794E" w:rsidP="00835677">
      <w:r>
        <w:t>The</w:t>
      </w:r>
      <w:r w:rsidRPr="00726E9C">
        <w:t xml:space="preserve"> </w:t>
      </w:r>
      <w:r w:rsidR="00835677" w:rsidRPr="00726E9C">
        <w:t>groups c-</w:t>
      </w:r>
      <w:proofErr w:type="spellStart"/>
      <w:r w:rsidR="00835677" w:rsidRPr="00726E9C">
        <w:t>pentaBDE</w:t>
      </w:r>
      <w:proofErr w:type="spellEnd"/>
      <w:r w:rsidR="00835677" w:rsidRPr="00726E9C">
        <w:t xml:space="preserve"> and c-</w:t>
      </w:r>
      <w:proofErr w:type="spellStart"/>
      <w:r w:rsidR="00835677" w:rsidRPr="00726E9C">
        <w:t>octaBDE</w:t>
      </w:r>
      <w:proofErr w:type="spellEnd"/>
      <w:r w:rsidR="0090539E">
        <w:t xml:space="preserve"> were found</w:t>
      </w:r>
      <w:r w:rsidR="00835677" w:rsidRPr="00726E9C">
        <w:t xml:space="preserve"> in 11 out of 15 samples for electrical goods and 7 out of the 15 samples for non-electricals goods. This indicates that these materials are still present within the waste and recycling streams. This is despite the fact they have been banned in Europe for over 12 years and banned under the Stockholm Convention for over 8 years. </w:t>
      </w:r>
    </w:p>
    <w:p w14:paraId="691FFFE9" w14:textId="667FF860" w:rsidR="00835677" w:rsidRDefault="00835677" w:rsidP="00835677">
      <w:r w:rsidRPr="00726E9C">
        <w:t>The study also examined a small number of packaging plastics for the presence of PBDEs</w:t>
      </w:r>
      <w:r w:rsidR="0090539E">
        <w:t>. T</w:t>
      </w:r>
      <w:r w:rsidRPr="00726E9C">
        <w:t xml:space="preserve">he only presence reported was at or around the limits of detection in two samples and not for all homologue groups. </w:t>
      </w:r>
    </w:p>
    <w:p w14:paraId="566860ED" w14:textId="7D5B4D12" w:rsidR="003075EB" w:rsidRDefault="003075EB">
      <w:pPr>
        <w:spacing w:before="0" w:after="0" w:line="240" w:lineRule="auto"/>
      </w:pPr>
      <w:r>
        <w:br w:type="page"/>
      </w:r>
    </w:p>
    <w:p w14:paraId="20F83EA2" w14:textId="3987B682" w:rsidR="00F0297F" w:rsidRPr="00726E9C" w:rsidRDefault="00F0297F" w:rsidP="00397CBD">
      <w:pPr>
        <w:ind w:left="-142"/>
        <w:rPr>
          <w:b/>
          <w:iCs/>
        </w:rPr>
      </w:pPr>
      <w:r w:rsidRPr="00726E9C">
        <w:rPr>
          <w:b/>
          <w:iCs/>
        </w:rPr>
        <w:lastRenderedPageBreak/>
        <w:t xml:space="preserve">Table </w:t>
      </w:r>
      <w:r w:rsidR="00DD1F1E">
        <w:rPr>
          <w:b/>
          <w:iCs/>
        </w:rPr>
        <w:t>2</w:t>
      </w:r>
      <w:r w:rsidRPr="00726E9C">
        <w:rPr>
          <w:b/>
          <w:iCs/>
        </w:rPr>
        <w:t xml:space="preserve"> </w:t>
      </w:r>
      <w:r w:rsidR="003075EB">
        <w:rPr>
          <w:b/>
          <w:iCs/>
        </w:rPr>
        <w:t xml:space="preserve">Results from a 2017 study (Wood, unpublished a) to assess the presence and concentrations of PBDEs within plastics on sale in the UK, </w:t>
      </w:r>
      <w:r w:rsidR="003075EB" w:rsidRPr="00397CBD">
        <w:rPr>
          <w:b/>
          <w:bCs/>
        </w:rPr>
        <w:t>focussing on products which had been manufactured outside the EU</w:t>
      </w:r>
      <w:r w:rsidR="003075EB">
        <w:rPr>
          <w:b/>
          <w:bCs/>
        </w:rPr>
        <w:t xml:space="preserve"> -</w:t>
      </w:r>
      <w:r w:rsidR="003075EB" w:rsidRPr="00397CBD">
        <w:rPr>
          <w:b/>
          <w:bCs/>
        </w:rPr>
        <w:t xml:space="preserve"> </w:t>
      </w:r>
      <w:r w:rsidRPr="00726E9C">
        <w:rPr>
          <w:b/>
          <w:iCs/>
        </w:rPr>
        <w:t>Summary of aggregated data (ng/g)</w:t>
      </w:r>
    </w:p>
    <w:tbl>
      <w:tblPr>
        <w:tblStyle w:val="TableGrid"/>
        <w:tblW w:w="0" w:type="auto"/>
        <w:tblLook w:val="04A0" w:firstRow="1" w:lastRow="0" w:firstColumn="1" w:lastColumn="0" w:noHBand="0" w:noVBand="1"/>
      </w:tblPr>
      <w:tblGrid>
        <w:gridCol w:w="801"/>
        <w:gridCol w:w="1454"/>
        <w:gridCol w:w="1043"/>
        <w:gridCol w:w="1176"/>
        <w:gridCol w:w="1176"/>
        <w:gridCol w:w="525"/>
        <w:gridCol w:w="811"/>
        <w:gridCol w:w="532"/>
        <w:gridCol w:w="811"/>
        <w:gridCol w:w="614"/>
        <w:gridCol w:w="678"/>
      </w:tblGrid>
      <w:tr w:rsidR="008B01B6" w:rsidRPr="00726E9C" w14:paraId="540D9F1D" w14:textId="77777777" w:rsidTr="008B0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val="restart"/>
          </w:tcPr>
          <w:p w14:paraId="320ACA7F" w14:textId="77777777" w:rsidR="008B01B6" w:rsidRPr="00726E9C" w:rsidRDefault="008B01B6" w:rsidP="008B01B6">
            <w:pPr>
              <w:ind w:left="0" w:right="0"/>
            </w:pPr>
            <w:r w:rsidRPr="00726E9C">
              <w:t>PBDE</w:t>
            </w:r>
          </w:p>
        </w:tc>
        <w:tc>
          <w:tcPr>
            <w:tcW w:w="1500" w:type="dxa"/>
            <w:vMerge w:val="restart"/>
          </w:tcPr>
          <w:p w14:paraId="63073942"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Homologue group</w:t>
            </w:r>
          </w:p>
        </w:tc>
        <w:tc>
          <w:tcPr>
            <w:tcW w:w="1088" w:type="dxa"/>
            <w:vMerge w:val="restart"/>
          </w:tcPr>
          <w:p w14:paraId="272C91FD"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Mean average total</w:t>
            </w:r>
          </w:p>
        </w:tc>
        <w:tc>
          <w:tcPr>
            <w:tcW w:w="1221" w:type="dxa"/>
            <w:vMerge w:val="restart"/>
          </w:tcPr>
          <w:p w14:paraId="73E957CC"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Mean average plastics in electrical</w:t>
            </w:r>
          </w:p>
        </w:tc>
        <w:tc>
          <w:tcPr>
            <w:tcW w:w="1221" w:type="dxa"/>
            <w:vMerge w:val="restart"/>
          </w:tcPr>
          <w:p w14:paraId="59DA127C"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 xml:space="preserve">Mean average plastics in </w:t>
            </w:r>
            <w:proofErr w:type="spellStart"/>
            <w:proofErr w:type="gramStart"/>
            <w:r w:rsidRPr="00726E9C">
              <w:t>non electrical</w:t>
            </w:r>
            <w:proofErr w:type="spellEnd"/>
            <w:proofErr w:type="gramEnd"/>
          </w:p>
        </w:tc>
        <w:tc>
          <w:tcPr>
            <w:tcW w:w="1201" w:type="dxa"/>
            <w:gridSpan w:val="2"/>
          </w:tcPr>
          <w:p w14:paraId="1E04161C"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Range</w:t>
            </w:r>
          </w:p>
        </w:tc>
        <w:tc>
          <w:tcPr>
            <w:tcW w:w="1221" w:type="dxa"/>
            <w:gridSpan w:val="2"/>
          </w:tcPr>
          <w:p w14:paraId="1DD0FBB4"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Range-Plastics in electrical</w:t>
            </w:r>
          </w:p>
        </w:tc>
        <w:tc>
          <w:tcPr>
            <w:tcW w:w="1322" w:type="dxa"/>
            <w:gridSpan w:val="2"/>
          </w:tcPr>
          <w:p w14:paraId="7554DF76" w14:textId="77777777" w:rsidR="008B01B6" w:rsidRPr="00726E9C" w:rsidRDefault="008B01B6" w:rsidP="008B01B6">
            <w:pPr>
              <w:ind w:left="0" w:right="0"/>
              <w:cnfStyle w:val="100000000000" w:firstRow="1" w:lastRow="0" w:firstColumn="0" w:lastColumn="0" w:oddVBand="0" w:evenVBand="0" w:oddHBand="0" w:evenHBand="0" w:firstRowFirstColumn="0" w:firstRowLastColumn="0" w:lastRowFirstColumn="0" w:lastRowLastColumn="0"/>
            </w:pPr>
            <w:r w:rsidRPr="00726E9C">
              <w:t>Range-plastics in non-electrical</w:t>
            </w:r>
          </w:p>
        </w:tc>
      </w:tr>
      <w:tr w:rsidR="008B01B6" w:rsidRPr="00726E9C" w14:paraId="2F82259E" w14:textId="77777777" w:rsidTr="008B01B6">
        <w:tc>
          <w:tcPr>
            <w:cnfStyle w:val="001000000000" w:firstRow="0" w:lastRow="0" w:firstColumn="1" w:lastColumn="0" w:oddVBand="0" w:evenVBand="0" w:oddHBand="0" w:evenHBand="0" w:firstRowFirstColumn="0" w:firstRowLastColumn="0" w:lastRowFirstColumn="0" w:lastRowLastColumn="0"/>
            <w:tcW w:w="847" w:type="dxa"/>
            <w:vMerge/>
          </w:tcPr>
          <w:p w14:paraId="299DEF15" w14:textId="77777777" w:rsidR="008B01B6" w:rsidRPr="00726E9C" w:rsidRDefault="008B01B6" w:rsidP="008B01B6">
            <w:pPr>
              <w:ind w:left="0" w:right="0"/>
            </w:pPr>
          </w:p>
        </w:tc>
        <w:tc>
          <w:tcPr>
            <w:tcW w:w="1500" w:type="dxa"/>
            <w:vMerge/>
          </w:tcPr>
          <w:p w14:paraId="2AE9C069"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p>
        </w:tc>
        <w:tc>
          <w:tcPr>
            <w:tcW w:w="1088" w:type="dxa"/>
            <w:vMerge/>
          </w:tcPr>
          <w:p w14:paraId="6487566E"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p>
        </w:tc>
        <w:tc>
          <w:tcPr>
            <w:tcW w:w="1221" w:type="dxa"/>
            <w:vMerge/>
          </w:tcPr>
          <w:p w14:paraId="370BB572"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p>
        </w:tc>
        <w:tc>
          <w:tcPr>
            <w:tcW w:w="1221" w:type="dxa"/>
            <w:vMerge/>
          </w:tcPr>
          <w:p w14:paraId="573C9713"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p>
        </w:tc>
        <w:tc>
          <w:tcPr>
            <w:tcW w:w="567" w:type="dxa"/>
          </w:tcPr>
          <w:p w14:paraId="4A7CAABD"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Min</w:t>
            </w:r>
          </w:p>
        </w:tc>
        <w:tc>
          <w:tcPr>
            <w:tcW w:w="634" w:type="dxa"/>
          </w:tcPr>
          <w:p w14:paraId="2BAEF1A6"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Max</w:t>
            </w:r>
          </w:p>
        </w:tc>
        <w:tc>
          <w:tcPr>
            <w:tcW w:w="576" w:type="dxa"/>
          </w:tcPr>
          <w:p w14:paraId="717930BD"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Min</w:t>
            </w:r>
          </w:p>
        </w:tc>
        <w:tc>
          <w:tcPr>
            <w:tcW w:w="645" w:type="dxa"/>
          </w:tcPr>
          <w:p w14:paraId="514FAEC8"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Max</w:t>
            </w:r>
          </w:p>
        </w:tc>
        <w:tc>
          <w:tcPr>
            <w:tcW w:w="688" w:type="dxa"/>
          </w:tcPr>
          <w:p w14:paraId="78F10CB0"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Min</w:t>
            </w:r>
            <w:r w:rsidRPr="00726E9C">
              <w:tab/>
            </w:r>
          </w:p>
        </w:tc>
        <w:tc>
          <w:tcPr>
            <w:tcW w:w="634" w:type="dxa"/>
          </w:tcPr>
          <w:p w14:paraId="5280BA91"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Max</w:t>
            </w:r>
          </w:p>
        </w:tc>
      </w:tr>
      <w:tr w:rsidR="008B01B6" w:rsidRPr="00726E9C" w14:paraId="03A75266" w14:textId="77777777" w:rsidTr="008B0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tcPr>
          <w:p w14:paraId="2EE9E92E" w14:textId="77777777" w:rsidR="008B01B6" w:rsidRPr="00726E9C" w:rsidRDefault="008B01B6" w:rsidP="008B01B6">
            <w:pPr>
              <w:ind w:left="0" w:right="0"/>
            </w:pPr>
            <w:r w:rsidRPr="00726E9C">
              <w:t>47</w:t>
            </w:r>
          </w:p>
        </w:tc>
        <w:tc>
          <w:tcPr>
            <w:tcW w:w="1500" w:type="dxa"/>
          </w:tcPr>
          <w:p w14:paraId="5EA347D3"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Tetra</w:t>
            </w:r>
          </w:p>
        </w:tc>
        <w:tc>
          <w:tcPr>
            <w:tcW w:w="1088" w:type="dxa"/>
          </w:tcPr>
          <w:p w14:paraId="390759B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13</w:t>
            </w:r>
          </w:p>
        </w:tc>
        <w:tc>
          <w:tcPr>
            <w:tcW w:w="1221" w:type="dxa"/>
          </w:tcPr>
          <w:p w14:paraId="6A0AC40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8</w:t>
            </w:r>
          </w:p>
        </w:tc>
        <w:tc>
          <w:tcPr>
            <w:tcW w:w="1221" w:type="dxa"/>
          </w:tcPr>
          <w:p w14:paraId="3A0F6A55"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18</w:t>
            </w:r>
          </w:p>
        </w:tc>
        <w:tc>
          <w:tcPr>
            <w:tcW w:w="567" w:type="dxa"/>
          </w:tcPr>
          <w:p w14:paraId="7C6F094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0.5</w:t>
            </w:r>
          </w:p>
        </w:tc>
        <w:tc>
          <w:tcPr>
            <w:tcW w:w="634" w:type="dxa"/>
          </w:tcPr>
          <w:p w14:paraId="4AC3F72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250</w:t>
            </w:r>
          </w:p>
        </w:tc>
        <w:tc>
          <w:tcPr>
            <w:tcW w:w="576" w:type="dxa"/>
          </w:tcPr>
          <w:p w14:paraId="5AED97DD"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0.5</w:t>
            </w:r>
          </w:p>
        </w:tc>
        <w:tc>
          <w:tcPr>
            <w:tcW w:w="645" w:type="dxa"/>
          </w:tcPr>
          <w:p w14:paraId="67E7ED6C"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28</w:t>
            </w:r>
          </w:p>
        </w:tc>
        <w:tc>
          <w:tcPr>
            <w:tcW w:w="688" w:type="dxa"/>
          </w:tcPr>
          <w:p w14:paraId="478C36E7"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w:t>
            </w:r>
          </w:p>
        </w:tc>
        <w:tc>
          <w:tcPr>
            <w:tcW w:w="634" w:type="dxa"/>
          </w:tcPr>
          <w:p w14:paraId="6923209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250</w:t>
            </w:r>
          </w:p>
        </w:tc>
      </w:tr>
      <w:tr w:rsidR="008B01B6" w:rsidRPr="00726E9C" w14:paraId="30DADF63" w14:textId="77777777" w:rsidTr="008B01B6">
        <w:tc>
          <w:tcPr>
            <w:cnfStyle w:val="001000000000" w:firstRow="0" w:lastRow="0" w:firstColumn="1" w:lastColumn="0" w:oddVBand="0" w:evenVBand="0" w:oddHBand="0" w:evenHBand="0" w:firstRowFirstColumn="0" w:firstRowLastColumn="0" w:lastRowFirstColumn="0" w:lastRowLastColumn="0"/>
            <w:tcW w:w="847" w:type="dxa"/>
          </w:tcPr>
          <w:p w14:paraId="4510D657" w14:textId="77777777" w:rsidR="008B01B6" w:rsidRPr="00726E9C" w:rsidRDefault="008B01B6" w:rsidP="008B01B6">
            <w:pPr>
              <w:ind w:left="0" w:right="0"/>
            </w:pPr>
            <w:r w:rsidRPr="00726E9C">
              <w:t>85</w:t>
            </w:r>
          </w:p>
        </w:tc>
        <w:tc>
          <w:tcPr>
            <w:tcW w:w="1500" w:type="dxa"/>
          </w:tcPr>
          <w:p w14:paraId="31FBA5CB"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Penta</w:t>
            </w:r>
          </w:p>
        </w:tc>
        <w:tc>
          <w:tcPr>
            <w:tcW w:w="1088" w:type="dxa"/>
          </w:tcPr>
          <w:p w14:paraId="1E141C96"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3</w:t>
            </w:r>
          </w:p>
        </w:tc>
        <w:tc>
          <w:tcPr>
            <w:tcW w:w="1221" w:type="dxa"/>
          </w:tcPr>
          <w:p w14:paraId="0499770B"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5</w:t>
            </w:r>
          </w:p>
        </w:tc>
        <w:tc>
          <w:tcPr>
            <w:tcW w:w="1221" w:type="dxa"/>
          </w:tcPr>
          <w:p w14:paraId="0E789E97"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w:t>
            </w:r>
          </w:p>
        </w:tc>
        <w:tc>
          <w:tcPr>
            <w:tcW w:w="567" w:type="dxa"/>
          </w:tcPr>
          <w:p w14:paraId="4468C62C"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0.5</w:t>
            </w:r>
          </w:p>
        </w:tc>
        <w:tc>
          <w:tcPr>
            <w:tcW w:w="634" w:type="dxa"/>
          </w:tcPr>
          <w:p w14:paraId="02874C1F"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43</w:t>
            </w:r>
          </w:p>
        </w:tc>
        <w:tc>
          <w:tcPr>
            <w:tcW w:w="576" w:type="dxa"/>
          </w:tcPr>
          <w:p w14:paraId="1B7FF557"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0.5</w:t>
            </w:r>
          </w:p>
        </w:tc>
        <w:tc>
          <w:tcPr>
            <w:tcW w:w="645" w:type="dxa"/>
          </w:tcPr>
          <w:p w14:paraId="16F3C74D"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43</w:t>
            </w:r>
          </w:p>
        </w:tc>
        <w:tc>
          <w:tcPr>
            <w:tcW w:w="688" w:type="dxa"/>
          </w:tcPr>
          <w:p w14:paraId="2131A466"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w:t>
            </w:r>
          </w:p>
        </w:tc>
        <w:tc>
          <w:tcPr>
            <w:tcW w:w="634" w:type="dxa"/>
          </w:tcPr>
          <w:p w14:paraId="087CA537"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14</w:t>
            </w:r>
          </w:p>
        </w:tc>
      </w:tr>
      <w:tr w:rsidR="008B01B6" w:rsidRPr="00726E9C" w14:paraId="28980F42" w14:textId="77777777" w:rsidTr="008B0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tcPr>
          <w:p w14:paraId="57B8997A" w14:textId="77777777" w:rsidR="008B01B6" w:rsidRPr="00726E9C" w:rsidRDefault="008B01B6" w:rsidP="008B01B6">
            <w:pPr>
              <w:ind w:left="0" w:right="0"/>
            </w:pPr>
            <w:r w:rsidRPr="00726E9C">
              <w:t>99</w:t>
            </w:r>
          </w:p>
        </w:tc>
        <w:tc>
          <w:tcPr>
            <w:tcW w:w="1500" w:type="dxa"/>
          </w:tcPr>
          <w:p w14:paraId="5FE4C63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Penta</w:t>
            </w:r>
          </w:p>
        </w:tc>
        <w:tc>
          <w:tcPr>
            <w:tcW w:w="1088" w:type="dxa"/>
          </w:tcPr>
          <w:p w14:paraId="66953792"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14</w:t>
            </w:r>
          </w:p>
        </w:tc>
        <w:tc>
          <w:tcPr>
            <w:tcW w:w="1221" w:type="dxa"/>
          </w:tcPr>
          <w:p w14:paraId="0581C51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7</w:t>
            </w:r>
          </w:p>
        </w:tc>
        <w:tc>
          <w:tcPr>
            <w:tcW w:w="1221" w:type="dxa"/>
          </w:tcPr>
          <w:p w14:paraId="5E72D02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20</w:t>
            </w:r>
          </w:p>
        </w:tc>
        <w:tc>
          <w:tcPr>
            <w:tcW w:w="567" w:type="dxa"/>
          </w:tcPr>
          <w:p w14:paraId="75A86F56"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w:t>
            </w:r>
          </w:p>
        </w:tc>
        <w:tc>
          <w:tcPr>
            <w:tcW w:w="634" w:type="dxa"/>
          </w:tcPr>
          <w:p w14:paraId="59C42A2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290</w:t>
            </w:r>
          </w:p>
        </w:tc>
        <w:tc>
          <w:tcPr>
            <w:tcW w:w="576" w:type="dxa"/>
          </w:tcPr>
          <w:p w14:paraId="55921A5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w:t>
            </w:r>
          </w:p>
        </w:tc>
        <w:tc>
          <w:tcPr>
            <w:tcW w:w="645" w:type="dxa"/>
          </w:tcPr>
          <w:p w14:paraId="610A802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42</w:t>
            </w:r>
          </w:p>
        </w:tc>
        <w:tc>
          <w:tcPr>
            <w:tcW w:w="688" w:type="dxa"/>
          </w:tcPr>
          <w:p w14:paraId="6AE46476"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w:t>
            </w:r>
          </w:p>
        </w:tc>
        <w:tc>
          <w:tcPr>
            <w:tcW w:w="634" w:type="dxa"/>
          </w:tcPr>
          <w:p w14:paraId="56EEF774"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290</w:t>
            </w:r>
          </w:p>
        </w:tc>
      </w:tr>
      <w:tr w:rsidR="008B01B6" w:rsidRPr="00726E9C" w14:paraId="19AA1D57" w14:textId="77777777" w:rsidTr="008B01B6">
        <w:tc>
          <w:tcPr>
            <w:cnfStyle w:val="001000000000" w:firstRow="0" w:lastRow="0" w:firstColumn="1" w:lastColumn="0" w:oddVBand="0" w:evenVBand="0" w:oddHBand="0" w:evenHBand="0" w:firstRowFirstColumn="0" w:firstRowLastColumn="0" w:lastRowFirstColumn="0" w:lastRowLastColumn="0"/>
            <w:tcW w:w="847" w:type="dxa"/>
          </w:tcPr>
          <w:p w14:paraId="6C8E22F4" w14:textId="77777777" w:rsidR="008B01B6" w:rsidRPr="00726E9C" w:rsidRDefault="008B01B6" w:rsidP="008B01B6">
            <w:pPr>
              <w:ind w:left="0" w:right="0"/>
            </w:pPr>
            <w:r w:rsidRPr="00726E9C">
              <w:t>100</w:t>
            </w:r>
          </w:p>
        </w:tc>
        <w:tc>
          <w:tcPr>
            <w:tcW w:w="1500" w:type="dxa"/>
          </w:tcPr>
          <w:p w14:paraId="23DFCB86"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Penta</w:t>
            </w:r>
          </w:p>
        </w:tc>
        <w:tc>
          <w:tcPr>
            <w:tcW w:w="1088" w:type="dxa"/>
          </w:tcPr>
          <w:p w14:paraId="5B8FA846"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3</w:t>
            </w:r>
          </w:p>
        </w:tc>
        <w:tc>
          <w:tcPr>
            <w:tcW w:w="1221" w:type="dxa"/>
          </w:tcPr>
          <w:p w14:paraId="3137620B"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w:t>
            </w:r>
          </w:p>
        </w:tc>
        <w:tc>
          <w:tcPr>
            <w:tcW w:w="1221" w:type="dxa"/>
          </w:tcPr>
          <w:p w14:paraId="34B906F4"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4</w:t>
            </w:r>
          </w:p>
        </w:tc>
        <w:tc>
          <w:tcPr>
            <w:tcW w:w="567" w:type="dxa"/>
          </w:tcPr>
          <w:p w14:paraId="394C9901"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1.5</w:t>
            </w:r>
          </w:p>
        </w:tc>
        <w:tc>
          <w:tcPr>
            <w:tcW w:w="634" w:type="dxa"/>
          </w:tcPr>
          <w:p w14:paraId="4A969773"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61</w:t>
            </w:r>
          </w:p>
        </w:tc>
        <w:tc>
          <w:tcPr>
            <w:tcW w:w="576" w:type="dxa"/>
          </w:tcPr>
          <w:p w14:paraId="0E3CF9B0"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1.5</w:t>
            </w:r>
          </w:p>
        </w:tc>
        <w:tc>
          <w:tcPr>
            <w:tcW w:w="645" w:type="dxa"/>
          </w:tcPr>
          <w:p w14:paraId="54437F6C"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6</w:t>
            </w:r>
          </w:p>
        </w:tc>
        <w:tc>
          <w:tcPr>
            <w:tcW w:w="688" w:type="dxa"/>
          </w:tcPr>
          <w:p w14:paraId="3C7C2BB3"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2.5</w:t>
            </w:r>
          </w:p>
        </w:tc>
        <w:tc>
          <w:tcPr>
            <w:tcW w:w="634" w:type="dxa"/>
          </w:tcPr>
          <w:p w14:paraId="02A5473A"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61</w:t>
            </w:r>
          </w:p>
        </w:tc>
      </w:tr>
      <w:tr w:rsidR="008B01B6" w:rsidRPr="00726E9C" w14:paraId="1F711288" w14:textId="77777777" w:rsidTr="008B0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tcPr>
          <w:p w14:paraId="2E345EF6" w14:textId="77777777" w:rsidR="008B01B6" w:rsidRPr="00726E9C" w:rsidRDefault="008B01B6" w:rsidP="008B01B6">
            <w:pPr>
              <w:ind w:left="0" w:right="0"/>
            </w:pPr>
            <w:r w:rsidRPr="00726E9C">
              <w:t>153</w:t>
            </w:r>
          </w:p>
        </w:tc>
        <w:tc>
          <w:tcPr>
            <w:tcW w:w="1500" w:type="dxa"/>
          </w:tcPr>
          <w:p w14:paraId="2A2BD15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proofErr w:type="spellStart"/>
            <w:r w:rsidRPr="00726E9C">
              <w:t>Hexa</w:t>
            </w:r>
            <w:proofErr w:type="spellEnd"/>
          </w:p>
        </w:tc>
        <w:tc>
          <w:tcPr>
            <w:tcW w:w="1088" w:type="dxa"/>
          </w:tcPr>
          <w:p w14:paraId="6E0BE05B"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178</w:t>
            </w:r>
          </w:p>
        </w:tc>
        <w:tc>
          <w:tcPr>
            <w:tcW w:w="1221" w:type="dxa"/>
          </w:tcPr>
          <w:p w14:paraId="58AB01C3"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327</w:t>
            </w:r>
          </w:p>
        </w:tc>
        <w:tc>
          <w:tcPr>
            <w:tcW w:w="1221" w:type="dxa"/>
          </w:tcPr>
          <w:p w14:paraId="336F75AD"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29</w:t>
            </w:r>
          </w:p>
        </w:tc>
        <w:tc>
          <w:tcPr>
            <w:tcW w:w="567" w:type="dxa"/>
          </w:tcPr>
          <w:p w14:paraId="56022D8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w:t>
            </w:r>
          </w:p>
        </w:tc>
        <w:tc>
          <w:tcPr>
            <w:tcW w:w="634" w:type="dxa"/>
          </w:tcPr>
          <w:p w14:paraId="2C99C9BF"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2700</w:t>
            </w:r>
          </w:p>
        </w:tc>
        <w:tc>
          <w:tcPr>
            <w:tcW w:w="576" w:type="dxa"/>
          </w:tcPr>
          <w:p w14:paraId="22DD6A3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w:t>
            </w:r>
          </w:p>
        </w:tc>
        <w:tc>
          <w:tcPr>
            <w:tcW w:w="645" w:type="dxa"/>
          </w:tcPr>
          <w:p w14:paraId="2340CB46"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2700</w:t>
            </w:r>
          </w:p>
        </w:tc>
        <w:tc>
          <w:tcPr>
            <w:tcW w:w="688" w:type="dxa"/>
          </w:tcPr>
          <w:p w14:paraId="07C3099C"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w:t>
            </w:r>
          </w:p>
        </w:tc>
        <w:tc>
          <w:tcPr>
            <w:tcW w:w="634" w:type="dxa"/>
          </w:tcPr>
          <w:p w14:paraId="60545C98"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240</w:t>
            </w:r>
          </w:p>
        </w:tc>
      </w:tr>
      <w:tr w:rsidR="008B01B6" w:rsidRPr="00726E9C" w14:paraId="7F14F56C" w14:textId="77777777" w:rsidTr="008B01B6">
        <w:tc>
          <w:tcPr>
            <w:cnfStyle w:val="001000000000" w:firstRow="0" w:lastRow="0" w:firstColumn="1" w:lastColumn="0" w:oddVBand="0" w:evenVBand="0" w:oddHBand="0" w:evenHBand="0" w:firstRowFirstColumn="0" w:firstRowLastColumn="0" w:lastRowFirstColumn="0" w:lastRowLastColumn="0"/>
            <w:tcW w:w="847" w:type="dxa"/>
          </w:tcPr>
          <w:p w14:paraId="4FE0A0AE" w14:textId="77777777" w:rsidR="008B01B6" w:rsidRPr="00726E9C" w:rsidRDefault="008B01B6" w:rsidP="008B01B6">
            <w:pPr>
              <w:ind w:left="0" w:right="0"/>
            </w:pPr>
            <w:r w:rsidRPr="00726E9C">
              <w:t>154</w:t>
            </w:r>
          </w:p>
        </w:tc>
        <w:tc>
          <w:tcPr>
            <w:tcW w:w="1500" w:type="dxa"/>
          </w:tcPr>
          <w:p w14:paraId="778112AB"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proofErr w:type="spellStart"/>
            <w:r w:rsidRPr="00726E9C">
              <w:t>Hexa</w:t>
            </w:r>
            <w:proofErr w:type="spellEnd"/>
          </w:p>
        </w:tc>
        <w:tc>
          <w:tcPr>
            <w:tcW w:w="1088" w:type="dxa"/>
          </w:tcPr>
          <w:p w14:paraId="2DB613B2"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20</w:t>
            </w:r>
          </w:p>
        </w:tc>
        <w:tc>
          <w:tcPr>
            <w:tcW w:w="1221" w:type="dxa"/>
          </w:tcPr>
          <w:p w14:paraId="3D1E6AF5"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35</w:t>
            </w:r>
          </w:p>
        </w:tc>
        <w:tc>
          <w:tcPr>
            <w:tcW w:w="1221" w:type="dxa"/>
          </w:tcPr>
          <w:p w14:paraId="52FA03EE"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4</w:t>
            </w:r>
          </w:p>
        </w:tc>
        <w:tc>
          <w:tcPr>
            <w:tcW w:w="567" w:type="dxa"/>
          </w:tcPr>
          <w:p w14:paraId="5C75B3E0"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w:t>
            </w:r>
          </w:p>
        </w:tc>
        <w:tc>
          <w:tcPr>
            <w:tcW w:w="634" w:type="dxa"/>
          </w:tcPr>
          <w:p w14:paraId="2A82803A"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290</w:t>
            </w:r>
          </w:p>
        </w:tc>
        <w:tc>
          <w:tcPr>
            <w:tcW w:w="576" w:type="dxa"/>
          </w:tcPr>
          <w:p w14:paraId="6B7E0177"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w:t>
            </w:r>
          </w:p>
        </w:tc>
        <w:tc>
          <w:tcPr>
            <w:tcW w:w="645" w:type="dxa"/>
          </w:tcPr>
          <w:p w14:paraId="5C0B2E9C"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290</w:t>
            </w:r>
          </w:p>
        </w:tc>
        <w:tc>
          <w:tcPr>
            <w:tcW w:w="688" w:type="dxa"/>
          </w:tcPr>
          <w:p w14:paraId="34080498"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6</w:t>
            </w:r>
          </w:p>
        </w:tc>
        <w:tc>
          <w:tcPr>
            <w:tcW w:w="634" w:type="dxa"/>
          </w:tcPr>
          <w:p w14:paraId="32A5009A"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32</w:t>
            </w:r>
          </w:p>
        </w:tc>
      </w:tr>
      <w:tr w:rsidR="008B01B6" w:rsidRPr="00726E9C" w14:paraId="2AC3879F" w14:textId="77777777" w:rsidTr="008B0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tcPr>
          <w:p w14:paraId="62183C80" w14:textId="77777777" w:rsidR="008B01B6" w:rsidRPr="00726E9C" w:rsidRDefault="008B01B6" w:rsidP="008B01B6">
            <w:pPr>
              <w:ind w:left="0" w:right="0"/>
            </w:pPr>
            <w:r w:rsidRPr="00726E9C">
              <w:t>183</w:t>
            </w:r>
          </w:p>
        </w:tc>
        <w:tc>
          <w:tcPr>
            <w:tcW w:w="1500" w:type="dxa"/>
          </w:tcPr>
          <w:p w14:paraId="56D5D58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proofErr w:type="spellStart"/>
            <w:r w:rsidRPr="00726E9C">
              <w:t>Hepta</w:t>
            </w:r>
            <w:proofErr w:type="spellEnd"/>
          </w:p>
        </w:tc>
        <w:tc>
          <w:tcPr>
            <w:tcW w:w="1088" w:type="dxa"/>
          </w:tcPr>
          <w:p w14:paraId="646DDD35"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1296</w:t>
            </w:r>
          </w:p>
        </w:tc>
        <w:tc>
          <w:tcPr>
            <w:tcW w:w="1221" w:type="dxa"/>
          </w:tcPr>
          <w:p w14:paraId="65CC1E6E"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2402</w:t>
            </w:r>
          </w:p>
        </w:tc>
        <w:tc>
          <w:tcPr>
            <w:tcW w:w="1221" w:type="dxa"/>
          </w:tcPr>
          <w:p w14:paraId="62B85C8B"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189</w:t>
            </w:r>
          </w:p>
        </w:tc>
        <w:tc>
          <w:tcPr>
            <w:tcW w:w="567" w:type="dxa"/>
          </w:tcPr>
          <w:p w14:paraId="55C320A1"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7.3</w:t>
            </w:r>
          </w:p>
        </w:tc>
        <w:tc>
          <w:tcPr>
            <w:tcW w:w="634" w:type="dxa"/>
          </w:tcPr>
          <w:p w14:paraId="39C79C0D"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21000</w:t>
            </w:r>
          </w:p>
        </w:tc>
        <w:tc>
          <w:tcPr>
            <w:tcW w:w="576" w:type="dxa"/>
          </w:tcPr>
          <w:p w14:paraId="39BA7737"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7.3</w:t>
            </w:r>
          </w:p>
        </w:tc>
        <w:tc>
          <w:tcPr>
            <w:tcW w:w="645" w:type="dxa"/>
          </w:tcPr>
          <w:p w14:paraId="417C4050"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21000</w:t>
            </w:r>
          </w:p>
        </w:tc>
        <w:tc>
          <w:tcPr>
            <w:tcW w:w="688" w:type="dxa"/>
          </w:tcPr>
          <w:p w14:paraId="56BC13E7"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15</w:t>
            </w:r>
          </w:p>
        </w:tc>
        <w:tc>
          <w:tcPr>
            <w:tcW w:w="634" w:type="dxa"/>
          </w:tcPr>
          <w:p w14:paraId="085472C4"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1700</w:t>
            </w:r>
          </w:p>
        </w:tc>
      </w:tr>
      <w:tr w:rsidR="008B01B6" w:rsidRPr="00726E9C" w14:paraId="2D60CBFB" w14:textId="77777777" w:rsidTr="008B01B6">
        <w:tc>
          <w:tcPr>
            <w:cnfStyle w:val="001000000000" w:firstRow="0" w:lastRow="0" w:firstColumn="1" w:lastColumn="0" w:oddVBand="0" w:evenVBand="0" w:oddHBand="0" w:evenHBand="0" w:firstRowFirstColumn="0" w:firstRowLastColumn="0" w:lastRowFirstColumn="0" w:lastRowLastColumn="0"/>
            <w:tcW w:w="847" w:type="dxa"/>
          </w:tcPr>
          <w:p w14:paraId="2A369E01" w14:textId="77777777" w:rsidR="008B01B6" w:rsidRPr="00726E9C" w:rsidRDefault="008B01B6" w:rsidP="008B01B6">
            <w:pPr>
              <w:ind w:left="0" w:right="0"/>
            </w:pPr>
            <w:r w:rsidRPr="00726E9C">
              <w:t>197</w:t>
            </w:r>
          </w:p>
        </w:tc>
        <w:tc>
          <w:tcPr>
            <w:tcW w:w="1500" w:type="dxa"/>
          </w:tcPr>
          <w:p w14:paraId="0C584B88"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Octa</w:t>
            </w:r>
          </w:p>
        </w:tc>
        <w:tc>
          <w:tcPr>
            <w:tcW w:w="1088" w:type="dxa"/>
          </w:tcPr>
          <w:p w14:paraId="3256589B"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556</w:t>
            </w:r>
          </w:p>
        </w:tc>
        <w:tc>
          <w:tcPr>
            <w:tcW w:w="1221" w:type="dxa"/>
          </w:tcPr>
          <w:p w14:paraId="3591EEA0"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1023</w:t>
            </w:r>
          </w:p>
        </w:tc>
        <w:tc>
          <w:tcPr>
            <w:tcW w:w="1221" w:type="dxa"/>
          </w:tcPr>
          <w:p w14:paraId="3A7C526E"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88</w:t>
            </w:r>
          </w:p>
        </w:tc>
        <w:tc>
          <w:tcPr>
            <w:tcW w:w="567" w:type="dxa"/>
          </w:tcPr>
          <w:p w14:paraId="4E732BCA"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5</w:t>
            </w:r>
          </w:p>
        </w:tc>
        <w:tc>
          <w:tcPr>
            <w:tcW w:w="634" w:type="dxa"/>
          </w:tcPr>
          <w:p w14:paraId="3363B874"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8800</w:t>
            </w:r>
          </w:p>
        </w:tc>
        <w:tc>
          <w:tcPr>
            <w:tcW w:w="576" w:type="dxa"/>
          </w:tcPr>
          <w:p w14:paraId="13A80C57"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5</w:t>
            </w:r>
          </w:p>
        </w:tc>
        <w:tc>
          <w:tcPr>
            <w:tcW w:w="645" w:type="dxa"/>
          </w:tcPr>
          <w:p w14:paraId="30EE230C"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8800</w:t>
            </w:r>
          </w:p>
        </w:tc>
        <w:tc>
          <w:tcPr>
            <w:tcW w:w="688" w:type="dxa"/>
          </w:tcPr>
          <w:p w14:paraId="3AC35B1A"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9</w:t>
            </w:r>
          </w:p>
        </w:tc>
        <w:tc>
          <w:tcPr>
            <w:tcW w:w="634" w:type="dxa"/>
          </w:tcPr>
          <w:p w14:paraId="738AC2D1" w14:textId="77777777" w:rsidR="008B01B6" w:rsidRPr="00726E9C" w:rsidRDefault="008B01B6" w:rsidP="008B01B6">
            <w:pPr>
              <w:ind w:left="0" w:right="0"/>
              <w:cnfStyle w:val="000000000000" w:firstRow="0" w:lastRow="0" w:firstColumn="0" w:lastColumn="0" w:oddVBand="0" w:evenVBand="0" w:oddHBand="0" w:evenHBand="0" w:firstRowFirstColumn="0" w:firstRowLastColumn="0" w:lastRowFirstColumn="0" w:lastRowLastColumn="0"/>
            </w:pPr>
            <w:r w:rsidRPr="00726E9C">
              <w:t>780</w:t>
            </w:r>
          </w:p>
        </w:tc>
      </w:tr>
      <w:tr w:rsidR="008B01B6" w:rsidRPr="00726E9C" w14:paraId="6C990144" w14:textId="77777777" w:rsidTr="008B0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tcPr>
          <w:p w14:paraId="757E1FFE" w14:textId="77777777" w:rsidR="008B01B6" w:rsidRPr="00726E9C" w:rsidRDefault="008B01B6" w:rsidP="008B01B6">
            <w:pPr>
              <w:ind w:left="0" w:right="0"/>
            </w:pPr>
            <w:r w:rsidRPr="00726E9C">
              <w:t>209</w:t>
            </w:r>
          </w:p>
        </w:tc>
        <w:tc>
          <w:tcPr>
            <w:tcW w:w="1500" w:type="dxa"/>
          </w:tcPr>
          <w:p w14:paraId="029E3BE1"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Deca</w:t>
            </w:r>
          </w:p>
        </w:tc>
        <w:tc>
          <w:tcPr>
            <w:tcW w:w="1088" w:type="dxa"/>
          </w:tcPr>
          <w:p w14:paraId="0B6BC9BC"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33447</w:t>
            </w:r>
          </w:p>
        </w:tc>
        <w:tc>
          <w:tcPr>
            <w:tcW w:w="1221" w:type="dxa"/>
          </w:tcPr>
          <w:p w14:paraId="4126DE1B"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58590</w:t>
            </w:r>
          </w:p>
        </w:tc>
        <w:tc>
          <w:tcPr>
            <w:tcW w:w="1221" w:type="dxa"/>
          </w:tcPr>
          <w:p w14:paraId="0B23941C"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8305</w:t>
            </w:r>
          </w:p>
        </w:tc>
        <w:tc>
          <w:tcPr>
            <w:tcW w:w="567" w:type="dxa"/>
          </w:tcPr>
          <w:p w14:paraId="6EF5A65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250</w:t>
            </w:r>
          </w:p>
        </w:tc>
        <w:tc>
          <w:tcPr>
            <w:tcW w:w="634" w:type="dxa"/>
          </w:tcPr>
          <w:p w14:paraId="60FB9CAA"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550000</w:t>
            </w:r>
          </w:p>
        </w:tc>
        <w:tc>
          <w:tcPr>
            <w:tcW w:w="576" w:type="dxa"/>
          </w:tcPr>
          <w:p w14:paraId="2FB61B2C"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250</w:t>
            </w:r>
          </w:p>
        </w:tc>
        <w:tc>
          <w:tcPr>
            <w:tcW w:w="645" w:type="dxa"/>
          </w:tcPr>
          <w:p w14:paraId="783D32A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550000</w:t>
            </w:r>
          </w:p>
        </w:tc>
        <w:tc>
          <w:tcPr>
            <w:tcW w:w="688" w:type="dxa"/>
          </w:tcPr>
          <w:p w14:paraId="5ECD68C4"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640</w:t>
            </w:r>
          </w:p>
        </w:tc>
        <w:tc>
          <w:tcPr>
            <w:tcW w:w="634" w:type="dxa"/>
          </w:tcPr>
          <w:p w14:paraId="09390C49" w14:textId="77777777" w:rsidR="008B01B6" w:rsidRPr="00726E9C" w:rsidRDefault="008B01B6" w:rsidP="008B01B6">
            <w:pPr>
              <w:ind w:left="0" w:right="0"/>
              <w:cnfStyle w:val="000000010000" w:firstRow="0" w:lastRow="0" w:firstColumn="0" w:lastColumn="0" w:oddVBand="0" w:evenVBand="0" w:oddHBand="0" w:evenHBand="1" w:firstRowFirstColumn="0" w:firstRowLastColumn="0" w:lastRowFirstColumn="0" w:lastRowLastColumn="0"/>
            </w:pPr>
            <w:r w:rsidRPr="00726E9C">
              <w:t>96000</w:t>
            </w:r>
          </w:p>
        </w:tc>
      </w:tr>
    </w:tbl>
    <w:p w14:paraId="2A417070" w14:textId="2B834710" w:rsidR="008B01B6" w:rsidRDefault="008B01B6">
      <w:pPr>
        <w:spacing w:before="0" w:after="0" w:line="240" w:lineRule="auto"/>
      </w:pPr>
    </w:p>
    <w:p w14:paraId="664A0A80" w14:textId="4181BA99" w:rsidR="008B01B6" w:rsidRDefault="008B01B6">
      <w:pPr>
        <w:spacing w:before="0" w:after="0" w:line="240" w:lineRule="auto"/>
      </w:pPr>
    </w:p>
    <w:p w14:paraId="61EF1080" w14:textId="75AF47DF" w:rsidR="001948FE" w:rsidRDefault="088304C7" w:rsidP="001948FE">
      <w:pPr>
        <w:pStyle w:val="Heading3"/>
      </w:pPr>
      <w:r>
        <w:t xml:space="preserve">Assessment of PCP and </w:t>
      </w:r>
      <w:proofErr w:type="spellStart"/>
      <w:r>
        <w:t>P</w:t>
      </w:r>
      <w:r w:rsidR="00137706">
        <w:t>e</w:t>
      </w:r>
      <w:r>
        <w:t>CB</w:t>
      </w:r>
      <w:proofErr w:type="spellEnd"/>
      <w:r>
        <w:t xml:space="preserve"> in finished articles </w:t>
      </w:r>
    </w:p>
    <w:p w14:paraId="1DDF7B1D" w14:textId="094F6F34" w:rsidR="31BA0348" w:rsidRPr="0091048B" w:rsidRDefault="56B399C2" w:rsidP="128412CC">
      <w:pPr>
        <w:rPr>
          <w:rFonts w:cs="Arial"/>
        </w:rPr>
      </w:pPr>
      <w:r w:rsidRPr="0091048B">
        <w:rPr>
          <w:rFonts w:cs="Arial"/>
        </w:rPr>
        <w:t xml:space="preserve">In 2018, a </w:t>
      </w:r>
      <w:r w:rsidR="1C55CC59" w:rsidRPr="0091048B">
        <w:rPr>
          <w:rFonts w:cs="Arial"/>
        </w:rPr>
        <w:t>small-scale</w:t>
      </w:r>
      <w:r w:rsidRPr="0091048B">
        <w:rPr>
          <w:rFonts w:cs="Arial"/>
        </w:rPr>
        <w:t xml:space="preserve"> study</w:t>
      </w:r>
      <w:r w:rsidR="00FD713F">
        <w:rPr>
          <w:rFonts w:cs="Arial"/>
        </w:rPr>
        <w:t xml:space="preserve"> (Wood, unpublished b)</w:t>
      </w:r>
      <w:r w:rsidRPr="0091048B">
        <w:rPr>
          <w:rFonts w:cs="Arial"/>
        </w:rPr>
        <w:t xml:space="preserve"> was carried out to determine the presence of pentachlorophenol (PCP) and </w:t>
      </w:r>
      <w:proofErr w:type="spellStart"/>
      <w:r w:rsidRPr="0091048B">
        <w:rPr>
          <w:rFonts w:cs="Arial"/>
        </w:rPr>
        <w:t>pentachlorobenzene</w:t>
      </w:r>
      <w:proofErr w:type="spellEnd"/>
      <w:r w:rsidRPr="0091048B">
        <w:rPr>
          <w:rFonts w:cs="Arial"/>
        </w:rPr>
        <w:t xml:space="preserve"> (</w:t>
      </w:r>
      <w:proofErr w:type="spellStart"/>
      <w:r w:rsidRPr="0091048B">
        <w:rPr>
          <w:rFonts w:cs="Arial"/>
        </w:rPr>
        <w:t>PeCB</w:t>
      </w:r>
      <w:proofErr w:type="spellEnd"/>
      <w:r w:rsidRPr="0091048B">
        <w:rPr>
          <w:rFonts w:cs="Arial"/>
        </w:rPr>
        <w:t>) in leather and suede goods placed on the UK market. PCP ha</w:t>
      </w:r>
      <w:r w:rsidR="7255D0CA" w:rsidRPr="0091048B">
        <w:rPr>
          <w:rFonts w:cs="Arial"/>
        </w:rPr>
        <w:t>s</w:t>
      </w:r>
      <w:r w:rsidRPr="0091048B">
        <w:rPr>
          <w:rFonts w:cs="Arial"/>
        </w:rPr>
        <w:t xml:space="preserve"> been used previously as anti-mould agent in leather and </w:t>
      </w:r>
      <w:proofErr w:type="spellStart"/>
      <w:r w:rsidRPr="0091048B">
        <w:rPr>
          <w:rFonts w:cs="Arial"/>
        </w:rPr>
        <w:t>PeCB</w:t>
      </w:r>
      <w:proofErr w:type="spellEnd"/>
      <w:r w:rsidRPr="0091048B">
        <w:rPr>
          <w:rFonts w:cs="Arial"/>
        </w:rPr>
        <w:t xml:space="preserve"> has been found as a contaminant of PCP.</w:t>
      </w:r>
    </w:p>
    <w:p w14:paraId="40F94F17" w14:textId="16657227" w:rsidR="31BA0348" w:rsidRPr="0091048B" w:rsidRDefault="56B399C2" w:rsidP="128412CC">
      <w:pPr>
        <w:rPr>
          <w:rFonts w:cs="Arial"/>
        </w:rPr>
      </w:pPr>
      <w:r w:rsidRPr="0091048B">
        <w:rPr>
          <w:rFonts w:cs="Arial"/>
        </w:rPr>
        <w:t xml:space="preserve">This work was carried out </w:t>
      </w:r>
      <w:r w:rsidR="00466E55" w:rsidRPr="0091048B">
        <w:rPr>
          <w:rFonts w:cs="Arial"/>
        </w:rPr>
        <w:t xml:space="preserve">in </w:t>
      </w:r>
      <w:r w:rsidRPr="0091048B">
        <w:rPr>
          <w:rFonts w:cs="Arial"/>
        </w:rPr>
        <w:t xml:space="preserve">collaboration from the British Retail Consortium (BRC). Thirty leather samples were collected from UK high street retailers (10 samples from furniture, 10 samples from clothing, accessories and bags, 6 samples from gloves and boots and 4 samples from mobile phone cases, tablet and laptop cases). The samples were analysed for PCP and </w:t>
      </w:r>
      <w:proofErr w:type="spellStart"/>
      <w:r w:rsidRPr="0091048B">
        <w:rPr>
          <w:rFonts w:cs="Arial"/>
        </w:rPr>
        <w:t>PeCB</w:t>
      </w:r>
      <w:proofErr w:type="spellEnd"/>
      <w:r w:rsidR="0090539E" w:rsidRPr="0091048B">
        <w:rPr>
          <w:rFonts w:cs="Arial"/>
        </w:rPr>
        <w:t>. T</w:t>
      </w:r>
      <w:r w:rsidRPr="0091048B">
        <w:rPr>
          <w:rFonts w:cs="Arial"/>
        </w:rPr>
        <w:t xml:space="preserve">he analysis was challenging due to the low concentrations of both </w:t>
      </w:r>
      <w:r w:rsidRPr="0091048B">
        <w:rPr>
          <w:rFonts w:cs="Arial"/>
        </w:rPr>
        <w:lastRenderedPageBreak/>
        <w:t>target chemicals and the large number of other chemicals within the samples collected. However, a novel method</w:t>
      </w:r>
      <w:r w:rsidR="00CD6877">
        <w:rPr>
          <w:rFonts w:cs="Arial"/>
        </w:rPr>
        <w:t xml:space="preserve"> was used</w:t>
      </w:r>
      <w:r w:rsidR="002424ED">
        <w:rPr>
          <w:rFonts w:cs="Arial"/>
        </w:rPr>
        <w:t>;</w:t>
      </w:r>
      <w:r w:rsidRPr="0091048B">
        <w:rPr>
          <w:rFonts w:cs="Arial"/>
        </w:rPr>
        <w:t xml:space="preserve"> </w:t>
      </w:r>
      <w:r w:rsidR="2922F921" w:rsidRPr="0091048B">
        <w:rPr>
          <w:rFonts w:cs="Arial"/>
        </w:rPr>
        <w:t xml:space="preserve">a </w:t>
      </w:r>
      <w:r w:rsidRPr="0091048B">
        <w:rPr>
          <w:rFonts w:cs="Arial"/>
        </w:rPr>
        <w:t xml:space="preserve">sonification approach </w:t>
      </w:r>
      <w:r w:rsidR="0090539E" w:rsidRPr="0091048B">
        <w:rPr>
          <w:rFonts w:cs="Arial"/>
        </w:rPr>
        <w:t xml:space="preserve">was taken </w:t>
      </w:r>
      <w:r w:rsidRPr="0091048B">
        <w:rPr>
          <w:rFonts w:cs="Arial"/>
        </w:rPr>
        <w:t>as an additional clean-up step which was then followed by</w:t>
      </w:r>
      <w:r w:rsidR="007A6B5C" w:rsidRPr="0091048B">
        <w:rPr>
          <w:rFonts w:cs="Arial"/>
        </w:rPr>
        <w:t xml:space="preserve"> Gas Chromatography-Mass Spectrometry</w:t>
      </w:r>
      <w:r w:rsidRPr="0091048B">
        <w:rPr>
          <w:rFonts w:cs="Arial"/>
        </w:rPr>
        <w:t xml:space="preserve"> </w:t>
      </w:r>
      <w:r w:rsidR="007A6B5C" w:rsidRPr="0091048B">
        <w:rPr>
          <w:rFonts w:cs="Arial"/>
        </w:rPr>
        <w:t>(</w:t>
      </w:r>
      <w:r w:rsidRPr="0091048B">
        <w:rPr>
          <w:rFonts w:cs="Arial"/>
        </w:rPr>
        <w:t>GC-MS</w:t>
      </w:r>
      <w:r w:rsidR="007A6B5C" w:rsidRPr="0091048B">
        <w:rPr>
          <w:rFonts w:cs="Arial"/>
        </w:rPr>
        <w:t>)</w:t>
      </w:r>
      <w:r w:rsidRPr="0091048B">
        <w:rPr>
          <w:rFonts w:cs="Arial"/>
        </w:rPr>
        <w:t xml:space="preserve"> Analysis. Following the analysis of all 30 samples no PCP or </w:t>
      </w:r>
      <w:proofErr w:type="spellStart"/>
      <w:r w:rsidRPr="0091048B">
        <w:rPr>
          <w:rFonts w:cs="Arial"/>
        </w:rPr>
        <w:t>PeCB</w:t>
      </w:r>
      <w:proofErr w:type="spellEnd"/>
      <w:r w:rsidRPr="0091048B">
        <w:rPr>
          <w:rFonts w:cs="Arial"/>
        </w:rPr>
        <w:t xml:space="preserve"> were detected in any of the samples.</w:t>
      </w:r>
    </w:p>
    <w:p w14:paraId="4FFD9837" w14:textId="12FAE15A" w:rsidR="31BA0348" w:rsidRPr="0091048B" w:rsidRDefault="56B399C2" w:rsidP="63611613">
      <w:r w:rsidRPr="0091048B">
        <w:rPr>
          <w:rFonts w:cs="Arial"/>
        </w:rPr>
        <w:t xml:space="preserve">This relatively small study was only intended to be a scoping study. The results do indicate that PCP may no longer be an issue for </w:t>
      </w:r>
      <w:r w:rsidR="7F22FD92" w:rsidRPr="0091048B">
        <w:rPr>
          <w:rFonts w:cs="Arial"/>
        </w:rPr>
        <w:t xml:space="preserve">goods found on </w:t>
      </w:r>
      <w:r w:rsidRPr="0091048B">
        <w:rPr>
          <w:rFonts w:cs="Arial"/>
        </w:rPr>
        <w:t>the UK high street. Limitations were highlighted</w:t>
      </w:r>
      <w:r w:rsidR="0090539E" w:rsidRPr="0091048B">
        <w:rPr>
          <w:rFonts w:cs="Arial"/>
        </w:rPr>
        <w:t>,</w:t>
      </w:r>
      <w:r w:rsidRPr="0091048B">
        <w:rPr>
          <w:rFonts w:cs="Arial"/>
        </w:rPr>
        <w:t xml:space="preserve"> includ</w:t>
      </w:r>
      <w:r w:rsidR="0090539E" w:rsidRPr="0091048B">
        <w:rPr>
          <w:rFonts w:cs="Arial"/>
        </w:rPr>
        <w:t>ing</w:t>
      </w:r>
      <w:r w:rsidRPr="0091048B">
        <w:rPr>
          <w:rFonts w:cs="Arial"/>
        </w:rPr>
        <w:t xml:space="preserve"> that all the products tested were sourced from outside the EU, mainly India and China. </w:t>
      </w:r>
      <w:r w:rsidR="2ECC36DF" w:rsidRPr="0091048B">
        <w:rPr>
          <w:rFonts w:cs="Arial"/>
        </w:rPr>
        <w:t>Therefore,</w:t>
      </w:r>
      <w:r w:rsidRPr="0091048B">
        <w:rPr>
          <w:rFonts w:cs="Arial"/>
        </w:rPr>
        <w:t xml:space="preserve"> it was not possible to comment on any specific </w:t>
      </w:r>
      <w:r w:rsidR="78788BEE" w:rsidRPr="0091048B">
        <w:rPr>
          <w:rFonts w:cs="Arial"/>
        </w:rPr>
        <w:t>difference</w:t>
      </w:r>
      <w:r w:rsidRPr="0091048B">
        <w:rPr>
          <w:rFonts w:cs="Arial"/>
        </w:rPr>
        <w:t xml:space="preserve"> between EU regulatory regimes and non-EU regulatory regimes. Also, the small sample size means the results should be treated with caution.</w:t>
      </w:r>
    </w:p>
    <w:p w14:paraId="42C8AC6F" w14:textId="4EB4966F" w:rsidR="00571A2F" w:rsidRDefault="352C5431" w:rsidP="5D963AD2">
      <w:pPr>
        <w:pStyle w:val="Heading3"/>
      </w:pPr>
      <w:r>
        <w:t>Analysis of landfill leachate</w:t>
      </w:r>
    </w:p>
    <w:p w14:paraId="7A4A99C3" w14:textId="3B853EE8" w:rsidR="00EF0457" w:rsidRDefault="00EF0457" w:rsidP="00F0297F">
      <w:r>
        <w:t xml:space="preserve">In the previous update to the UK NIP a commitment was made to </w:t>
      </w:r>
      <w:r w:rsidR="00256F5A">
        <w:t xml:space="preserve">measure POPs in landfill leachate. </w:t>
      </w:r>
      <w:r w:rsidR="00115317">
        <w:t>The</w:t>
      </w:r>
      <w:r w:rsidR="00256F5A">
        <w:t xml:space="preserve"> project was split into two phases</w:t>
      </w:r>
      <w:r w:rsidR="00680E0F">
        <w:t>.</w:t>
      </w:r>
      <w:r w:rsidR="00256F5A">
        <w:t xml:space="preserve"> </w:t>
      </w:r>
      <w:r w:rsidR="00680E0F">
        <w:t>t</w:t>
      </w:r>
      <w:r w:rsidR="00256F5A">
        <w:t>he first phase was completed in 2019 and phase 2 is underway.</w:t>
      </w:r>
    </w:p>
    <w:p w14:paraId="5C7D8D9C" w14:textId="6937F55C" w:rsidR="007E0154" w:rsidRDefault="00256F5A" w:rsidP="00F0297F">
      <w:r>
        <w:t>Phase 1</w:t>
      </w:r>
      <w:r w:rsidR="007E0154">
        <w:t xml:space="preserve"> (Landfill Leachate Survey for Persistent Organic Pollutants (POPs))</w:t>
      </w:r>
      <w:r>
        <w:t xml:space="preserve"> was a desk-based study and aimed to inform the subsequent monitoring and sampling phase. Phase 1 surveyed the literature to determine the current state of knowledge regarding the presence and analysis of POPs in landfill leachate as well as practical aspects of how analysis may be carried out in the future. The report includes a </w:t>
      </w:r>
      <w:r w:rsidR="007A6B5C">
        <w:t xml:space="preserve">table summarising </w:t>
      </w:r>
      <w:r>
        <w:t>POP</w:t>
      </w:r>
      <w:r w:rsidR="0090539E">
        <w:t>s</w:t>
      </w:r>
      <w:r>
        <w:t xml:space="preserve"> p</w:t>
      </w:r>
      <w:r w:rsidR="007E0154">
        <w:t>rioritisation</w:t>
      </w:r>
      <w:r>
        <w:t xml:space="preserve"> for assessment</w:t>
      </w:r>
      <w:r w:rsidR="0090539E">
        <w:t>.</w:t>
      </w:r>
      <w:r>
        <w:t xml:space="preserve"> </w:t>
      </w:r>
      <w:r w:rsidR="0090539E">
        <w:t>B</w:t>
      </w:r>
      <w:r>
        <w:t>riefly</w:t>
      </w:r>
      <w:r w:rsidR="0090539E">
        <w:t>,</w:t>
      </w:r>
      <w:r>
        <w:t xml:space="preserve"> </w:t>
      </w:r>
      <w:r w:rsidR="00FE57C8">
        <w:t xml:space="preserve">the prioritisation </w:t>
      </w:r>
      <w:r>
        <w:t>was based on detection frequency</w:t>
      </w:r>
      <w:r w:rsidR="00FE57C8">
        <w:t xml:space="preserve"> of the different POPs</w:t>
      </w:r>
      <w:r>
        <w:t xml:space="preserve"> and maximum and mean concentrations measured</w:t>
      </w:r>
      <w:r w:rsidR="00FE57C8">
        <w:t xml:space="preserve"> for each of the POPs</w:t>
      </w:r>
      <w:r>
        <w:t>. For each POP a recommended analytical method is suggested. Recommendation</w:t>
      </w:r>
      <w:r w:rsidR="0090539E">
        <w:t>s</w:t>
      </w:r>
      <w:r>
        <w:t xml:space="preserve"> are also included on the wider sampling</w:t>
      </w:r>
      <w:r w:rsidR="007E0154">
        <w:t xml:space="preserve"> </w:t>
      </w:r>
      <w:r w:rsidR="00686C9D" w:rsidRPr="002568CD">
        <w:t xml:space="preserve">(Arcadis, </w:t>
      </w:r>
      <w:r w:rsidR="002961A4" w:rsidRPr="002568CD">
        <w:t>20</w:t>
      </w:r>
      <w:r w:rsidR="00686C9D" w:rsidRPr="002568CD">
        <w:t>19)</w:t>
      </w:r>
      <w:r w:rsidR="00686C9D" w:rsidRPr="00650C08">
        <w:t>.</w:t>
      </w:r>
      <w:r w:rsidR="00686C9D" w:rsidRPr="00686C9D">
        <w:t> </w:t>
      </w:r>
      <w:r w:rsidR="002961A4" w:rsidDel="002961A4">
        <w:t xml:space="preserve"> </w:t>
      </w:r>
    </w:p>
    <w:p w14:paraId="5D8A1CF1" w14:textId="66EB2550" w:rsidR="005C3BF4" w:rsidRDefault="007E0154" w:rsidP="00F0297F">
      <w:r>
        <w:t xml:space="preserve">Phase 2 </w:t>
      </w:r>
      <w:r w:rsidR="006C719C">
        <w:t>aim</w:t>
      </w:r>
      <w:r w:rsidR="00115317">
        <w:t>s</w:t>
      </w:r>
      <w:r w:rsidR="006C719C">
        <w:t xml:space="preserve"> to give an overview of POPs in landfill leachate, and their potential impact pathways on the terrestrial, freshwater and marine environments. This project will complete a landfill survey across England.</w:t>
      </w:r>
      <w:r w:rsidR="00B07951">
        <w:t xml:space="preserve"> Most of the </w:t>
      </w:r>
      <w:r w:rsidR="00B07951" w:rsidRPr="005A7AEB">
        <w:t>sites have mainly received inputs</w:t>
      </w:r>
      <w:r w:rsidR="00CA505B" w:rsidRPr="005A7AEB">
        <w:t xml:space="preserve"> from household/municipal solid waste, with some also receiving industrial and commercial non-hazard waste and with a small number</w:t>
      </w:r>
      <w:r w:rsidR="005A7AEB" w:rsidRPr="005A7AEB">
        <w:t xml:space="preserve"> of sites</w:t>
      </w:r>
      <w:r w:rsidR="00CA505B" w:rsidRPr="005A7AEB">
        <w:t xml:space="preserve"> receiving hazardous wastes. The sites are varied in size and age, but samples will cover the site age from </w:t>
      </w:r>
      <w:r w:rsidR="005A7AEB" w:rsidRPr="005A7AEB">
        <w:t xml:space="preserve">the </w:t>
      </w:r>
      <w:r w:rsidR="00CA505B" w:rsidRPr="005A7AEB">
        <w:t>1970s to the present decade.</w:t>
      </w:r>
      <w:r w:rsidR="002F6C5A" w:rsidRPr="005A7AEB">
        <w:t xml:space="preserve"> The results of this project will be used in conjunction with previous projects performed by both the EA and Defra in England</w:t>
      </w:r>
      <w:r w:rsidR="00A04233">
        <w:t>,</w:t>
      </w:r>
      <w:r w:rsidR="002F6C5A" w:rsidRPr="005A7AEB">
        <w:t xml:space="preserve"> in addition to the </w:t>
      </w:r>
      <w:r w:rsidR="00CA505B" w:rsidRPr="005A7AEB">
        <w:t xml:space="preserve">study carried out by </w:t>
      </w:r>
      <w:proofErr w:type="spellStart"/>
      <w:r w:rsidR="002F6C5A" w:rsidRPr="005A7AEB">
        <w:t>Harrad</w:t>
      </w:r>
      <w:proofErr w:type="spellEnd"/>
      <w:r w:rsidR="002F6C5A" w:rsidRPr="005A7AEB">
        <w:t xml:space="preserve"> et al. </w:t>
      </w:r>
      <w:r w:rsidR="00CA505B" w:rsidRPr="005A7AEB">
        <w:t>(</w:t>
      </w:r>
      <w:r w:rsidR="002F6C5A" w:rsidRPr="005A7AEB">
        <w:t>2019</w:t>
      </w:r>
      <w:r w:rsidR="00CA505B" w:rsidRPr="005A7AEB">
        <w:t>)</w:t>
      </w:r>
      <w:r w:rsidR="002F6C5A" w:rsidRPr="005A7AEB" w:rsidDel="00CA505B">
        <w:t xml:space="preserve"> </w:t>
      </w:r>
      <w:r w:rsidR="002F6C5A" w:rsidRPr="005A7AEB">
        <w:t xml:space="preserve">in Ireland. </w:t>
      </w:r>
    </w:p>
    <w:p w14:paraId="5CD9C9B4" w14:textId="594729EA" w:rsidR="002F6C5A" w:rsidRDefault="002F6C5A" w:rsidP="00F0297F">
      <w:r w:rsidRPr="005A7AEB">
        <w:t>The project will therefore build an overall picture of landfill leachate substances that are known to be, or that we suspect to be, harmful to the environment (covering POPs and some PFAS chemicals) and explore their potential exposure pathways.</w:t>
      </w:r>
      <w:r w:rsidR="00397CBD">
        <w:t xml:space="preserve"> </w:t>
      </w:r>
      <w:r w:rsidR="00CA505B" w:rsidRPr="005A7AEB">
        <w:t>This second phase of work commenced in November 2020, with sampling due to start in February 2021</w:t>
      </w:r>
      <w:r w:rsidR="00BF1EF9">
        <w:t>.</w:t>
      </w:r>
      <w:r w:rsidR="00CA505B" w:rsidRPr="005A7AEB">
        <w:t xml:space="preserve"> </w:t>
      </w:r>
      <w:r w:rsidR="00BF1EF9">
        <w:t>Ho</w:t>
      </w:r>
      <w:r w:rsidR="00CA505B" w:rsidRPr="005A7AEB">
        <w:t>wever</w:t>
      </w:r>
      <w:r w:rsidR="00DA5763">
        <w:t>,</w:t>
      </w:r>
      <w:r w:rsidR="00CA505B" w:rsidRPr="005A7AEB">
        <w:t xml:space="preserve"> work has currently paused due to </w:t>
      </w:r>
      <w:r w:rsidR="00CF1CA4">
        <w:t>the n</w:t>
      </w:r>
      <w:r w:rsidR="00CF1CA4" w:rsidRPr="005A7AEB">
        <w:t xml:space="preserve">ational </w:t>
      </w:r>
      <w:r w:rsidR="005278D3">
        <w:t>Covid-19</w:t>
      </w:r>
      <w:r w:rsidR="00CA505B" w:rsidRPr="005A7AEB">
        <w:t xml:space="preserve"> lockdown in England and health and safety concerns</w:t>
      </w:r>
      <w:r w:rsidR="00115317">
        <w:t>. I</w:t>
      </w:r>
      <w:r w:rsidR="00CA505B">
        <w:t>t</w:t>
      </w:r>
      <w:r w:rsidR="00CA505B" w:rsidRPr="005A7AEB">
        <w:t xml:space="preserve"> is hoped this work will be resumed when safe to do so. </w:t>
      </w:r>
      <w:r w:rsidR="00527F88">
        <w:t xml:space="preserve">Landfills have been highlighted as a potential source of HCBD and HCBD is both a POP </w:t>
      </w:r>
      <w:r w:rsidR="00527F88">
        <w:lastRenderedPageBreak/>
        <w:t>and is listed a priority hazardous substance</w:t>
      </w:r>
      <w:r w:rsidR="007A6B5C">
        <w:t>. Therefore,</w:t>
      </w:r>
      <w:r w:rsidR="00527F88">
        <w:t xml:space="preserve"> it is included in the suite of chemicals being analysed in phase 2 of the landfill leachate project. </w:t>
      </w:r>
    </w:p>
    <w:p w14:paraId="7EA40DA7" w14:textId="39769AA9" w:rsidR="00FF29D5" w:rsidRDefault="009E2EDA" w:rsidP="00DD63BA">
      <w:pPr>
        <w:pStyle w:val="Heading3"/>
      </w:pPr>
      <w:r>
        <w:t>Digital w</w:t>
      </w:r>
      <w:r w:rsidR="00FF29D5">
        <w:t>aste tracking</w:t>
      </w:r>
    </w:p>
    <w:p w14:paraId="52BBF654" w14:textId="3E18CE03" w:rsidR="00FF29D5" w:rsidRPr="00FF29D5" w:rsidRDefault="00FF29D5" w:rsidP="00ED5197">
      <w:r>
        <w:rPr>
          <w:shd w:val="clear" w:color="auto" w:fill="FFFFFF"/>
        </w:rPr>
        <w:t>The governments and regulators across England, Northern Ireland, Scotland and Wales, are looking at how we can digitise waste tracking processes</w:t>
      </w:r>
      <w:r w:rsidR="00DE4BBA">
        <w:rPr>
          <w:shd w:val="clear" w:color="auto" w:fill="FFFFFF"/>
        </w:rPr>
        <w:t>;</w:t>
      </w:r>
      <w:r>
        <w:rPr>
          <w:shd w:val="clear" w:color="auto" w:fill="FFFFFF"/>
        </w:rPr>
        <w:t xml:space="preserve"> </w:t>
      </w:r>
      <w:r w:rsidR="00DE4BBA">
        <w:rPr>
          <w:shd w:val="clear" w:color="auto" w:fill="FFFFFF"/>
        </w:rPr>
        <w:t>i</w:t>
      </w:r>
      <w:r>
        <w:rPr>
          <w:shd w:val="clear" w:color="auto" w:fill="FFFFFF"/>
        </w:rPr>
        <w:t xml:space="preserve">n particular, how we record what happens to waste as it moves from production to recovery or disposal. </w:t>
      </w:r>
      <w:r w:rsidR="00ED5197">
        <w:rPr>
          <w:shd w:val="clear" w:color="auto" w:fill="FFFFFF"/>
        </w:rPr>
        <w:t xml:space="preserve">Work is ongoing to develop an IT solution and a consultation </w:t>
      </w:r>
      <w:r w:rsidR="00A01392">
        <w:rPr>
          <w:shd w:val="clear" w:color="auto" w:fill="FFFFFF"/>
        </w:rPr>
        <w:t>on our proposals for implementation</w:t>
      </w:r>
      <w:r w:rsidR="007C0723">
        <w:rPr>
          <w:shd w:val="clear" w:color="auto" w:fill="FFFFFF"/>
        </w:rPr>
        <w:t xml:space="preserve"> </w:t>
      </w:r>
      <w:r w:rsidR="00ED5197">
        <w:rPr>
          <w:shd w:val="clear" w:color="auto" w:fill="FFFFFF"/>
        </w:rPr>
        <w:t>is planned for 2021</w:t>
      </w:r>
      <w:r w:rsidR="007C38DF">
        <w:rPr>
          <w:shd w:val="clear" w:color="auto" w:fill="FFFFFF"/>
        </w:rPr>
        <w:t xml:space="preserve">. </w:t>
      </w:r>
      <w:r w:rsidR="00ED5197">
        <w:rPr>
          <w:shd w:val="clear" w:color="auto" w:fill="FFFFFF"/>
        </w:rPr>
        <w:t xml:space="preserve"> </w:t>
      </w:r>
      <w:r w:rsidR="007C0723">
        <w:rPr>
          <w:shd w:val="clear" w:color="auto" w:fill="FFFFFF"/>
        </w:rPr>
        <w:t>We intend the system to</w:t>
      </w:r>
      <w:r w:rsidR="00ED5197">
        <w:rPr>
          <w:shd w:val="clear" w:color="auto" w:fill="FFFFFF"/>
        </w:rPr>
        <w:t xml:space="preserve"> cover </w:t>
      </w:r>
      <w:r w:rsidR="009561DA">
        <w:rPr>
          <w:shd w:val="clear" w:color="auto" w:fill="FFFFFF"/>
        </w:rPr>
        <w:t>all commercial, household and industrial</w:t>
      </w:r>
      <w:r w:rsidR="00ED5197">
        <w:rPr>
          <w:shd w:val="clear" w:color="auto" w:fill="FFFFFF"/>
        </w:rPr>
        <w:t xml:space="preserve"> waste, including </w:t>
      </w:r>
      <w:r w:rsidR="00703A83">
        <w:rPr>
          <w:shd w:val="clear" w:color="auto" w:fill="FFFFFF"/>
        </w:rPr>
        <w:t>waste</w:t>
      </w:r>
      <w:r w:rsidR="00ED5197">
        <w:rPr>
          <w:shd w:val="clear" w:color="auto" w:fill="FFFFFF"/>
        </w:rPr>
        <w:t xml:space="preserve"> containing POPs.</w:t>
      </w:r>
    </w:p>
    <w:p w14:paraId="3732C025" w14:textId="35F121A2" w:rsidR="00DD63BA" w:rsidRDefault="00DD63BA" w:rsidP="00DD63BA">
      <w:pPr>
        <w:pStyle w:val="Heading3"/>
      </w:pPr>
      <w:r>
        <w:t xml:space="preserve">Investigation of use of former waste materials in agricultural applications </w:t>
      </w:r>
    </w:p>
    <w:p w14:paraId="3B8C20C4" w14:textId="4B05A149" w:rsidR="00EA2D6C" w:rsidRDefault="00EA2D6C" w:rsidP="002F6C5A">
      <w:pPr>
        <w:rPr>
          <w:color w:val="000000" w:themeColor="text1"/>
        </w:rPr>
      </w:pPr>
      <w:r w:rsidRPr="2C43A8D5">
        <w:rPr>
          <w:color w:val="000000" w:themeColor="text1"/>
        </w:rPr>
        <w:t>The Food Standards Agency commissioned large project</w:t>
      </w:r>
      <w:r w:rsidR="24920B45" w:rsidRPr="2C43A8D5">
        <w:rPr>
          <w:color w:val="000000" w:themeColor="text1"/>
        </w:rPr>
        <w:t>s</w:t>
      </w:r>
      <w:r w:rsidR="00EC36C1" w:rsidRPr="2C43A8D5">
        <w:rPr>
          <w:color w:val="000000" w:themeColor="text1"/>
        </w:rPr>
        <w:t xml:space="preserve"> led by </w:t>
      </w:r>
      <w:proofErr w:type="spellStart"/>
      <w:r w:rsidR="00EC36C1" w:rsidRPr="2C43A8D5">
        <w:rPr>
          <w:color w:val="000000" w:themeColor="text1"/>
        </w:rPr>
        <w:t>Fera</w:t>
      </w:r>
      <w:proofErr w:type="spellEnd"/>
      <w:r w:rsidR="2701E3BB" w:rsidRPr="2C43A8D5">
        <w:rPr>
          <w:color w:val="000000" w:themeColor="text1"/>
        </w:rPr>
        <w:t xml:space="preserve"> and Imperial College</w:t>
      </w:r>
      <w:r w:rsidR="00EC36C1" w:rsidRPr="2C43A8D5">
        <w:rPr>
          <w:color w:val="000000" w:themeColor="text1"/>
        </w:rPr>
        <w:t xml:space="preserve"> to investigate </w:t>
      </w:r>
      <w:r w:rsidRPr="2C43A8D5">
        <w:rPr>
          <w:color w:val="000000" w:themeColor="text1"/>
        </w:rPr>
        <w:t xml:space="preserve">the possible transfer of POPs from recycled materials to livestock. </w:t>
      </w:r>
      <w:r w:rsidR="009D6B53" w:rsidRPr="2C43A8D5">
        <w:rPr>
          <w:color w:val="000000" w:themeColor="text1"/>
        </w:rPr>
        <w:t>The f</w:t>
      </w:r>
      <w:r w:rsidRPr="2C43A8D5">
        <w:rPr>
          <w:color w:val="000000" w:themeColor="text1"/>
        </w:rPr>
        <w:t xml:space="preserve">indings </w:t>
      </w:r>
      <w:r w:rsidR="00EC36C1" w:rsidRPr="2C43A8D5">
        <w:rPr>
          <w:color w:val="000000" w:themeColor="text1"/>
        </w:rPr>
        <w:t xml:space="preserve">of </w:t>
      </w:r>
      <w:r w:rsidR="009D6B53" w:rsidRPr="2C43A8D5">
        <w:rPr>
          <w:color w:val="000000" w:themeColor="text1"/>
        </w:rPr>
        <w:t>this project</w:t>
      </w:r>
      <w:r w:rsidR="00EC36C1" w:rsidRPr="2C43A8D5">
        <w:rPr>
          <w:color w:val="000000" w:themeColor="text1"/>
        </w:rPr>
        <w:t xml:space="preserve"> are published in the open scientific literature, but a brief summary is below</w:t>
      </w:r>
      <w:r w:rsidRPr="2C43A8D5">
        <w:rPr>
          <w:color w:val="000000" w:themeColor="text1"/>
        </w:rPr>
        <w:t>.</w:t>
      </w:r>
    </w:p>
    <w:p w14:paraId="6973E39C" w14:textId="6EBC9028" w:rsidR="00D52385" w:rsidRDefault="00EA2D6C" w:rsidP="00D52385">
      <w:pPr>
        <w:rPr>
          <w:color w:val="000000" w:themeColor="text1"/>
        </w:rPr>
      </w:pPr>
      <w:r w:rsidRPr="2C43A8D5">
        <w:rPr>
          <w:color w:val="000000" w:themeColor="text1"/>
        </w:rPr>
        <w:t xml:space="preserve">The first </w:t>
      </w:r>
      <w:r w:rsidR="48565DD9" w:rsidRPr="2C43A8D5">
        <w:rPr>
          <w:color w:val="000000" w:themeColor="text1"/>
        </w:rPr>
        <w:t>project</w:t>
      </w:r>
      <w:r w:rsidRPr="2C43A8D5">
        <w:rPr>
          <w:color w:val="000000" w:themeColor="text1"/>
        </w:rPr>
        <w:t xml:space="preserve"> investigated the potential of recycled materials used in agriculture to contaminate food through uptake by livestock. The study examined broiler chickens, laying chickens and pigs</w:t>
      </w:r>
      <w:r w:rsidR="00A1281F" w:rsidRPr="2C43A8D5">
        <w:rPr>
          <w:color w:val="000000" w:themeColor="text1"/>
        </w:rPr>
        <w:t xml:space="preserve">, and </w:t>
      </w:r>
      <w:r w:rsidR="39E998D2" w:rsidRPr="2C43A8D5">
        <w:rPr>
          <w:color w:val="000000" w:themeColor="text1"/>
        </w:rPr>
        <w:t>evalu</w:t>
      </w:r>
      <w:r w:rsidR="00A1281F" w:rsidRPr="2C43A8D5">
        <w:rPr>
          <w:color w:val="000000" w:themeColor="text1"/>
        </w:rPr>
        <w:t>ated six types of commercially available recycled materials used for either bedding for chickens or as fertiliser for cropland that later housed outdoor reared pigs.</w:t>
      </w:r>
      <w:r w:rsidR="00D52385" w:rsidRPr="2C43A8D5">
        <w:rPr>
          <w:color w:val="000000" w:themeColor="text1"/>
        </w:rPr>
        <w:t xml:space="preserve"> The different beddings used in chicken study w</w:t>
      </w:r>
      <w:r w:rsidR="7227E79F" w:rsidRPr="2C43A8D5">
        <w:rPr>
          <w:color w:val="000000" w:themeColor="text1"/>
        </w:rPr>
        <w:t>ere</w:t>
      </w:r>
      <w:r w:rsidR="00D52385" w:rsidRPr="2C43A8D5">
        <w:rPr>
          <w:color w:val="000000" w:themeColor="text1"/>
        </w:rPr>
        <w:t xml:space="preserve"> recycled wood, recycled shredded cardboard and dried paper sludge/pulp. </w:t>
      </w:r>
      <w:r w:rsidR="00A1281F" w:rsidRPr="2C43A8D5">
        <w:rPr>
          <w:color w:val="000000" w:themeColor="text1"/>
        </w:rPr>
        <w:t xml:space="preserve">The contaminants </w:t>
      </w:r>
      <w:r w:rsidR="35E059B7" w:rsidRPr="2C43A8D5">
        <w:rPr>
          <w:color w:val="000000" w:themeColor="text1"/>
        </w:rPr>
        <w:t xml:space="preserve">measured </w:t>
      </w:r>
      <w:r w:rsidR="00A1281F" w:rsidRPr="2C43A8D5">
        <w:rPr>
          <w:color w:val="000000" w:themeColor="text1"/>
        </w:rPr>
        <w:t>included</w:t>
      </w:r>
      <w:r w:rsidR="00FE57C8">
        <w:rPr>
          <w:color w:val="000000" w:themeColor="text1"/>
        </w:rPr>
        <w:t xml:space="preserve"> some POPs namely,</w:t>
      </w:r>
      <w:r w:rsidR="00A1281F" w:rsidRPr="2C43A8D5">
        <w:rPr>
          <w:color w:val="000000" w:themeColor="text1"/>
        </w:rPr>
        <w:t xml:space="preserve"> PCDD/Fs dioxins, PCBs, PBDEs, HBCDD, PCNs, PBDD/Fs and PFASs</w:t>
      </w:r>
      <w:r w:rsidR="00D52385" w:rsidRPr="2C43A8D5">
        <w:rPr>
          <w:color w:val="000000" w:themeColor="text1"/>
        </w:rPr>
        <w:t xml:space="preserve"> (Fernandes et al., 2019). </w:t>
      </w:r>
    </w:p>
    <w:p w14:paraId="18CFAD29" w14:textId="58A42EEB" w:rsidR="00D52385" w:rsidRDefault="00D52385" w:rsidP="00D52385">
      <w:pPr>
        <w:rPr>
          <w:color w:val="000000" w:themeColor="text1"/>
        </w:rPr>
      </w:pPr>
      <w:r w:rsidRPr="2C43A8D5">
        <w:rPr>
          <w:color w:val="000000" w:themeColor="text1"/>
        </w:rPr>
        <w:t>There were no elevated levels of the contaminants measured in the recycled wood compared to that of the control (virgin wood shavings)</w:t>
      </w:r>
      <w:r w:rsidR="6B936181" w:rsidRPr="2C43A8D5">
        <w:rPr>
          <w:color w:val="000000" w:themeColor="text1"/>
        </w:rPr>
        <w:t xml:space="preserve"> whilst,</w:t>
      </w:r>
      <w:r w:rsidRPr="2C43A8D5">
        <w:rPr>
          <w:color w:val="000000" w:themeColor="text1"/>
        </w:rPr>
        <w:t xml:space="preserve"> in the other two materials there w</w:t>
      </w:r>
      <w:r w:rsidR="664DB5A3" w:rsidRPr="2C43A8D5">
        <w:rPr>
          <w:color w:val="000000" w:themeColor="text1"/>
        </w:rPr>
        <w:t>ere</w:t>
      </w:r>
      <w:r w:rsidRPr="2C43A8D5">
        <w:rPr>
          <w:color w:val="000000" w:themeColor="text1"/>
        </w:rPr>
        <w:t xml:space="preserve"> moderately elevated levels of the contaminants. The elevated levels of contaminants were </w:t>
      </w:r>
      <w:r w:rsidR="2CD5A976" w:rsidRPr="2C43A8D5">
        <w:rPr>
          <w:color w:val="000000" w:themeColor="text1"/>
        </w:rPr>
        <w:t>reflected in raised levels in the</w:t>
      </w:r>
      <w:r w:rsidRPr="2C43A8D5">
        <w:rPr>
          <w:color w:val="000000" w:themeColor="text1"/>
        </w:rPr>
        <w:t xml:space="preserve"> meat and eggs of broilers and egg-laying hens reared on these beddings. However, concentrations of PCBs and/or dioxins did not exceed the regulatory limits set for eggs or meat </w:t>
      </w:r>
      <w:r w:rsidR="6CB44C07" w:rsidRPr="2C43A8D5">
        <w:rPr>
          <w:color w:val="000000" w:themeColor="text1"/>
        </w:rPr>
        <w:t xml:space="preserve">in these </w:t>
      </w:r>
      <w:proofErr w:type="gramStart"/>
      <w:r w:rsidR="6CB44C07" w:rsidRPr="2C43A8D5">
        <w:rPr>
          <w:color w:val="000000" w:themeColor="text1"/>
        </w:rPr>
        <w:t>particular conditions</w:t>
      </w:r>
      <w:proofErr w:type="gramEnd"/>
      <w:r w:rsidR="6CB44C07" w:rsidRPr="2C43A8D5">
        <w:rPr>
          <w:color w:val="000000" w:themeColor="text1"/>
        </w:rPr>
        <w:t xml:space="preserve"> </w:t>
      </w:r>
      <w:r w:rsidR="0099428F">
        <w:rPr>
          <w:color w:val="000000" w:themeColor="text1"/>
        </w:rPr>
        <w:t>(</w:t>
      </w:r>
      <w:r w:rsidRPr="2C43A8D5">
        <w:rPr>
          <w:color w:val="000000" w:themeColor="text1"/>
        </w:rPr>
        <w:t xml:space="preserve">Fernandes et al., 2019). </w:t>
      </w:r>
    </w:p>
    <w:p w14:paraId="1A2090AB" w14:textId="422D8D77" w:rsidR="00D923DB" w:rsidRDefault="00D923DB" w:rsidP="00D52385">
      <w:pPr>
        <w:rPr>
          <w:color w:val="000000" w:themeColor="text1"/>
        </w:rPr>
      </w:pPr>
      <w:r w:rsidRPr="2C43A8D5">
        <w:rPr>
          <w:color w:val="000000" w:themeColor="text1"/>
        </w:rPr>
        <w:t>In the pig study different plots of land were treated with a single application of either biosolids or ash products, such as poultry litter ash. Pigs were reared on the treated land, and meat and liver samples were then analysed for contaminants</w:t>
      </w:r>
      <w:r w:rsidR="00352C19" w:rsidRPr="2C43A8D5">
        <w:rPr>
          <w:color w:val="000000" w:themeColor="text1"/>
        </w:rPr>
        <w:t xml:space="preserve"> and compared to th</w:t>
      </w:r>
      <w:r w:rsidR="26D1600F" w:rsidRPr="2C43A8D5">
        <w:rPr>
          <w:color w:val="000000" w:themeColor="text1"/>
        </w:rPr>
        <w:t>ose</w:t>
      </w:r>
      <w:r w:rsidR="00352C19" w:rsidRPr="2C43A8D5">
        <w:rPr>
          <w:color w:val="000000" w:themeColor="text1"/>
        </w:rPr>
        <w:t xml:space="preserve"> of the control samples</w:t>
      </w:r>
      <w:r w:rsidRPr="2C43A8D5">
        <w:rPr>
          <w:color w:val="000000" w:themeColor="text1"/>
        </w:rPr>
        <w:t>.</w:t>
      </w:r>
      <w:r w:rsidR="00352C19" w:rsidRPr="2C43A8D5">
        <w:rPr>
          <w:color w:val="000000" w:themeColor="text1"/>
        </w:rPr>
        <w:t xml:space="preserve"> It was reported that concentrations of all contaminants (except for HBCDD and</w:t>
      </w:r>
      <w:r w:rsidR="00FE57C8">
        <w:rPr>
          <w:color w:val="000000" w:themeColor="text1"/>
        </w:rPr>
        <w:t xml:space="preserve"> </w:t>
      </w:r>
      <w:proofErr w:type="spellStart"/>
      <w:r w:rsidR="00FE57C8">
        <w:rPr>
          <w:color w:val="000000" w:themeColor="text1"/>
        </w:rPr>
        <w:t>tetrabromobisphenol</w:t>
      </w:r>
      <w:proofErr w:type="spellEnd"/>
      <w:r w:rsidR="005278D3" w:rsidRPr="3C0A3149">
        <w:rPr>
          <w:color w:val="000000" w:themeColor="text1"/>
        </w:rPr>
        <w:t>-</w:t>
      </w:r>
      <w:r w:rsidR="00FE57C8">
        <w:rPr>
          <w:color w:val="000000" w:themeColor="text1"/>
        </w:rPr>
        <w:t>A</w:t>
      </w:r>
      <w:r w:rsidR="00352C19" w:rsidRPr="2C43A8D5">
        <w:rPr>
          <w:color w:val="000000" w:themeColor="text1"/>
        </w:rPr>
        <w:t xml:space="preserve"> </w:t>
      </w:r>
      <w:r w:rsidR="00FE57C8">
        <w:rPr>
          <w:color w:val="000000" w:themeColor="text1"/>
        </w:rPr>
        <w:t>(</w:t>
      </w:r>
      <w:r w:rsidR="00352C19" w:rsidRPr="2C43A8D5">
        <w:rPr>
          <w:color w:val="000000" w:themeColor="text1"/>
        </w:rPr>
        <w:t>TBBPA</w:t>
      </w:r>
      <w:r w:rsidR="00FE57C8">
        <w:rPr>
          <w:color w:val="000000" w:themeColor="text1"/>
        </w:rPr>
        <w:t>)</w:t>
      </w:r>
      <w:r w:rsidR="00352C19" w:rsidRPr="2C43A8D5">
        <w:rPr>
          <w:color w:val="000000" w:themeColor="text1"/>
        </w:rPr>
        <w:t xml:space="preserve"> which were below the limit of quantification) were greater than the concentrations measured in the muscle tissue. All measured contaminants were found present in both muscle tissue and liver samples except for HBCDD. There were high incidences of PBDEs and PFASs (excluding PFOS and PFOA) in the biosolids (Fer</w:t>
      </w:r>
      <w:r w:rsidR="00340F2E" w:rsidRPr="2C43A8D5">
        <w:rPr>
          <w:color w:val="000000" w:themeColor="text1"/>
        </w:rPr>
        <w:t>nandes et al., 2019).</w:t>
      </w:r>
    </w:p>
    <w:p w14:paraId="61F591CF" w14:textId="022ACD3B" w:rsidR="00A1281F" w:rsidRDefault="00A1281F" w:rsidP="002F6C5A">
      <w:pPr>
        <w:rPr>
          <w:color w:val="000000" w:themeColor="text1"/>
        </w:rPr>
      </w:pPr>
      <w:r w:rsidRPr="2C43A8D5">
        <w:rPr>
          <w:color w:val="000000" w:themeColor="text1"/>
        </w:rPr>
        <w:lastRenderedPageBreak/>
        <w:t>It was reported that PCBs, PBDEs, PCDD/Fs</w:t>
      </w:r>
      <w:r w:rsidR="00D923DB" w:rsidRPr="2C43A8D5">
        <w:rPr>
          <w:color w:val="000000" w:themeColor="text1"/>
        </w:rPr>
        <w:t>,</w:t>
      </w:r>
      <w:r w:rsidRPr="2C43A8D5">
        <w:rPr>
          <w:color w:val="000000" w:themeColor="text1"/>
        </w:rPr>
        <w:t xml:space="preserve"> PCNs and PFAS were observed to have the highest transfer potential, with the greatest effects</w:t>
      </w:r>
      <w:r w:rsidR="1F103693" w:rsidRPr="2C43A8D5">
        <w:rPr>
          <w:color w:val="000000" w:themeColor="text1"/>
        </w:rPr>
        <w:t xml:space="preserve"> being</w:t>
      </w:r>
      <w:r w:rsidR="0099428F">
        <w:rPr>
          <w:color w:val="000000" w:themeColor="text1"/>
        </w:rPr>
        <w:t xml:space="preserve"> </w:t>
      </w:r>
      <w:r w:rsidRPr="2C43A8D5">
        <w:rPr>
          <w:color w:val="000000" w:themeColor="text1"/>
        </w:rPr>
        <w:t>observed in laying chickens. It was considered likely that laying chickens</w:t>
      </w:r>
      <w:r w:rsidR="00D52385" w:rsidRPr="2C43A8D5">
        <w:rPr>
          <w:color w:val="000000" w:themeColor="text1"/>
        </w:rPr>
        <w:t xml:space="preserve"> had </w:t>
      </w:r>
      <w:r w:rsidR="0741B0AB" w:rsidRPr="2C43A8D5">
        <w:rPr>
          <w:color w:val="000000" w:themeColor="text1"/>
        </w:rPr>
        <w:t>higher levels</w:t>
      </w:r>
      <w:r w:rsidR="00D52385" w:rsidRPr="2C43A8D5">
        <w:rPr>
          <w:color w:val="000000" w:themeColor="text1"/>
        </w:rPr>
        <w:t xml:space="preserve"> of the measured contaminants present compared to th</w:t>
      </w:r>
      <w:r w:rsidR="6703197D" w:rsidRPr="2C43A8D5">
        <w:rPr>
          <w:color w:val="000000" w:themeColor="text1"/>
        </w:rPr>
        <w:t>ose</w:t>
      </w:r>
      <w:r w:rsidR="00D52385" w:rsidRPr="2C43A8D5">
        <w:rPr>
          <w:color w:val="000000" w:themeColor="text1"/>
        </w:rPr>
        <w:t xml:space="preserve"> measured in broiler chickens because laying chickens are in contact with the recycled material for longer</w:t>
      </w:r>
      <w:r w:rsidR="00D923DB" w:rsidRPr="2C43A8D5">
        <w:rPr>
          <w:color w:val="000000" w:themeColor="text1"/>
        </w:rPr>
        <w:t xml:space="preserve"> </w:t>
      </w:r>
      <w:r w:rsidR="00D52385" w:rsidRPr="2C43A8D5">
        <w:rPr>
          <w:color w:val="000000" w:themeColor="text1"/>
        </w:rPr>
        <w:t xml:space="preserve">(Fernandes et al., 2019). </w:t>
      </w:r>
    </w:p>
    <w:p w14:paraId="66525AFF" w14:textId="3FA6C5C9" w:rsidR="00A1281F" w:rsidRDefault="00D923DB" w:rsidP="002F6C5A">
      <w:pPr>
        <w:rPr>
          <w:color w:val="000000" w:themeColor="text1"/>
        </w:rPr>
      </w:pPr>
      <w:r w:rsidRPr="2C43A8D5">
        <w:rPr>
          <w:color w:val="000000" w:themeColor="text1"/>
        </w:rPr>
        <w:t xml:space="preserve">Uptake of the contaminants measured was observed in all studies but the extent </w:t>
      </w:r>
      <w:r w:rsidR="2576CCF7" w:rsidRPr="2C43A8D5">
        <w:rPr>
          <w:color w:val="000000" w:themeColor="text1"/>
        </w:rPr>
        <w:t xml:space="preserve">it occurred </w:t>
      </w:r>
      <w:r w:rsidRPr="2C43A8D5">
        <w:rPr>
          <w:color w:val="000000" w:themeColor="text1"/>
        </w:rPr>
        <w:t xml:space="preserve">varied </w:t>
      </w:r>
      <w:r w:rsidR="323D8DA7" w:rsidRPr="2C43A8D5">
        <w:rPr>
          <w:color w:val="000000" w:themeColor="text1"/>
        </w:rPr>
        <w:t xml:space="preserve">depending on the </w:t>
      </w:r>
      <w:r w:rsidRPr="2C43A8D5">
        <w:rPr>
          <w:color w:val="000000" w:themeColor="text1"/>
        </w:rPr>
        <w:t xml:space="preserve">species tested and </w:t>
      </w:r>
      <w:r w:rsidR="1F9468B5" w:rsidRPr="2C43A8D5">
        <w:rPr>
          <w:color w:val="000000" w:themeColor="text1"/>
        </w:rPr>
        <w:t xml:space="preserve">the </w:t>
      </w:r>
      <w:r w:rsidRPr="2C43A8D5">
        <w:rPr>
          <w:color w:val="000000" w:themeColor="text1"/>
        </w:rPr>
        <w:t>material used.</w:t>
      </w:r>
      <w:r w:rsidR="00340F2E" w:rsidRPr="2C43A8D5">
        <w:rPr>
          <w:color w:val="000000" w:themeColor="text1"/>
        </w:rPr>
        <w:t xml:space="preserve"> It was concluded that levels of contaminants measured in the eggs and meat of both chickens and pigs were within the regulatory safe levels. The authors did highlight that there is the potential for contaminants to build up in soil following repeated application of recycled materials. It was also highlighted that these recycled products are made in batches, and therefore there could be a degree of variation between batches (Fernandes et al., 2019). </w:t>
      </w:r>
    </w:p>
    <w:p w14:paraId="0D76CBFD" w14:textId="06996804" w:rsidR="0045114A" w:rsidRDefault="0045114A" w:rsidP="002F6C5A">
      <w:pPr>
        <w:rPr>
          <w:color w:val="000000" w:themeColor="text1"/>
        </w:rPr>
      </w:pPr>
      <w:r>
        <w:rPr>
          <w:color w:val="000000" w:themeColor="text1"/>
        </w:rPr>
        <w:t>In a further study representative types of industrial and municipal bioresources were used to determine the presence of organic chemical contamination. The materials investigated were land applied materials including treated sewage sludge (biosolids), meat and bone meal ash (MBMA), poultry litter ash (PLA), paper sludge ash (PSA</w:t>
      </w:r>
      <w:r w:rsidR="00F564CF">
        <w:rPr>
          <w:color w:val="000000" w:themeColor="text1"/>
        </w:rPr>
        <w:t>)</w:t>
      </w:r>
      <w:r>
        <w:rPr>
          <w:color w:val="000000" w:themeColor="text1"/>
        </w:rPr>
        <w:t xml:space="preserve"> and compost-like-output (CLO), and bedding materials including recycled waste wood (RWW), dried paper sludge (DPS), paper sludge ash (PSA) and shredded cardboard. It was reported that these materials used in the study were found to have generally lower concentration of PCDD/Fs and dioxin-like PCBs compared to that of earlier studies, indicating decreasing environmental emissions of these specific contaminants. PBDD/Fs were found at larger concentrations in biosol</w:t>
      </w:r>
      <w:r w:rsidR="00174EF7">
        <w:rPr>
          <w:color w:val="000000" w:themeColor="text1"/>
        </w:rPr>
        <w:t>i</w:t>
      </w:r>
      <w:r>
        <w:rPr>
          <w:color w:val="000000" w:themeColor="text1"/>
        </w:rPr>
        <w:t xml:space="preserve">ds and CLO compared to that of the chlorinated </w:t>
      </w:r>
      <w:r w:rsidR="00174EF7">
        <w:rPr>
          <w:color w:val="000000" w:themeColor="text1"/>
        </w:rPr>
        <w:t xml:space="preserve">contaminants. PCBs were found to be present in DPS which was reported to be likely due to non-legacy sources of PCBs in paper production. </w:t>
      </w:r>
      <w:proofErr w:type="spellStart"/>
      <w:r w:rsidR="00174EF7">
        <w:rPr>
          <w:color w:val="000000" w:themeColor="text1"/>
        </w:rPr>
        <w:t>DecaBDE</w:t>
      </w:r>
      <w:proofErr w:type="spellEnd"/>
      <w:r w:rsidR="00174EF7">
        <w:rPr>
          <w:color w:val="000000" w:themeColor="text1"/>
        </w:rPr>
        <w:t xml:space="preserve"> was found to be most abundant PBDE detected in the bioresource material tested. Replacement flame retardants, namely </w:t>
      </w:r>
      <w:proofErr w:type="spellStart"/>
      <w:r w:rsidR="00174EF7">
        <w:rPr>
          <w:color w:val="000000" w:themeColor="text1"/>
        </w:rPr>
        <w:t>decabomodiphenylethane</w:t>
      </w:r>
      <w:proofErr w:type="spellEnd"/>
      <w:r w:rsidR="00174EF7">
        <w:rPr>
          <w:color w:val="000000" w:themeColor="text1"/>
        </w:rPr>
        <w:t xml:space="preserve"> (DBDPE) and organophosphate flame retardants were also detected in several of the materials tested. PFASs were also detected, including PFOS particularly in biosolids and CLO (Rigby, et al., 2021)</w:t>
      </w:r>
    </w:p>
    <w:p w14:paraId="45FDB188" w14:textId="2626EBC0" w:rsidR="00571A2F" w:rsidRDefault="00F55CB1" w:rsidP="00571A2F">
      <w:pPr>
        <w:pStyle w:val="Heading3"/>
      </w:pPr>
      <w:bookmarkStart w:id="32" w:name="_Hlk62827150"/>
      <w:r>
        <w:t xml:space="preserve">Measures under </w:t>
      </w:r>
      <w:r w:rsidR="00CB1421">
        <w:t xml:space="preserve">River Basin management Plans </w:t>
      </w:r>
    </w:p>
    <w:p w14:paraId="445DD4DB" w14:textId="438E354C" w:rsidR="005B7A6B" w:rsidRPr="0043739A" w:rsidRDefault="00F55CB1" w:rsidP="0043739A">
      <w:r>
        <w:t xml:space="preserve">Our current river basin management plans are under review. </w:t>
      </w:r>
      <w:r w:rsidR="005B7A6B" w:rsidRPr="0043739A">
        <w:t xml:space="preserve">An update on </w:t>
      </w:r>
      <w:r>
        <w:t xml:space="preserve">this process and how it will consider </w:t>
      </w:r>
      <w:r w:rsidR="005B7A6B" w:rsidRPr="0043739A">
        <w:t>POPs in the water environment is provided below</w:t>
      </w:r>
      <w:r w:rsidR="001A5D59">
        <w:t xml:space="preserve"> on </w:t>
      </w:r>
      <w:r w:rsidR="001A5D59" w:rsidRPr="00567BA3">
        <w:t>page 40 under ‘Water’.</w:t>
      </w:r>
    </w:p>
    <w:p w14:paraId="0119CE46" w14:textId="3E11DE3F" w:rsidR="00C5568B" w:rsidRPr="00C5568B" w:rsidRDefault="006D5A34" w:rsidP="00C5568B">
      <w:r>
        <w:t>To further our body of work and understanding of how POPs are entering the environment and in which environmental compartments they reside</w:t>
      </w:r>
      <w:r w:rsidR="00C5568B" w:rsidRPr="00C5568B">
        <w:t xml:space="preserve">, the EA will undertake a series of compliance activities on </w:t>
      </w:r>
      <w:proofErr w:type="gramStart"/>
      <w:r w:rsidR="00C5568B" w:rsidRPr="00C5568B">
        <w:t>a number of</w:t>
      </w:r>
      <w:proofErr w:type="gramEnd"/>
      <w:r w:rsidR="00C5568B" w:rsidRPr="00C5568B">
        <w:t xml:space="preserve"> POPs substances including PFOS and PBDE substances. This includes considering risks from run-off from outside storage of shredded WEEE plastics. They intend to consult on measures to prevent releases to the water environment. </w:t>
      </w:r>
    </w:p>
    <w:p w14:paraId="7A3E25B5" w14:textId="2482F57D" w:rsidR="00612E3F" w:rsidRPr="00612E3F" w:rsidRDefault="00612E3F" w:rsidP="00612E3F">
      <w:r w:rsidRPr="00612E3F">
        <w:t xml:space="preserve">NRW published a risk assessment of chemicals in surface waters in 2020, as part of the draft River Basin Management Plans, which included two POPs: PBDEs and PFOS. </w:t>
      </w:r>
      <w:r w:rsidRPr="00612E3F">
        <w:lastRenderedPageBreak/>
        <w:t xml:space="preserve">PDBEs </w:t>
      </w:r>
      <w:proofErr w:type="gramStart"/>
      <w:r w:rsidRPr="00612E3F">
        <w:t>are considered to be</w:t>
      </w:r>
      <w:proofErr w:type="gramEnd"/>
      <w:r w:rsidRPr="00612E3F">
        <w:t xml:space="preserve"> probably at risk of failing the EQS in all surface waters in Wales. PFOS is only considered as being a risk from wastewater discharges in a small number of water bodies with a low dilution. The classification, which will be released in 2021, shows that these risk assessments are a broadly correct for those water bodies for which there is monitoring data. The consultation on the draft river basin management plans and additional engagement events have enabled NRW to gather input from stakeholders, which will inform their strategic approach for managing chemicals, </w:t>
      </w:r>
      <w:proofErr w:type="gramStart"/>
      <w:r w:rsidRPr="00612E3F">
        <w:t>in particular PBDEs</w:t>
      </w:r>
      <w:proofErr w:type="gramEnd"/>
      <w:r w:rsidRPr="00612E3F">
        <w:t xml:space="preserve"> and PFOS.</w:t>
      </w:r>
    </w:p>
    <w:bookmarkEnd w:id="32"/>
    <w:p w14:paraId="68B90300" w14:textId="3E5E3A26" w:rsidR="00571A2F" w:rsidRDefault="352C5431" w:rsidP="5D963AD2">
      <w:pPr>
        <w:pStyle w:val="Heading3"/>
      </w:pPr>
      <w:r>
        <w:t>Analysis of sludge for POPs</w:t>
      </w:r>
    </w:p>
    <w:p w14:paraId="1007E65B" w14:textId="3BDA3A4C" w:rsidR="005B7A6B" w:rsidRDefault="005B7A6B" w:rsidP="002F6C5A">
      <w:pPr>
        <w:rPr>
          <w:rFonts w:cs="Arial"/>
        </w:rPr>
      </w:pPr>
      <w:r>
        <w:rPr>
          <w:rFonts w:cs="Arial"/>
        </w:rPr>
        <w:t>In July 2020 the EA published a strategy for safe and sustainable sludge use (Environment Agency, 2020</w:t>
      </w:r>
      <w:r w:rsidR="00DB058F">
        <w:rPr>
          <w:rFonts w:cs="Arial"/>
        </w:rPr>
        <w:t>a</w:t>
      </w:r>
      <w:r>
        <w:rPr>
          <w:rFonts w:cs="Arial"/>
        </w:rPr>
        <w:t xml:space="preserve">). </w:t>
      </w:r>
    </w:p>
    <w:p w14:paraId="379F2E30" w14:textId="609F3375" w:rsidR="004F2442" w:rsidRPr="004F2442" w:rsidRDefault="004F2442" w:rsidP="004F2442">
      <w:pPr>
        <w:rPr>
          <w:sz w:val="22"/>
          <w:szCs w:val="24"/>
        </w:rPr>
      </w:pPr>
      <w:bookmarkStart w:id="33" w:name="_Hlk65154019"/>
      <w:r w:rsidRPr="004F2442">
        <w:rPr>
          <w:rFonts w:cs="Arial"/>
        </w:rPr>
        <w:t xml:space="preserve">The </w:t>
      </w:r>
      <w:r w:rsidRPr="004F2442">
        <w:rPr>
          <w:szCs w:val="24"/>
        </w:rPr>
        <w:t xml:space="preserve">UK government and EA are working with water companies to investigating a wide range of chemicals including a number of POPs and a range of PFAS chemicals, namely PBDEs including </w:t>
      </w:r>
      <w:proofErr w:type="spellStart"/>
      <w:r w:rsidRPr="004F2442">
        <w:rPr>
          <w:szCs w:val="24"/>
        </w:rPr>
        <w:t>DecaBDE</w:t>
      </w:r>
      <w:proofErr w:type="spellEnd"/>
      <w:r w:rsidRPr="004F2442">
        <w:rPr>
          <w:szCs w:val="24"/>
        </w:rPr>
        <w:t xml:space="preserve">, SCCPs, total dioxin, furans and dioxin-like PCB, HBCDD, non-dioxin-like PCBs, polychlorinated </w:t>
      </w:r>
      <w:proofErr w:type="spellStart"/>
      <w:r w:rsidRPr="004F2442">
        <w:rPr>
          <w:szCs w:val="24"/>
        </w:rPr>
        <w:t>naphthalenes</w:t>
      </w:r>
      <w:proofErr w:type="spellEnd"/>
      <w:r w:rsidRPr="004F2442">
        <w:rPr>
          <w:szCs w:val="24"/>
        </w:rPr>
        <w:t xml:space="preserve">, PFOS and PFOA as part of the Chemicals Investigation Programme in 2021/22. The work will examine sources of emissions to sewer, mechanisms of removal during treatment and levels in effluent and sewage sludge. The EA will continue to develop analytical methods and include certain POPs and potential POPs within its surveillance monitoring programmes, with a </w:t>
      </w:r>
      <w:proofErr w:type="gramStart"/>
      <w:r w:rsidRPr="004F2442">
        <w:rPr>
          <w:szCs w:val="24"/>
        </w:rPr>
        <w:t>particular focus</w:t>
      </w:r>
      <w:proofErr w:type="gramEnd"/>
      <w:r w:rsidRPr="004F2442">
        <w:rPr>
          <w:szCs w:val="24"/>
        </w:rPr>
        <w:t xml:space="preserve"> on PFAS chemicals. This work will be used </w:t>
      </w:r>
      <w:r w:rsidRPr="004F2442">
        <w:t xml:space="preserve">to </w:t>
      </w:r>
      <w:r w:rsidRPr="004F2442">
        <w:rPr>
          <w:szCs w:val="24"/>
        </w:rPr>
        <w:t>investigating sources of environmental exposure of the POPs measured including PFOS, PFOA and other PFAS chemicals.</w:t>
      </w:r>
    </w:p>
    <w:p w14:paraId="646B5AC1" w14:textId="26002104" w:rsidR="00571A2F" w:rsidRPr="00571A2F" w:rsidRDefault="352C5431" w:rsidP="5D963AD2">
      <w:pPr>
        <w:pStyle w:val="Heading3"/>
      </w:pPr>
      <w:bookmarkStart w:id="34" w:name="_Hlk63091167"/>
      <w:bookmarkEnd w:id="33"/>
      <w:r>
        <w:t xml:space="preserve">Measures under the </w:t>
      </w:r>
      <w:r w:rsidR="5EDB646A">
        <w:t>UK Marine Strategy</w:t>
      </w:r>
    </w:p>
    <w:bookmarkEnd w:id="34"/>
    <w:p w14:paraId="26B568E1" w14:textId="267163A2" w:rsidR="3F905ECC" w:rsidRPr="00682C38" w:rsidRDefault="36FBF99F" w:rsidP="00682C38">
      <w:pPr>
        <w:rPr>
          <w:rFonts w:ascii="Calibri" w:eastAsia="Calibri" w:hAnsi="Calibri" w:cs="Calibri"/>
        </w:rPr>
      </w:pPr>
      <w:r w:rsidRPr="00682C38">
        <w:rPr>
          <w:rFonts w:cs="Arial"/>
        </w:rPr>
        <w:t>The Marine Strategy Regulations 2010 set out a framework to assess, monitor and put in place measures to achieve or maintain Good Environmental Status (GES) in UK seas. We do this through the UK Marine Strategy which is made up of three parts. Each part of the strategy is reviewed and updated every six years. The overall objective of the UK Marine Strategy is consistent with the UK’s vision for ‘clean, healthy, safe, productive and biologically diverse oceans and seas’ and is consistent with our commitments in the 25</w:t>
      </w:r>
      <w:r w:rsidR="00216D19">
        <w:rPr>
          <w:rFonts w:cs="Arial"/>
        </w:rPr>
        <w:t> </w:t>
      </w:r>
      <w:r w:rsidRPr="00682C38">
        <w:rPr>
          <w:rFonts w:cs="Arial"/>
        </w:rPr>
        <w:t>Year Environment Plan. It covers a comprehensive range of biodiversity and marine environmental indicators including contaminants.</w:t>
      </w:r>
      <w:r w:rsidRPr="00682C38">
        <w:rPr>
          <w:rFonts w:ascii="Calibri" w:eastAsia="Calibri" w:hAnsi="Calibri" w:cs="Calibri"/>
        </w:rPr>
        <w:t xml:space="preserve"> </w:t>
      </w:r>
    </w:p>
    <w:p w14:paraId="683D2CD3" w14:textId="2CC92143" w:rsidR="36FBF99F" w:rsidRPr="00682C38" w:rsidRDefault="36FBF99F" w:rsidP="00682C38">
      <w:pPr>
        <w:rPr>
          <w:rFonts w:cs="Arial"/>
        </w:rPr>
      </w:pPr>
      <w:r w:rsidRPr="00682C38">
        <w:rPr>
          <w:rFonts w:cs="Arial"/>
        </w:rPr>
        <w:t>In October 2019 we published the updated UK Marine Strategy Part One, which sets out our assessment of the status of UK seas and our targets and indicators for period up to 2024. We are currently updating the UK Marine Strategy Part Two, which sets out the monitoring programmes we will use to assess our progress towards these updated GES targets. We aim to publish in Spring 2021.The next step after the UK Marine Strategy Part Two will be to update Part Three, which sets out the programme of measures we will implement in order to achieve or maintain GES for UK seas. We aim to publish the UK Marine Strategy Part Three in 2021.</w:t>
      </w:r>
    </w:p>
    <w:p w14:paraId="0E3FAA0D" w14:textId="5EBD3597" w:rsidR="36FBF99F" w:rsidRPr="00682C38" w:rsidRDefault="36FBF99F" w:rsidP="00682C38">
      <w:pPr>
        <w:rPr>
          <w:rFonts w:cs="Arial"/>
        </w:rPr>
      </w:pPr>
      <w:r w:rsidRPr="00682C38">
        <w:rPr>
          <w:rFonts w:cs="Arial"/>
        </w:rPr>
        <w:lastRenderedPageBreak/>
        <w:t>The 2019 UK Marine Strategy Part One assessments show that concentrations of hazardous substances in the Celtic Seas and the Greater North Sea and their biological effects are generally meeting agreed target thresholds which means they are at levels that should not cause harm to sea life (89% for contaminant concentrations and 96% for biological effects). The few failures are caused by highly persistent legacy chemicals</w:t>
      </w:r>
      <w:r w:rsidR="004219A7">
        <w:rPr>
          <w:rFonts w:cs="Arial"/>
        </w:rPr>
        <w:t>,</w:t>
      </w:r>
      <w:r w:rsidRPr="00682C38">
        <w:rPr>
          <w:rFonts w:cs="Arial"/>
        </w:rPr>
        <w:t xml:space="preserve"> such as PCBs</w:t>
      </w:r>
      <w:r w:rsidR="004219A7">
        <w:rPr>
          <w:rFonts w:cs="Arial"/>
        </w:rPr>
        <w:t>,</w:t>
      </w:r>
      <w:r w:rsidRPr="00682C38">
        <w:rPr>
          <w:rFonts w:cs="Arial"/>
        </w:rPr>
        <w:t xml:space="preserve"> in biota and marine sediments mainly in coastal waters and often close to polluted sources. PCBs have also been detected in significant concentrations in orcas in UK seas. </w:t>
      </w:r>
    </w:p>
    <w:p w14:paraId="33EA073B" w14:textId="57DA886C" w:rsidR="36FBF99F" w:rsidRPr="00682C38" w:rsidRDefault="36FBF99F" w:rsidP="00682C38">
      <w:pPr>
        <w:rPr>
          <w:rStyle w:val="Hyperlink"/>
          <w:rFonts w:cs="Arial"/>
          <w:color w:val="000000" w:themeColor="text1"/>
          <w:szCs w:val="24"/>
          <w:u w:val="none"/>
        </w:rPr>
      </w:pPr>
      <w:r w:rsidRPr="00682C38">
        <w:rPr>
          <w:rFonts w:cs="Arial"/>
        </w:rPr>
        <w:t xml:space="preserve">Trends for PCBs and PAHs in biota and sediment are stable, with 74-92% and 83-92% of targets on contaminant concentrations being met respectively. For PBDEs there are currently no assessment criteria available but limited trend analysis suggests that the concentrations are decreasing, partly because usage is decreasing. Further information can be found at: </w:t>
      </w:r>
      <w:hyperlink r:id="rId28" w:history="1">
        <w:r w:rsidR="00682C38" w:rsidRPr="00682C38">
          <w:rPr>
            <w:rStyle w:val="Hyperlink"/>
            <w:rFonts w:cs="Arial"/>
            <w:szCs w:val="24"/>
            <w:u w:val="none"/>
          </w:rPr>
          <w:t>https://moat.cefas.co.uk/pressures-from-human-activities/contaminants/</w:t>
        </w:r>
      </w:hyperlink>
      <w:r w:rsidR="00682C38" w:rsidRPr="00682C38">
        <w:rPr>
          <w:rStyle w:val="Hyperlink"/>
          <w:rFonts w:cs="Arial"/>
          <w:color w:val="000000" w:themeColor="text1"/>
          <w:szCs w:val="24"/>
          <w:u w:val="none"/>
        </w:rPr>
        <w:t xml:space="preserve"> </w:t>
      </w:r>
    </w:p>
    <w:p w14:paraId="1A56B7B0" w14:textId="6F10E7D5" w:rsidR="00571A2F" w:rsidRDefault="00571A2F" w:rsidP="00571A2F">
      <w:pPr>
        <w:pStyle w:val="Heading3"/>
      </w:pPr>
      <w:r>
        <w:t xml:space="preserve">Information exchange </w:t>
      </w:r>
    </w:p>
    <w:p w14:paraId="2166C316" w14:textId="4C81556F" w:rsidR="002C58DE" w:rsidRDefault="00730094" w:rsidP="00730094">
      <w:r w:rsidRPr="4CB48EDB">
        <w:t>Publish</w:t>
      </w:r>
      <w:r w:rsidR="00F55CB1">
        <w:t>ed</w:t>
      </w:r>
      <w:r w:rsidRPr="4CB48EDB">
        <w:t xml:space="preserve"> research conducted on POPs </w:t>
      </w:r>
      <w:r w:rsidR="002C58DE">
        <w:t xml:space="preserve">is available </w:t>
      </w:r>
      <w:r w:rsidRPr="4CB48EDB">
        <w:t xml:space="preserve">on </w:t>
      </w:r>
      <w:proofErr w:type="gramStart"/>
      <w:r w:rsidR="002C58DE">
        <w:t>a number of</w:t>
      </w:r>
      <w:proofErr w:type="gramEnd"/>
      <w:r w:rsidR="002C58DE">
        <w:t xml:space="preserve"> </w:t>
      </w:r>
      <w:r w:rsidRPr="4CB48EDB">
        <w:t>government website</w:t>
      </w:r>
      <w:r w:rsidR="002C58DE">
        <w:t>s and a list of the most relevant reference is included in Annex I</w:t>
      </w:r>
      <w:r w:rsidR="007A4BD3">
        <w:t>V</w:t>
      </w:r>
      <w:r w:rsidR="002C58DE">
        <w:t xml:space="preserve"> of this document.</w:t>
      </w:r>
    </w:p>
    <w:p w14:paraId="12385F1A" w14:textId="55A9FB45" w:rsidR="00E33016" w:rsidRDefault="002C58DE" w:rsidP="00730094">
      <w:r>
        <w:t>As a Party to the Stockholm Convention the UK plays an active role in the development of the convention and the sharing of knowledge</w:t>
      </w:r>
      <w:r w:rsidR="00E33016">
        <w:t xml:space="preserve"> on POPs</w:t>
      </w:r>
      <w:r>
        <w:t xml:space="preserve">, responding to calls for information and </w:t>
      </w:r>
      <w:r w:rsidR="00E33016">
        <w:t>contributing to discussion. Representatives of the UK are currently:</w:t>
      </w:r>
    </w:p>
    <w:p w14:paraId="11228AB4" w14:textId="47F1F78B" w:rsidR="00730094" w:rsidRDefault="00E33016" w:rsidP="00E95CF4">
      <w:pPr>
        <w:pStyle w:val="ListParagraph"/>
        <w:numPr>
          <w:ilvl w:val="0"/>
          <w:numId w:val="40"/>
        </w:numPr>
      </w:pPr>
      <w:r>
        <w:t>contributing to annual meetings of the POP Review Committee, as observers</w:t>
      </w:r>
    </w:p>
    <w:p w14:paraId="15E34262" w14:textId="41E02D29" w:rsidR="00E33016" w:rsidRDefault="00E33016">
      <w:pPr>
        <w:pStyle w:val="ListParagraph"/>
        <w:numPr>
          <w:ilvl w:val="0"/>
          <w:numId w:val="40"/>
        </w:numPr>
      </w:pPr>
      <w:r>
        <w:t>members of the s</w:t>
      </w:r>
      <w:r w:rsidRPr="00E33016">
        <w:t xml:space="preserve">mall intersessional working group (SIWG) on the technical guidelines on the environmentally sound management of persistent organic pollutants </w:t>
      </w:r>
      <w:r>
        <w:t>(which sits under the Basel Convention)</w:t>
      </w:r>
    </w:p>
    <w:p w14:paraId="128CE2A9" w14:textId="224F6312" w:rsidR="00E33016" w:rsidRDefault="00F30701">
      <w:pPr>
        <w:pStyle w:val="ListParagraph"/>
        <w:numPr>
          <w:ilvl w:val="0"/>
          <w:numId w:val="40"/>
        </w:numPr>
      </w:pPr>
      <w:r>
        <w:t>a member of the small intersessional working group on PCBs</w:t>
      </w:r>
    </w:p>
    <w:p w14:paraId="4D642F16" w14:textId="42337EE5" w:rsidR="008B3A27" w:rsidRDefault="574476DA" w:rsidP="00EB778D">
      <w:pPr>
        <w:pStyle w:val="Heading2"/>
      </w:pPr>
      <w:bookmarkStart w:id="35" w:name="_Toc67030071"/>
      <w:r>
        <w:t>Update o</w:t>
      </w:r>
      <w:r w:rsidR="653BBFA1">
        <w:t>f</w:t>
      </w:r>
      <w:r>
        <w:t xml:space="preserve"> the UK MMEI</w:t>
      </w:r>
      <w:bookmarkEnd w:id="35"/>
    </w:p>
    <w:p w14:paraId="1C713C1D" w14:textId="604E56D6" w:rsidR="00EC7CC2" w:rsidRDefault="00EC7CC2" w:rsidP="00A1779D">
      <w:pPr>
        <w:pStyle w:val="Heading3"/>
      </w:pPr>
      <w:r>
        <w:t>The UK POPs multi-media emissions inventory</w:t>
      </w:r>
    </w:p>
    <w:p w14:paraId="1EF27229" w14:textId="6707FF7D" w:rsidR="007B1D10" w:rsidRPr="00883369" w:rsidRDefault="007B1D10" w:rsidP="007B1D10">
      <w:r w:rsidRPr="00883369">
        <w:t xml:space="preserve">In 2007, the UK developed </w:t>
      </w:r>
      <w:r w:rsidR="0077636F" w:rsidRPr="00883369">
        <w:t>the UK POPs Multi-media Emissions Inventory (MMEI)</w:t>
      </w:r>
      <w:r w:rsidR="0077636F">
        <w:t xml:space="preserve">, </w:t>
      </w:r>
      <w:r w:rsidRPr="00883369">
        <w:t xml:space="preserve">a multi-vector inventory of </w:t>
      </w:r>
      <w:r w:rsidR="00627AE6">
        <w:t xml:space="preserve">POPs </w:t>
      </w:r>
      <w:r w:rsidRPr="00883369">
        <w:t>emissions</w:t>
      </w:r>
      <w:r w:rsidR="00627AE6">
        <w:t xml:space="preserve"> (MMEI). This inventory has been expanded through the inclusion of additional POPs and it is updated and improved annually. </w:t>
      </w:r>
      <w:r w:rsidR="00FF6109">
        <w:t>Due to the availability of the relevant datasets there is a 2 year delay but i</w:t>
      </w:r>
      <w:r w:rsidR="00627AE6">
        <w:t>t</w:t>
      </w:r>
      <w:r w:rsidRPr="00883369">
        <w:t xml:space="preserve"> </w:t>
      </w:r>
      <w:r w:rsidR="00FF6109">
        <w:t>currently</w:t>
      </w:r>
      <w:r w:rsidR="00FF6109" w:rsidRPr="00883369">
        <w:t xml:space="preserve"> </w:t>
      </w:r>
      <w:r w:rsidRPr="00883369">
        <w:t xml:space="preserve">consists of data </w:t>
      </w:r>
      <w:r w:rsidRPr="007C5F96">
        <w:t xml:space="preserve">from </w:t>
      </w:r>
      <w:r w:rsidR="007C5F96" w:rsidRPr="007C5F96">
        <w:t>1990</w:t>
      </w:r>
      <w:r w:rsidRPr="007C5F96">
        <w:t xml:space="preserve"> to</w:t>
      </w:r>
      <w:r w:rsidR="007C5F96" w:rsidRPr="007C5F96">
        <w:t xml:space="preserve"> 201</w:t>
      </w:r>
      <w:r w:rsidR="00FF6109">
        <w:t>8</w:t>
      </w:r>
      <w:r w:rsidRPr="007C5F96" w:rsidDel="00216D19">
        <w:t xml:space="preserve"> </w:t>
      </w:r>
      <w:r w:rsidR="00FE57C8">
        <w:t xml:space="preserve">(the 2019 data will be available at the end of March 2021 and </w:t>
      </w:r>
      <w:r w:rsidR="004E22F3">
        <w:t>will</w:t>
      </w:r>
      <w:r w:rsidR="004D3103">
        <w:t xml:space="preserve"> be added before finalising the document</w:t>
      </w:r>
      <w:r w:rsidR="00FE57C8">
        <w:t xml:space="preserve">) </w:t>
      </w:r>
      <w:r w:rsidR="007C5F96" w:rsidRPr="007C5F96">
        <w:t>on POPs</w:t>
      </w:r>
      <w:r w:rsidRPr="007C5F96">
        <w:t xml:space="preserve"> which are released unintentionally from anthropogenic sources</w:t>
      </w:r>
      <w:r w:rsidRPr="00883369">
        <w:t xml:space="preserve"> (listed in Annex C of the Convention). This has been built on the existing UK National Atmospheric Emissions Inventory (NAEI) and now reflects better knowledge of emissions from non-air vector emission sources that is used to measure progress, prioritise action and fulfil </w:t>
      </w:r>
      <w:r w:rsidR="007C5F96" w:rsidRPr="00883369">
        <w:t>several</w:t>
      </w:r>
      <w:r w:rsidRPr="00883369">
        <w:t xml:space="preserve"> reporting requirements.</w:t>
      </w:r>
    </w:p>
    <w:p w14:paraId="16D39950" w14:textId="38E13CBF" w:rsidR="007B1D10" w:rsidRPr="00883369" w:rsidRDefault="0077636F" w:rsidP="007B1D10">
      <w:r>
        <w:lastRenderedPageBreak/>
        <w:t>The MMEI</w:t>
      </w:r>
      <w:r w:rsidR="007B1D10" w:rsidRPr="00883369">
        <w:t xml:space="preserve"> shows that estimates of emissions to air, land and water for all Stockholm Convention Annex C substances have declined significantly in the UK between the period 1990 to 201</w:t>
      </w:r>
      <w:r w:rsidR="003F7144">
        <w:t>8</w:t>
      </w:r>
      <w:r w:rsidR="007B1D10" w:rsidRPr="00883369">
        <w:t>. This is largely due to policy actions targeting major UK point sources. The magnitude of diffuse sources such as accidental house fires, use of solid fuels in domestic properties and backyard burning have also declined since 1990, but represent a more challenging set of sources to control and further minimise.</w:t>
      </w:r>
    </w:p>
    <w:p w14:paraId="45BF8C41" w14:textId="158D956F" w:rsidR="00A74F03" w:rsidRDefault="0077636F" w:rsidP="00745F03">
      <w:r>
        <w:t>A project to update the inventory is ongoing. Work</w:t>
      </w:r>
      <w:r w:rsidR="009B1D7E">
        <w:t xml:space="preserve"> has included</w:t>
      </w:r>
      <w:r>
        <w:t xml:space="preserve"> inclusion of</w:t>
      </w:r>
      <w:r w:rsidR="009B1D7E">
        <w:t xml:space="preserve"> a first set of emission estimates for </w:t>
      </w:r>
      <w:proofErr w:type="gramStart"/>
      <w:r w:rsidR="009B1D7E">
        <w:t>open-sources</w:t>
      </w:r>
      <w:proofErr w:type="gramEnd"/>
      <w:r w:rsidR="009B1D7E">
        <w:t xml:space="preserve"> of PCBs from paints and sealants. This programme also included a new tailored approach for the dioxin-like PCB emission inventory to take the existing approach from </w:t>
      </w:r>
      <w:r w:rsidR="00FF6109">
        <w:t>European Monitoring and Evaluation Programme (</w:t>
      </w:r>
      <w:r w:rsidR="009B1D7E">
        <w:t>EMEP</w:t>
      </w:r>
      <w:r w:rsidR="00FF6109">
        <w:t>)</w:t>
      </w:r>
      <w:r w:rsidR="009B1D7E">
        <w:t xml:space="preserve"> tier I (basic) to EMEP tier II (intermediate). Targeted improvement of the existing inventories and expansion of the time-series to include data for 2017</w:t>
      </w:r>
      <w:r>
        <w:t xml:space="preserve"> has also been completed, along with f</w:t>
      </w:r>
      <w:r w:rsidR="007C5F96">
        <w:t>urther review and update of emission factors for fly-ash associated with</w:t>
      </w:r>
      <w:r w:rsidR="00CA0A06">
        <w:t xml:space="preserve"> municipal solid waste</w:t>
      </w:r>
      <w:r w:rsidR="007C5F96">
        <w:t xml:space="preserve"> </w:t>
      </w:r>
      <w:r w:rsidR="00CA0A06">
        <w:t>(</w:t>
      </w:r>
      <w:r w:rsidR="007C5F96">
        <w:t>MSW</w:t>
      </w:r>
      <w:r w:rsidR="00CA0A06">
        <w:t>)</w:t>
      </w:r>
      <w:r w:rsidR="007C5F96">
        <w:t xml:space="preserve"> incineration from energy-from-waste plant.</w:t>
      </w:r>
    </w:p>
    <w:p w14:paraId="198E89A8" w14:textId="0659B702" w:rsidR="009B1D7E" w:rsidRDefault="009B1D7E" w:rsidP="00745F03">
      <w:r>
        <w:t xml:space="preserve">The second objective of the project is to </w:t>
      </w:r>
      <w:bookmarkStart w:id="36" w:name="_Hlk63424653"/>
      <w:r>
        <w:t xml:space="preserve">develop and establish a multi-media release inventory for POPs added to the Stockholm Convention during </w:t>
      </w:r>
      <w:r w:rsidR="0077636F">
        <w:t>COP 8 and COP 9</w:t>
      </w:r>
      <w:r w:rsidR="00B741D4">
        <w:t>. This led to the development of a multi-media emission inventory for PFOA, its salts and PFOA-related compounds.</w:t>
      </w:r>
      <w:r w:rsidR="00EE4DCE">
        <w:t xml:space="preserve"> </w:t>
      </w:r>
      <w:bookmarkEnd w:id="36"/>
      <w:r w:rsidR="00EE4DCE">
        <w:t xml:space="preserve">This inventory includes the management of PFOA-related compounds which degrade to form PFOA under natural processes. A novel approach has been used to create this new inventory whereby PFOA and its salts has been considered as one item and PFOA-related as the second item. Data from the UK Chemicals Investigation Programme (CIP) have been used to assist in validation of the estimates produced for water. </w:t>
      </w:r>
    </w:p>
    <w:p w14:paraId="3CF93A1F" w14:textId="370815C2" w:rsidR="0077636F" w:rsidRDefault="0077636F" w:rsidP="00745F03">
      <w:r>
        <w:t>Reports on this project will be published in 2021.</w:t>
      </w:r>
    </w:p>
    <w:p w14:paraId="6CF80EDC" w14:textId="3FA57719" w:rsidR="000D4E95" w:rsidRDefault="005339B4" w:rsidP="00682C38">
      <w:pPr>
        <w:pStyle w:val="Heading3"/>
      </w:pPr>
      <w:r>
        <w:t>Waste tool</w:t>
      </w:r>
    </w:p>
    <w:p w14:paraId="7F3B7005" w14:textId="232A91F2" w:rsidR="00274814" w:rsidRDefault="00B741D4" w:rsidP="00745F03">
      <w:r>
        <w:t xml:space="preserve">The third objective </w:t>
      </w:r>
      <w:r w:rsidR="0077636F">
        <w:t>of the current project is</w:t>
      </w:r>
      <w:r>
        <w:t xml:space="preserve"> to develop a waste tool </w:t>
      </w:r>
      <w:r w:rsidR="00304F99">
        <w:t xml:space="preserve">to enhance predictions of future waste flows of POPs against assumed bank supplies of in-use goods. </w:t>
      </w:r>
      <w:r w:rsidR="00274814">
        <w:t xml:space="preserve">The POPs included so far in the waste tool are PCBs, </w:t>
      </w:r>
      <w:proofErr w:type="spellStart"/>
      <w:r w:rsidR="00AD35FC">
        <w:t>d</w:t>
      </w:r>
      <w:r w:rsidR="00274814">
        <w:t>ec</w:t>
      </w:r>
      <w:r w:rsidR="007C5F96">
        <w:t>a</w:t>
      </w:r>
      <w:r w:rsidR="00274814">
        <w:t>BDE</w:t>
      </w:r>
      <w:proofErr w:type="spellEnd"/>
      <w:r w:rsidR="00274814">
        <w:t xml:space="preserve"> and HBCDD. </w:t>
      </w:r>
      <w:r w:rsidR="00C83CA7">
        <w:t xml:space="preserve">The </w:t>
      </w:r>
      <w:r w:rsidR="00274814">
        <w:t xml:space="preserve">PCB </w:t>
      </w:r>
      <w:r w:rsidR="00C83CA7">
        <w:t xml:space="preserve">tool </w:t>
      </w:r>
      <w:r w:rsidR="00274814">
        <w:t>was developed initially to corroborate the elimination of PCB from in-use sources (di-electric). To complete this</w:t>
      </w:r>
      <w:r w:rsidR="00D6150E">
        <w:t>,</w:t>
      </w:r>
      <w:r w:rsidR="00274814">
        <w:t xml:space="preserve"> </w:t>
      </w:r>
      <w:r w:rsidR="004D2247">
        <w:t>contractors</w:t>
      </w:r>
      <w:r w:rsidR="00203B6F">
        <w:t xml:space="preserve"> undertook </w:t>
      </w:r>
      <w:r w:rsidR="00274814">
        <w:t xml:space="preserve">stakeholder engagement with both the energy networks and UK hazardous waste sector. Data were gathered to </w:t>
      </w:r>
      <w:r w:rsidR="004825CA">
        <w:t>improve</w:t>
      </w:r>
      <w:r w:rsidR="00274814">
        <w:t xml:space="preserve"> the methodology </w:t>
      </w:r>
      <w:r w:rsidR="004D2247">
        <w:t>for assessing the emissions from the equipment still in use</w:t>
      </w:r>
      <w:r w:rsidR="00274814">
        <w:t xml:space="preserve">. </w:t>
      </w:r>
    </w:p>
    <w:p w14:paraId="29577F37" w14:textId="33E4392A" w:rsidR="00745F03" w:rsidRDefault="00283DA5" w:rsidP="007C5F96">
      <w:r>
        <w:t>The primary driver for the creation of the waste tool w</w:t>
      </w:r>
      <w:r w:rsidR="005D5ABC">
        <w:t>as</w:t>
      </w:r>
      <w:r>
        <w:t xml:space="preserve"> the commitments made in the 25</w:t>
      </w:r>
      <w:r w:rsidR="003F7144">
        <w:t> </w:t>
      </w:r>
      <w:r>
        <w:t xml:space="preserve">Year Environment Plan </w:t>
      </w:r>
      <w:r w:rsidR="00C83CA7">
        <w:t xml:space="preserve">to </w:t>
      </w:r>
      <w:r w:rsidR="00C83CA7" w:rsidRPr="00C83CA7">
        <w:t>substantially increasing the amount of POP material being destroyed or irreversibly transformed by 2030</w:t>
      </w:r>
      <w:r w:rsidR="00C83CA7">
        <w:t>.</w:t>
      </w:r>
      <w:r>
        <w:t xml:space="preserve"> There was a need to understand the current rate of destruction of POPs </w:t>
      </w:r>
      <w:r w:rsidR="00654871">
        <w:t xml:space="preserve">and where </w:t>
      </w:r>
      <w:r w:rsidR="00C83CA7">
        <w:t>action could be targeted to best</w:t>
      </w:r>
      <w:r w:rsidR="00654871">
        <w:t xml:space="preserve"> meet the commitment of destroying more </w:t>
      </w:r>
      <w:r w:rsidR="007526A3">
        <w:t>of them</w:t>
      </w:r>
      <w:r w:rsidR="00654871">
        <w:t xml:space="preserve">. </w:t>
      </w:r>
    </w:p>
    <w:p w14:paraId="7A6F1814" w14:textId="718CEA0C" w:rsidR="005339B4" w:rsidRDefault="005339B4" w:rsidP="005339B4">
      <w:r w:rsidRPr="005339B4">
        <w:t xml:space="preserve">The methodology used to create the waste tool for these three POPs has used data from inventories and additional data and intelligence gathering from both trade association and published literature. The data for PCBs has been validated through consultation with </w:t>
      </w:r>
      <w:r w:rsidRPr="005339B4">
        <w:lastRenderedPageBreak/>
        <w:t xml:space="preserve">industry, however the estimates made for HBCDD and </w:t>
      </w:r>
      <w:proofErr w:type="spellStart"/>
      <w:r w:rsidR="00AD35FC">
        <w:t>d</w:t>
      </w:r>
      <w:r w:rsidRPr="005339B4">
        <w:t>ecaBDE</w:t>
      </w:r>
      <w:proofErr w:type="spellEnd"/>
      <w:r w:rsidRPr="005339B4">
        <w:t xml:space="preserve"> are based solely on the inventory reporting. </w:t>
      </w:r>
      <w:r w:rsidR="008E2FB9">
        <w:t xml:space="preserve">The next steps will be to </w:t>
      </w:r>
      <w:r w:rsidR="00180588">
        <w:t>validate these estimates</w:t>
      </w:r>
      <w:r w:rsidRPr="005339B4">
        <w:t xml:space="preserve"> and sense check further</w:t>
      </w:r>
      <w:r w:rsidR="00987272">
        <w:t>,</w:t>
      </w:r>
      <w:r w:rsidRPr="005339B4">
        <w:t xml:space="preserve"> following future inventory updates and consultation with industry. </w:t>
      </w:r>
    </w:p>
    <w:p w14:paraId="45FBCBDD" w14:textId="1C22AD1A" w:rsidR="0099428F" w:rsidRPr="005339B4" w:rsidRDefault="0099428F" w:rsidP="005339B4">
      <w:r>
        <w:t xml:space="preserve">We will include further outputs of this work in the final version of this NIP, if available, or in separate published reports. </w:t>
      </w:r>
    </w:p>
    <w:p w14:paraId="1A2C9A45" w14:textId="3DFF06E1" w:rsidR="001948FE" w:rsidRDefault="001948FE" w:rsidP="00EB778D">
      <w:pPr>
        <w:pStyle w:val="Heading2"/>
      </w:pPr>
      <w:bookmarkStart w:id="37" w:name="_Toc67030072"/>
      <w:r>
        <w:t>Update on monitoring</w:t>
      </w:r>
      <w:bookmarkEnd w:id="37"/>
    </w:p>
    <w:p w14:paraId="345A7F73" w14:textId="6BB2BF67" w:rsidR="001948FE" w:rsidRDefault="001948FE" w:rsidP="001948FE">
      <w:pPr>
        <w:pStyle w:val="Heading3"/>
      </w:pPr>
      <w:r>
        <w:t>Further development and maintenance of TOMPS Monitoring network (Air)</w:t>
      </w:r>
    </w:p>
    <w:p w14:paraId="7742706F" w14:textId="7146D264" w:rsidR="00596935" w:rsidRPr="00627AE6" w:rsidRDefault="00596935" w:rsidP="00627AE6">
      <w:pPr>
        <w:rPr>
          <w:rFonts w:cs="Arial"/>
          <w:color w:val="000000" w:themeColor="text1"/>
          <w:lang w:val="en-US"/>
        </w:rPr>
      </w:pPr>
      <w:r w:rsidRPr="00596935">
        <w:t xml:space="preserve">The Toxic Organic Micro-Pollutants (TOMPS) network measures ambient air concentrations for a range of pollutants at rural and urban locations in the UK. The </w:t>
      </w:r>
      <w:r w:rsidRPr="00627AE6">
        <w:rPr>
          <w:color w:val="000000" w:themeColor="text1"/>
        </w:rPr>
        <w:t xml:space="preserve">network was set up in 1990 </w:t>
      </w:r>
      <w:r w:rsidRPr="00627AE6">
        <w:rPr>
          <w:color w:val="000000" w:themeColor="text1"/>
          <w:lang w:val="en-US"/>
        </w:rPr>
        <w:t xml:space="preserve">and </w:t>
      </w:r>
      <w:r w:rsidRPr="00627AE6">
        <w:rPr>
          <w:rFonts w:eastAsia="Times New Roman" w:cs="Arial"/>
          <w:color w:val="000000" w:themeColor="text1"/>
          <w:lang w:val="en-US"/>
        </w:rPr>
        <w:t>aims:</w:t>
      </w:r>
    </w:p>
    <w:p w14:paraId="4AE04FFB" w14:textId="77777777" w:rsidR="00596935" w:rsidRPr="00627AE6" w:rsidRDefault="00596935" w:rsidP="00E95CF4">
      <w:pPr>
        <w:pStyle w:val="ListParagraph"/>
        <w:numPr>
          <w:ilvl w:val="0"/>
          <w:numId w:val="38"/>
        </w:numPr>
        <w:rPr>
          <w:rFonts w:eastAsia="Times New Roman" w:cs="Arial"/>
          <w:color w:val="000000" w:themeColor="text1"/>
          <w:lang w:val="en-US"/>
        </w:rPr>
      </w:pPr>
      <w:r w:rsidRPr="00627AE6">
        <w:rPr>
          <w:rFonts w:eastAsia="Times New Roman" w:cs="Arial"/>
          <w:color w:val="000000" w:themeColor="text1"/>
          <w:lang w:val="en-US"/>
        </w:rPr>
        <w:t xml:space="preserve">To identify sources of a range of POPs in the UK atmosphere. </w:t>
      </w:r>
    </w:p>
    <w:p w14:paraId="1A691B30" w14:textId="77777777" w:rsidR="00596935" w:rsidRPr="00627AE6" w:rsidRDefault="00596935">
      <w:pPr>
        <w:pStyle w:val="ListParagraph"/>
        <w:numPr>
          <w:ilvl w:val="0"/>
          <w:numId w:val="38"/>
        </w:numPr>
        <w:rPr>
          <w:rFonts w:eastAsia="Times New Roman" w:cs="Arial"/>
          <w:color w:val="000000" w:themeColor="text1"/>
          <w:lang w:val="en-US"/>
        </w:rPr>
      </w:pPr>
      <w:r w:rsidRPr="00627AE6">
        <w:rPr>
          <w:rFonts w:eastAsia="Times New Roman" w:cs="Arial"/>
          <w:color w:val="000000" w:themeColor="text1"/>
          <w:lang w:val="en-US"/>
        </w:rPr>
        <w:t xml:space="preserve">To quantify sources that are regarded as potentially significant. </w:t>
      </w:r>
    </w:p>
    <w:p w14:paraId="4D44D375" w14:textId="77777777" w:rsidR="00596935" w:rsidRPr="00825B71" w:rsidRDefault="00596935">
      <w:pPr>
        <w:pStyle w:val="ListParagraph"/>
        <w:numPr>
          <w:ilvl w:val="0"/>
          <w:numId w:val="38"/>
        </w:numPr>
        <w:rPr>
          <w:rFonts w:eastAsia="Times New Roman" w:cs="Arial"/>
          <w:color w:val="000000" w:themeColor="text1"/>
          <w:lang w:val="en-US"/>
        </w:rPr>
      </w:pPr>
      <w:r w:rsidRPr="00627AE6">
        <w:rPr>
          <w:rFonts w:eastAsia="Times New Roman" w:cs="Arial"/>
          <w:color w:val="000000" w:themeColor="text1"/>
          <w:lang w:val="en-US"/>
        </w:rPr>
        <w:t xml:space="preserve">To measure concentrations of a range of POPs in ambient air in UK cities and rural </w:t>
      </w:r>
      <w:r w:rsidRPr="00825B71">
        <w:rPr>
          <w:rFonts w:eastAsia="Times New Roman" w:cs="Arial"/>
          <w:color w:val="000000" w:themeColor="text1"/>
          <w:lang w:val="en-US"/>
        </w:rPr>
        <w:t xml:space="preserve">locations, in order to assess both human exposure and the relationship between source emissions and levels in the ambient atmosphere. </w:t>
      </w:r>
    </w:p>
    <w:p w14:paraId="030D29B6" w14:textId="2E205F6E" w:rsidR="00596935" w:rsidRDefault="00596935" w:rsidP="00825B71">
      <w:r w:rsidRPr="00825B71">
        <w:rPr>
          <w:color w:val="000000" w:themeColor="text1"/>
        </w:rPr>
        <w:t>Monitoring takes place at two urban and four rural sites</w:t>
      </w:r>
      <w:r>
        <w:rPr>
          <w:color w:val="000000" w:themeColor="text1"/>
        </w:rPr>
        <w:t>. It provides</w:t>
      </w:r>
      <w:r w:rsidRPr="00596935">
        <w:rPr>
          <w:rFonts w:ascii="Times New Roman" w:eastAsia="Times New Roman" w:hAnsi="Times New Roman"/>
          <w:color w:val="000000"/>
          <w:szCs w:val="24"/>
          <w:lang w:eastAsia="en-GB"/>
        </w:rPr>
        <w:t xml:space="preserve"> </w:t>
      </w:r>
      <w:r w:rsidRPr="00596935">
        <w:rPr>
          <w:color w:val="000000" w:themeColor="text1"/>
        </w:rPr>
        <w:t xml:space="preserve">quarterly data for 37 PCB congeners, four co-planar PCB congeners, ten furans congeners (PCDFs), seven dioxin congeners (PCDDs), and 22 PBDE congeners. The network has provided </w:t>
      </w:r>
      <w:r>
        <w:rPr>
          <w:color w:val="000000" w:themeColor="text1"/>
        </w:rPr>
        <w:t>30</w:t>
      </w:r>
      <w:r w:rsidRPr="00596935">
        <w:rPr>
          <w:color w:val="000000" w:themeColor="text1"/>
        </w:rPr>
        <w:t xml:space="preserve"> years of data and as such comprises a considerable and important</w:t>
      </w:r>
      <w:r w:rsidR="00A77387">
        <w:rPr>
          <w:color w:val="000000" w:themeColor="text1"/>
        </w:rPr>
        <w:t>,</w:t>
      </w:r>
      <w:r w:rsidRPr="00596935">
        <w:rPr>
          <w:color w:val="000000" w:themeColor="text1"/>
        </w:rPr>
        <w:t xml:space="preserve"> dataset which can be used to provide estimates of the change in atmospheric concentrations over time. </w:t>
      </w:r>
      <w:r w:rsidR="00931FE7">
        <w:rPr>
          <w:color w:val="000000" w:themeColor="text1"/>
        </w:rPr>
        <w:t xml:space="preserve">Annual results are published here </w:t>
      </w:r>
      <w:r>
        <w:rPr>
          <w:color w:val="000000" w:themeColor="text1"/>
        </w:rPr>
        <w:t xml:space="preserve"> </w:t>
      </w:r>
      <w:r w:rsidR="00755A26" w:rsidRPr="000F65C4">
        <w:rPr>
          <w:rFonts w:asciiTheme="majorHAnsi" w:hAnsiTheme="majorHAnsi" w:cstheme="majorHAnsi"/>
        </w:rPr>
        <w:t xml:space="preserve"> </w:t>
      </w:r>
      <w:hyperlink r:id="rId29" w:history="1">
        <w:r w:rsidR="000F65C4" w:rsidRPr="000F65C4">
          <w:rPr>
            <w:rStyle w:val="Hyperlink"/>
            <w:rFonts w:asciiTheme="majorHAnsi" w:hAnsiTheme="majorHAnsi" w:cstheme="majorHAnsi"/>
          </w:rPr>
          <w:t>https://uk-air.defra.gov.uk/library/reports?section_id=13&amp;sort=title</w:t>
        </w:r>
      </w:hyperlink>
    </w:p>
    <w:p w14:paraId="32F9F89B" w14:textId="53BB19C2" w:rsidR="005966F9" w:rsidRPr="005966F9" w:rsidRDefault="005966F9" w:rsidP="00825B71">
      <w:pPr>
        <w:rPr>
          <w:rFonts w:asciiTheme="minorHAnsi" w:eastAsia="Calibri" w:hAnsiTheme="minorHAnsi" w:cstheme="minorHAnsi"/>
          <w:szCs w:val="24"/>
          <w:lang w:val="en-US"/>
        </w:rPr>
      </w:pPr>
      <w:r>
        <w:rPr>
          <w:color w:val="000000" w:themeColor="text1"/>
        </w:rPr>
        <w:t xml:space="preserve">For PCDD/Fs </w:t>
      </w:r>
      <w:r w:rsidRPr="005966F9">
        <w:rPr>
          <w:color w:val="000000" w:themeColor="text1"/>
        </w:rPr>
        <w:t>t</w:t>
      </w:r>
      <w:r w:rsidRPr="005966F9">
        <w:rPr>
          <w:lang w:val="en-US"/>
        </w:rPr>
        <w:t>he seasonal pattern, as shown by the quarterly data, shows that the highest concentrations were generally measured in quarters 1 and 4 with lower values reported for quarters 2 and 3.</w:t>
      </w:r>
      <w:r w:rsidRPr="005966F9">
        <w:rPr>
          <w:rFonts w:ascii="Times New Roman" w:eastAsia="Calibri" w:hAnsi="Times New Roman"/>
          <w:szCs w:val="24"/>
          <w:lang w:val="en-US"/>
        </w:rPr>
        <w:t xml:space="preserve"> </w:t>
      </w:r>
      <w:r w:rsidRPr="005966F9">
        <w:rPr>
          <w:rFonts w:asciiTheme="minorHAnsi" w:eastAsia="Calibri" w:hAnsiTheme="minorHAnsi" w:cstheme="minorHAnsi"/>
          <w:szCs w:val="24"/>
          <w:lang w:val="en-US"/>
        </w:rPr>
        <w:t>Generally, concentrations across the sites are very low and getting close to limits of detection.</w:t>
      </w:r>
    </w:p>
    <w:p w14:paraId="08B3E093" w14:textId="2F4AD290" w:rsidR="00596935" w:rsidRPr="00870F85" w:rsidRDefault="005966F9" w:rsidP="00825B71">
      <w:pPr>
        <w:rPr>
          <w:rFonts w:cs="Arial"/>
          <w:color w:val="000000" w:themeColor="text1"/>
          <w:highlight w:val="green"/>
        </w:rPr>
      </w:pPr>
      <w:r w:rsidRPr="001F6902">
        <w:rPr>
          <w:lang w:val="en-US"/>
        </w:rPr>
        <w:t>For PCBs</w:t>
      </w:r>
      <w:r>
        <w:rPr>
          <w:lang w:val="en-US"/>
        </w:rPr>
        <w:t xml:space="preserve"> t</w:t>
      </w:r>
      <w:r w:rsidRPr="001F6902">
        <w:rPr>
          <w:lang w:val="en-US"/>
        </w:rPr>
        <w:t xml:space="preserve">he urban site at London showed a decrease in the PCB concentrations compared with previous average values over the last five years (2012-2017) of 54%, whilst the urban site at Manchester showed a decrease of 58%, over the same period. The annual average concentration for the other </w:t>
      </w:r>
      <w:r>
        <w:rPr>
          <w:lang w:val="en-US"/>
        </w:rPr>
        <w:t xml:space="preserve">rural </w:t>
      </w:r>
      <w:r w:rsidRPr="001F6902">
        <w:rPr>
          <w:lang w:val="en-US"/>
        </w:rPr>
        <w:t xml:space="preserve">sites also showed a decrease compared to the previous </w:t>
      </w:r>
      <w:r w:rsidR="00825B71" w:rsidRPr="001F6902">
        <w:rPr>
          <w:lang w:val="en-US"/>
        </w:rPr>
        <w:t>5-year</w:t>
      </w:r>
      <w:r w:rsidRPr="001F6902">
        <w:rPr>
          <w:lang w:val="en-US"/>
        </w:rPr>
        <w:t xml:space="preserve"> average, </w:t>
      </w:r>
      <w:r>
        <w:rPr>
          <w:lang w:val="en-US"/>
        </w:rPr>
        <w:t>between 40-70%.</w:t>
      </w:r>
      <w:r w:rsidR="00870F85" w:rsidRPr="00870F85">
        <w:rPr>
          <w:rFonts w:ascii="Times New Roman" w:eastAsia="Calibri" w:hAnsi="Times New Roman"/>
          <w:szCs w:val="24"/>
          <w:lang w:val="en-US"/>
        </w:rPr>
        <w:t xml:space="preserve"> </w:t>
      </w:r>
      <w:r w:rsidR="00870F85" w:rsidRPr="001F6902">
        <w:rPr>
          <w:rFonts w:eastAsia="Calibri" w:cs="Arial"/>
          <w:szCs w:val="24"/>
          <w:lang w:val="en-US"/>
        </w:rPr>
        <w:t>The quarterly data showed a distinct seasonal pattern with higher levels in Q2 and Q3 which are characteristic of temperature driven diffusive sources.</w:t>
      </w:r>
    </w:p>
    <w:p w14:paraId="2215C75D" w14:textId="0575F93E" w:rsidR="00870F85" w:rsidRDefault="00870F85" w:rsidP="00825B71">
      <w:pPr>
        <w:rPr>
          <w:rFonts w:eastAsia="Calibri" w:cs="Arial"/>
          <w:szCs w:val="24"/>
          <w:lang w:val="en-US"/>
        </w:rPr>
      </w:pPr>
      <w:r w:rsidRPr="001F6902">
        <w:rPr>
          <w:rFonts w:eastAsia="Calibri" w:cs="Arial"/>
          <w:szCs w:val="24"/>
          <w:lang w:val="en-US"/>
        </w:rPr>
        <w:t>With the addition of the data</w:t>
      </w:r>
      <w:r>
        <w:rPr>
          <w:rFonts w:eastAsia="Calibri" w:cs="Arial"/>
          <w:szCs w:val="24"/>
          <w:lang w:val="en-US"/>
        </w:rPr>
        <w:t xml:space="preserve"> up to 2019</w:t>
      </w:r>
      <w:r w:rsidRPr="001F6902">
        <w:rPr>
          <w:rFonts w:eastAsia="Calibri" w:cs="Arial"/>
          <w:szCs w:val="24"/>
          <w:lang w:val="en-US"/>
        </w:rPr>
        <w:t>, the clearance rates (time taken for a 50% decline in concentration) provided by the TOMPs network for urban sites averaged 15 years. For the rural sites it is difficult to determine a trend with any certainty</w:t>
      </w:r>
      <w:r>
        <w:rPr>
          <w:rFonts w:eastAsia="Calibri" w:cs="Arial"/>
          <w:szCs w:val="24"/>
          <w:lang w:val="en-US"/>
        </w:rPr>
        <w:t>.</w:t>
      </w:r>
    </w:p>
    <w:p w14:paraId="0900741E" w14:textId="4BD7FD58" w:rsidR="00870F85" w:rsidRPr="001F6902" w:rsidRDefault="00825B71" w:rsidP="00825B71">
      <w:pPr>
        <w:rPr>
          <w:rFonts w:asciiTheme="minorHAnsi" w:eastAsia="Calibri" w:hAnsiTheme="minorHAnsi" w:cstheme="minorHAnsi"/>
          <w:szCs w:val="24"/>
          <w:lang w:val="en-US"/>
        </w:rPr>
      </w:pPr>
      <w:r>
        <w:rPr>
          <w:rFonts w:asciiTheme="minorHAnsi" w:hAnsiTheme="minorHAnsi" w:cstheme="minorHAnsi"/>
          <w:lang w:val="en-US"/>
        </w:rPr>
        <w:lastRenderedPageBreak/>
        <w:t>W</w:t>
      </w:r>
      <w:r w:rsidR="00870F85" w:rsidRPr="001F6902">
        <w:rPr>
          <w:rFonts w:asciiTheme="minorHAnsi" w:eastAsia="Calibri" w:hAnsiTheme="minorHAnsi" w:cstheme="minorHAnsi"/>
          <w:szCs w:val="24"/>
          <w:lang w:val="en-US"/>
        </w:rPr>
        <w:t xml:space="preserve">hen examining the </w:t>
      </w:r>
      <w:r w:rsidRPr="001F6902">
        <w:rPr>
          <w:rFonts w:asciiTheme="minorHAnsi" w:eastAsia="Calibri" w:hAnsiTheme="minorHAnsi" w:cstheme="minorHAnsi"/>
          <w:szCs w:val="24"/>
          <w:lang w:val="en-US"/>
        </w:rPr>
        <w:t>long</w:t>
      </w:r>
      <w:r w:rsidRPr="001F6902">
        <w:rPr>
          <w:rFonts w:asciiTheme="minorHAnsi" w:hAnsiTheme="minorHAnsi" w:cstheme="minorHAnsi"/>
          <w:lang w:val="en-US"/>
        </w:rPr>
        <w:t>-</w:t>
      </w:r>
      <w:r w:rsidRPr="001F6902">
        <w:rPr>
          <w:rFonts w:asciiTheme="minorHAnsi" w:eastAsia="Calibri" w:hAnsiTheme="minorHAnsi" w:cstheme="minorHAnsi"/>
          <w:szCs w:val="24"/>
          <w:lang w:val="en-US"/>
        </w:rPr>
        <w:t>term</w:t>
      </w:r>
      <w:r w:rsidR="00870F85" w:rsidRPr="001F6902">
        <w:rPr>
          <w:rFonts w:asciiTheme="minorHAnsi" w:eastAsia="Calibri" w:hAnsiTheme="minorHAnsi" w:cstheme="minorHAnsi"/>
          <w:szCs w:val="24"/>
          <w:lang w:val="en-US"/>
        </w:rPr>
        <w:t xml:space="preserve"> trends since 2000 none of the sites shows a downward trend over that period. This suggests that the environment has potentially reached a steady state with environmental cycling and secondary sources controlling ambient concentrations.</w:t>
      </w:r>
    </w:p>
    <w:p w14:paraId="73599093" w14:textId="332DBB65" w:rsidR="00C5249D" w:rsidRPr="001F6902" w:rsidRDefault="001F6902" w:rsidP="00825B71">
      <w:pPr>
        <w:rPr>
          <w:rFonts w:eastAsia="Calibri" w:cs="Arial"/>
          <w:szCs w:val="24"/>
          <w:lang w:val="en-US"/>
        </w:rPr>
      </w:pPr>
      <w:r>
        <w:rPr>
          <w:color w:val="000000" w:themeColor="text1"/>
        </w:rPr>
        <w:t>TOMPS has been d</w:t>
      </w:r>
      <w:r w:rsidRPr="001F6902">
        <w:rPr>
          <w:color w:val="000000" w:themeColor="text1"/>
        </w:rPr>
        <w:t>eveloping methods to analyse for brominated flame retardants in air</w:t>
      </w:r>
      <w:r>
        <w:rPr>
          <w:color w:val="000000" w:themeColor="text1"/>
        </w:rPr>
        <w:t>.</w:t>
      </w:r>
      <w:r w:rsidRPr="001F6902">
        <w:rPr>
          <w:color w:val="000000" w:themeColor="text1"/>
        </w:rPr>
        <w:t xml:space="preserve"> </w:t>
      </w:r>
      <w:r w:rsidR="00870F85" w:rsidRPr="001F6902">
        <w:rPr>
          <w:color w:val="000000" w:themeColor="text1"/>
        </w:rPr>
        <w:t>For PBDEs</w:t>
      </w:r>
      <w:r w:rsidR="00825B71">
        <w:rPr>
          <w:color w:val="000000" w:themeColor="text1"/>
        </w:rPr>
        <w:t>,</w:t>
      </w:r>
      <w:r w:rsidR="00870F85" w:rsidRPr="001F6902">
        <w:rPr>
          <w:color w:val="000000" w:themeColor="text1"/>
        </w:rPr>
        <w:t xml:space="preserve"> </w:t>
      </w:r>
      <w:r w:rsidR="00870F85" w:rsidRPr="001F6902">
        <w:rPr>
          <w:lang w:val="en-US"/>
        </w:rPr>
        <w:t>2018 was the eighth complete year for the inclusion of PBDEs in the TOMPs network.</w:t>
      </w:r>
      <w:r>
        <w:rPr>
          <w:lang w:val="en-US"/>
        </w:rPr>
        <w:t xml:space="preserve"> Results from </w:t>
      </w:r>
      <w:r w:rsidR="00870F85" w:rsidRPr="001F6902">
        <w:rPr>
          <w:color w:val="000000" w:themeColor="text1"/>
        </w:rPr>
        <w:t>urban sites saw higher levels initially</w:t>
      </w:r>
      <w:r>
        <w:rPr>
          <w:color w:val="000000" w:themeColor="text1"/>
        </w:rPr>
        <w:t xml:space="preserve"> but</w:t>
      </w:r>
      <w:r w:rsidR="00870F85" w:rsidRPr="001F6902">
        <w:rPr>
          <w:color w:val="000000" w:themeColor="text1"/>
        </w:rPr>
        <w:t xml:space="preserve"> </w:t>
      </w:r>
      <w:r w:rsidR="00870F85" w:rsidRPr="001F6902">
        <w:rPr>
          <w:lang w:val="en-US"/>
        </w:rPr>
        <w:t>the difference between urban and rural sites appears to be diminishing.</w:t>
      </w:r>
      <w:r w:rsidR="00C5249D">
        <w:rPr>
          <w:lang w:val="en-US"/>
        </w:rPr>
        <w:t xml:space="preserve"> </w:t>
      </w:r>
      <w:r w:rsidR="00C5249D" w:rsidRPr="001F6902">
        <w:rPr>
          <w:rFonts w:eastAsia="Calibri" w:cs="Arial"/>
          <w:szCs w:val="24"/>
          <w:lang w:val="en-US"/>
        </w:rPr>
        <w:t xml:space="preserve">If the consumption data </w:t>
      </w:r>
      <w:r w:rsidR="00D866FE">
        <w:rPr>
          <w:rFonts w:eastAsia="Calibri" w:cs="Arial"/>
          <w:szCs w:val="24"/>
          <w:lang w:val="en-US"/>
        </w:rPr>
        <w:t xml:space="preserve">(data including production, use and disposal of products containing </w:t>
      </w:r>
      <w:proofErr w:type="spellStart"/>
      <w:r w:rsidR="003367DF">
        <w:rPr>
          <w:rFonts w:eastAsia="Calibri" w:cs="Arial"/>
          <w:szCs w:val="24"/>
          <w:lang w:val="en-US"/>
        </w:rPr>
        <w:t>d</w:t>
      </w:r>
      <w:r w:rsidR="00D866FE">
        <w:rPr>
          <w:rFonts w:eastAsia="Calibri" w:cs="Arial"/>
          <w:szCs w:val="24"/>
          <w:lang w:val="en-US"/>
        </w:rPr>
        <w:t>ecaBDE</w:t>
      </w:r>
      <w:proofErr w:type="spellEnd"/>
      <w:r w:rsidR="00D866FE">
        <w:rPr>
          <w:rFonts w:eastAsia="Calibri" w:cs="Arial"/>
          <w:szCs w:val="24"/>
          <w:lang w:val="en-US"/>
        </w:rPr>
        <w:t xml:space="preserve">) </w:t>
      </w:r>
      <w:r w:rsidR="00C5249D" w:rsidRPr="001F6902">
        <w:rPr>
          <w:rFonts w:eastAsia="Calibri" w:cs="Arial"/>
          <w:szCs w:val="24"/>
          <w:lang w:val="en-US"/>
        </w:rPr>
        <w:t xml:space="preserve">are reliable then </w:t>
      </w:r>
      <w:proofErr w:type="spellStart"/>
      <w:r w:rsidR="00C5249D" w:rsidRPr="001F6902">
        <w:rPr>
          <w:rFonts w:eastAsia="Calibri" w:cs="Arial"/>
          <w:szCs w:val="24"/>
          <w:lang w:val="en-US"/>
        </w:rPr>
        <w:t>decaBDE</w:t>
      </w:r>
      <w:proofErr w:type="spellEnd"/>
      <w:r w:rsidR="00C5249D" w:rsidRPr="001F6902">
        <w:rPr>
          <w:rFonts w:eastAsia="Calibri" w:cs="Arial"/>
          <w:szCs w:val="24"/>
          <w:lang w:val="en-US"/>
        </w:rPr>
        <w:t xml:space="preserve"> emissions related </w:t>
      </w:r>
      <w:r w:rsidR="00C5249D" w:rsidRPr="00D866FE">
        <w:rPr>
          <w:rFonts w:eastAsia="Calibri" w:cs="Arial"/>
          <w:szCs w:val="24"/>
          <w:lang w:val="en-US"/>
        </w:rPr>
        <w:t>to consumption</w:t>
      </w:r>
      <w:r w:rsidR="00C5249D" w:rsidRPr="001F6902">
        <w:rPr>
          <w:rFonts w:eastAsia="Calibri" w:cs="Arial"/>
          <w:szCs w:val="24"/>
          <w:lang w:val="en-US"/>
        </w:rPr>
        <w:t xml:space="preserve"> should have decreased significantly from 2010 to 2020. Data provided by TOMPs should be able to provide important information on long-term emissions.</w:t>
      </w:r>
    </w:p>
    <w:p w14:paraId="36DC2F58" w14:textId="220CFF3D" w:rsidR="001F6902" w:rsidRPr="00627AE6" w:rsidRDefault="001F6902" w:rsidP="00825B71">
      <w:pPr>
        <w:rPr>
          <w:lang w:val="en-US"/>
        </w:rPr>
      </w:pPr>
      <w:r>
        <w:rPr>
          <w:lang w:val="en-US"/>
        </w:rPr>
        <w:t>The TOMPS network is now automated which will improve the sampling rate</w:t>
      </w:r>
      <w:r w:rsidR="00825B71">
        <w:rPr>
          <w:lang w:val="en-US"/>
        </w:rPr>
        <w:t>. The network is also</w:t>
      </w:r>
      <w:r w:rsidR="00A56CAD">
        <w:rPr>
          <w:lang w:val="en-US"/>
        </w:rPr>
        <w:t xml:space="preserve"> review</w:t>
      </w:r>
      <w:r w:rsidR="00825B71">
        <w:rPr>
          <w:lang w:val="en-US"/>
        </w:rPr>
        <w:t>ed</w:t>
      </w:r>
      <w:r w:rsidR="00A56CAD">
        <w:rPr>
          <w:lang w:val="en-US"/>
        </w:rPr>
        <w:t xml:space="preserve"> periodically </w:t>
      </w:r>
      <w:r w:rsidR="0042505B">
        <w:rPr>
          <w:lang w:val="en-US"/>
        </w:rPr>
        <w:t xml:space="preserve">to </w:t>
      </w:r>
      <w:r w:rsidR="00A56CAD">
        <w:rPr>
          <w:lang w:val="en-US"/>
        </w:rPr>
        <w:t xml:space="preserve">consider whether there is capacity to expand data to </w:t>
      </w:r>
      <w:r w:rsidR="00A56CAD" w:rsidRPr="00627AE6">
        <w:rPr>
          <w:lang w:val="en-US"/>
        </w:rPr>
        <w:t xml:space="preserve">include newer POPs. </w:t>
      </w:r>
      <w:r w:rsidRPr="00627AE6">
        <w:rPr>
          <w:lang w:val="en-US"/>
        </w:rPr>
        <w:t xml:space="preserve"> </w:t>
      </w:r>
    </w:p>
    <w:p w14:paraId="6D33B2A7" w14:textId="2280B788" w:rsidR="00C5249D" w:rsidRPr="00627AE6" w:rsidRDefault="00825B71" w:rsidP="0008302A">
      <w:pPr>
        <w:spacing w:before="0" w:after="0"/>
        <w:rPr>
          <w:rFonts w:asciiTheme="majorHAnsi" w:hAnsiTheme="majorHAnsi" w:cstheme="majorHAnsi"/>
          <w:color w:val="000000" w:themeColor="text1"/>
        </w:rPr>
      </w:pPr>
      <w:r w:rsidRPr="00627AE6">
        <w:rPr>
          <w:rFonts w:asciiTheme="majorHAnsi" w:hAnsiTheme="majorHAnsi" w:cstheme="majorHAnsi"/>
          <w:color w:val="000000" w:themeColor="text1"/>
        </w:rPr>
        <w:t xml:space="preserve">A summary of </w:t>
      </w:r>
      <w:r w:rsidR="00CC5336" w:rsidRPr="00627AE6">
        <w:rPr>
          <w:rFonts w:asciiTheme="majorHAnsi" w:hAnsiTheme="majorHAnsi" w:cstheme="majorHAnsi"/>
          <w:color w:val="000000" w:themeColor="text1"/>
        </w:rPr>
        <w:t>the data along with an interpretation of temporal and spatial trends may be found in Graf et al. (2016).</w:t>
      </w:r>
    </w:p>
    <w:p w14:paraId="6550EB93" w14:textId="20DE96A9" w:rsidR="005E1762" w:rsidRPr="005B7A6B" w:rsidRDefault="005E1762" w:rsidP="005E1762">
      <w:pPr>
        <w:pStyle w:val="Heading3"/>
      </w:pPr>
      <w:r>
        <w:t>Water</w:t>
      </w:r>
    </w:p>
    <w:p w14:paraId="2932D4FB" w14:textId="09282105" w:rsidR="00E41390" w:rsidRPr="00E41390" w:rsidRDefault="00E41390" w:rsidP="00E41390">
      <w:bookmarkStart w:id="38" w:name="_Hlk63146941"/>
      <w:bookmarkStart w:id="39" w:name="_Hlk63159137"/>
      <w:r w:rsidRPr="00E41390">
        <w:t>The UK reported on the chemical status of English surface water bodies in 2020.</w:t>
      </w:r>
      <w:r w:rsidR="0050675F">
        <w:t xml:space="preserve"> </w:t>
      </w:r>
      <w:r w:rsidRPr="00E41390">
        <w:t>Whilst no</w:t>
      </w:r>
      <w:r w:rsidRPr="00E41390">
        <w:rPr>
          <w:bCs/>
          <w:iCs/>
        </w:rPr>
        <w:t xml:space="preserve"> surface water bodies meet good chemical status and this shows an apparent sudden</w:t>
      </w:r>
      <w:r w:rsidRPr="00E41390">
        <w:t xml:space="preserve"> decline in status compared to the last report (2015), this is due to our improved approach to classifying chemical status. This builds on recent improvements in our biota monitoring (monitoring for the presence of these substances in fish and shellfish as well as in water) and provides a more comprehensive assessment of the prevalence of certain persistent and bio-accumulative </w:t>
      </w:r>
      <w:r w:rsidR="00CD7289">
        <w:t>and toxic</w:t>
      </w:r>
      <w:r w:rsidRPr="00E41390">
        <w:t xml:space="preserve"> substances (</w:t>
      </w:r>
      <w:proofErr w:type="spellStart"/>
      <w:r w:rsidRPr="00E41390">
        <w:t>uPBTs</w:t>
      </w:r>
      <w:proofErr w:type="spellEnd"/>
      <w:r w:rsidRPr="00E41390">
        <w:t>) in the environment. It is these substances which are causing the widespread failures. They account for a relatively small number of the 52 chemicals assessed in our surface waters. In practice there has been there is little underlying change in chemical status for other substances with about 97% achieving good chemical status.</w:t>
      </w:r>
    </w:p>
    <w:p w14:paraId="1E215A35" w14:textId="63877516" w:rsidR="00E41390" w:rsidRPr="00E41390" w:rsidRDefault="00E41390" w:rsidP="00E41390">
      <w:r w:rsidRPr="00E41390">
        <w:t>The changed approach to classification means that it is not possible to directly compare results between the 2019 and 2015 classifications. Four groups of chemicals cause the apparent significant change in chemical classification. This included two POPs:</w:t>
      </w:r>
    </w:p>
    <w:p w14:paraId="008E5F80" w14:textId="77777777" w:rsidR="00E41390" w:rsidRPr="00E41390" w:rsidRDefault="00E41390" w:rsidP="00E95CF4">
      <w:pPr>
        <w:numPr>
          <w:ilvl w:val="0"/>
          <w:numId w:val="42"/>
        </w:numPr>
      </w:pPr>
      <w:r w:rsidRPr="00E41390">
        <w:t xml:space="preserve">polybrominated diphenyl ethers (PBDEs–currently excluding </w:t>
      </w:r>
      <w:proofErr w:type="spellStart"/>
      <w:r w:rsidRPr="00E41390">
        <w:t>decaBDE</w:t>
      </w:r>
      <w:proofErr w:type="spellEnd"/>
      <w:r w:rsidRPr="00E41390">
        <w:t>) - all surface waters fail the assessment of good chemical status. All biota sampled are significantly higher than the environmental quality standard of 8.5 ng/kg or parts per trillion.</w:t>
      </w:r>
    </w:p>
    <w:p w14:paraId="70F26679" w14:textId="7FE051F2" w:rsidR="00E41390" w:rsidRPr="00E41390" w:rsidRDefault="00E41390">
      <w:pPr>
        <w:numPr>
          <w:ilvl w:val="0"/>
          <w:numId w:val="42"/>
        </w:numPr>
      </w:pPr>
      <w:proofErr w:type="spellStart"/>
      <w:r w:rsidRPr="00E41390">
        <w:t>perfluorooctane</w:t>
      </w:r>
      <w:proofErr w:type="spellEnd"/>
      <w:r w:rsidRPr="00E41390">
        <w:t xml:space="preserve"> sulfonate (PFOS). - About 25% of surface waters fail the assessment for good chemical status. Based on current information, the Food </w:t>
      </w:r>
      <w:r w:rsidRPr="00E41390">
        <w:lastRenderedPageBreak/>
        <w:t>Standards Agency advise that the levels of PFOS observed in fish are unlikely to be a concern for consumers</w:t>
      </w:r>
      <w:r w:rsidR="001E1DF5">
        <w:t>.</w:t>
      </w:r>
    </w:p>
    <w:p w14:paraId="4EB8B884" w14:textId="15309334" w:rsidR="00E41390" w:rsidRPr="00E41390" w:rsidRDefault="00970D8F" w:rsidP="00E41390">
      <w:pPr>
        <w:rPr>
          <w:lang w:val="en-US"/>
        </w:rPr>
      </w:pPr>
      <w:r w:rsidRPr="00E41390">
        <w:t>These analyses of status</w:t>
      </w:r>
      <w:r w:rsidR="00E41390" w:rsidRPr="00E41390">
        <w:t xml:space="preserve"> provide us with a better understanding of the scale of the challenge ahead. This is an important and positive step towards improving the health of our water environment. </w:t>
      </w:r>
      <w:r w:rsidR="00E41390" w:rsidRPr="00E41390">
        <w:rPr>
          <w:lang w:val="en-US"/>
        </w:rPr>
        <w:t> </w:t>
      </w:r>
    </w:p>
    <w:p w14:paraId="1F8B74A0" w14:textId="5EA3B6A4" w:rsidR="00E41390" w:rsidRPr="00E41390" w:rsidRDefault="00E41390" w:rsidP="00E41390">
      <w:r w:rsidRPr="00E41390">
        <w:t>Last year the EA sought views through a consultation on the challenges and choices we face to improve our water and achieve a balance between people and nature.</w:t>
      </w:r>
      <w:r w:rsidRPr="00E41390" w:rsidDel="00390AC0">
        <w:t xml:space="preserve"> </w:t>
      </w:r>
      <w:r w:rsidRPr="00E41390">
        <w:t xml:space="preserve">The consultation included a focus on chemicals in the water environment and detailed background information was provided on </w:t>
      </w:r>
      <w:proofErr w:type="gramStart"/>
      <w:r w:rsidRPr="00E41390">
        <w:t>a number of</w:t>
      </w:r>
      <w:proofErr w:type="gramEnd"/>
      <w:r w:rsidRPr="00E41390">
        <w:t xml:space="preserve"> areas, including PFOS and PBDEs (Environment Agency, 2020</w:t>
      </w:r>
      <w:r w:rsidR="00DB058F">
        <w:t>b</w:t>
      </w:r>
      <w:r w:rsidRPr="00E41390">
        <w:t xml:space="preserve">). </w:t>
      </w:r>
    </w:p>
    <w:p w14:paraId="4405DB57" w14:textId="77777777" w:rsidR="00E41390" w:rsidRPr="00E41390" w:rsidRDefault="00E41390" w:rsidP="00E41390">
      <w:r w:rsidRPr="00E41390">
        <w:t xml:space="preserve">The consultation was extended for 5 months due to the coronavirus pandemic. Six hundred and six responses were received and a report on the consultation outcome was published in January 2021 </w:t>
      </w:r>
      <w:hyperlink r:id="rId30" w:history="1">
        <w:r w:rsidRPr="00E41390">
          <w:rPr>
            <w:rStyle w:val="Hyperlink"/>
          </w:rPr>
          <w:t>https://www.gov.uk/government/consultations/river-basin-planning-challenges-and-choices</w:t>
        </w:r>
      </w:hyperlink>
      <w:r w:rsidRPr="00E41390">
        <w:t xml:space="preserve">  </w:t>
      </w:r>
    </w:p>
    <w:p w14:paraId="09E4CA55" w14:textId="72AFC56D" w:rsidR="00E41390" w:rsidRDefault="00E41390" w:rsidP="009224E1">
      <w:r w:rsidRPr="00E41390">
        <w:t xml:space="preserve">The consultation findings will inform the ongoing update of the current river basin management plans including measures to help to manage chemicals.  </w:t>
      </w:r>
    </w:p>
    <w:bookmarkEnd w:id="38"/>
    <w:bookmarkEnd w:id="39"/>
    <w:p w14:paraId="3ADBD0C8" w14:textId="63C3348B" w:rsidR="000C126B" w:rsidRPr="0006114C" w:rsidRDefault="000C126B" w:rsidP="0006114C">
      <w:pPr>
        <w:pStyle w:val="Heading3"/>
      </w:pPr>
      <w:r w:rsidRPr="0006114C">
        <w:t xml:space="preserve">Wildlife </w:t>
      </w:r>
    </w:p>
    <w:p w14:paraId="1B160411" w14:textId="415C31BE" w:rsidR="000C126B" w:rsidRDefault="0006114C" w:rsidP="0006114C">
      <w:pPr>
        <w:rPr>
          <w:color w:val="000000" w:themeColor="text1"/>
        </w:rPr>
      </w:pPr>
      <w:bookmarkStart w:id="40" w:name="_Hlk63146842"/>
      <w:r w:rsidRPr="00397595">
        <w:rPr>
          <w:color w:val="000000" w:themeColor="text1"/>
        </w:rPr>
        <w:t>U</w:t>
      </w:r>
      <w:r w:rsidR="000C126B" w:rsidRPr="00397595">
        <w:rPr>
          <w:color w:val="000000" w:themeColor="text1"/>
        </w:rPr>
        <w:t xml:space="preserve">nder the </w:t>
      </w:r>
      <w:r w:rsidRPr="00397595">
        <w:rPr>
          <w:color w:val="000000" w:themeColor="text1"/>
        </w:rPr>
        <w:t xml:space="preserve">UK </w:t>
      </w:r>
      <w:r w:rsidR="000C126B" w:rsidRPr="00397595">
        <w:rPr>
          <w:color w:val="000000" w:themeColor="text1"/>
        </w:rPr>
        <w:t>National Action Plan on</w:t>
      </w:r>
      <w:r w:rsidR="009671C4" w:rsidRPr="00397595">
        <w:rPr>
          <w:color w:val="000000" w:themeColor="text1"/>
        </w:rPr>
        <w:t xml:space="preserve"> the Sustainable Use of</w:t>
      </w:r>
      <w:r w:rsidR="000C126B" w:rsidRPr="00397595">
        <w:rPr>
          <w:color w:val="000000" w:themeColor="text1"/>
        </w:rPr>
        <w:t xml:space="preserve"> Pesticides required under</w:t>
      </w:r>
      <w:bookmarkEnd w:id="40"/>
      <w:r w:rsidR="00397595">
        <w:rPr>
          <w:rFonts w:cs="Calibri"/>
          <w:color w:val="000000" w:themeColor="text1"/>
          <w:lang w:eastAsia="en-GB"/>
        </w:rPr>
        <w:t xml:space="preserve"> t</w:t>
      </w:r>
      <w:r w:rsidR="00D63445" w:rsidRPr="00397595">
        <w:rPr>
          <w:rFonts w:cs="Arial"/>
          <w:color w:val="000000" w:themeColor="text1"/>
          <w:lang w:eastAsia="en-GB"/>
        </w:rPr>
        <w:t>he plant protection products (sustainable use) Regulations 2012</w:t>
      </w:r>
      <w:r w:rsidRPr="00397595">
        <w:rPr>
          <w:rFonts w:cs="Arial"/>
          <w:color w:val="000000" w:themeColor="text1"/>
          <w:lang w:eastAsia="en-GB"/>
        </w:rPr>
        <w:t xml:space="preserve">, </w:t>
      </w:r>
      <w:r w:rsidRPr="00397595">
        <w:rPr>
          <w:color w:val="000000" w:themeColor="text1"/>
        </w:rPr>
        <w:t>wildlife poisoning incidents suspected to be due to pesticides are monitored.</w:t>
      </w:r>
      <w:r w:rsidR="00D63445" w:rsidRPr="00397595">
        <w:rPr>
          <w:rFonts w:cs="Arial"/>
          <w:color w:val="000000" w:themeColor="text1"/>
          <w:lang w:eastAsia="en-GB"/>
        </w:rPr>
        <w:t xml:space="preserve"> </w:t>
      </w:r>
      <w:r w:rsidR="000C126B" w:rsidRPr="00397595">
        <w:rPr>
          <w:color w:val="000000" w:themeColor="text1"/>
        </w:rPr>
        <w:t xml:space="preserve">In </w:t>
      </w:r>
      <w:r w:rsidRPr="00397595">
        <w:rPr>
          <w:color w:val="000000" w:themeColor="text1"/>
        </w:rPr>
        <w:t>addition,</w:t>
      </w:r>
      <w:r w:rsidR="000C126B" w:rsidRPr="00397595">
        <w:rPr>
          <w:color w:val="000000" w:themeColor="text1"/>
        </w:rPr>
        <w:t xml:space="preserve"> </w:t>
      </w:r>
      <w:r w:rsidRPr="00397595">
        <w:rPr>
          <w:color w:val="000000" w:themeColor="text1"/>
        </w:rPr>
        <w:t>a</w:t>
      </w:r>
      <w:r w:rsidR="000C126B" w:rsidRPr="00397595">
        <w:rPr>
          <w:color w:val="000000" w:themeColor="text1"/>
        </w:rPr>
        <w:t xml:space="preserve"> 25 </w:t>
      </w:r>
      <w:r w:rsidRPr="00397595">
        <w:rPr>
          <w:color w:val="000000" w:themeColor="text1"/>
        </w:rPr>
        <w:t>Y</w:t>
      </w:r>
      <w:r w:rsidR="000C126B" w:rsidRPr="00397595">
        <w:rPr>
          <w:color w:val="000000" w:themeColor="text1"/>
        </w:rPr>
        <w:t xml:space="preserve">ear </w:t>
      </w:r>
      <w:r w:rsidRPr="00397595">
        <w:rPr>
          <w:color w:val="000000" w:themeColor="text1"/>
        </w:rPr>
        <w:t>Environment P</w:t>
      </w:r>
      <w:r w:rsidR="000C126B" w:rsidRPr="00397595">
        <w:rPr>
          <w:color w:val="000000" w:themeColor="text1"/>
        </w:rPr>
        <w:t xml:space="preserve">lan indicator of change </w:t>
      </w:r>
      <w:r w:rsidRPr="00397595">
        <w:rPr>
          <w:color w:val="000000" w:themeColor="text1"/>
        </w:rPr>
        <w:t xml:space="preserve">is </w:t>
      </w:r>
      <w:r w:rsidR="000C126B" w:rsidRPr="00397595">
        <w:rPr>
          <w:color w:val="000000" w:themeColor="text1"/>
        </w:rPr>
        <w:t xml:space="preserve">being developed to collate and report on </w:t>
      </w:r>
      <w:r w:rsidRPr="00397595">
        <w:rPr>
          <w:color w:val="000000" w:themeColor="text1"/>
        </w:rPr>
        <w:t xml:space="preserve">the </w:t>
      </w:r>
      <w:r w:rsidR="000C126B" w:rsidRPr="00397595">
        <w:rPr>
          <w:color w:val="000000" w:themeColor="text1"/>
        </w:rPr>
        <w:t xml:space="preserve">exposure </w:t>
      </w:r>
      <w:r w:rsidRPr="00397595">
        <w:rPr>
          <w:color w:val="000000" w:themeColor="text1"/>
        </w:rPr>
        <w:t>and effects of chemicals on</w:t>
      </w:r>
      <w:r w:rsidR="000C126B" w:rsidRPr="00397595">
        <w:rPr>
          <w:color w:val="000000" w:themeColor="text1"/>
        </w:rPr>
        <w:t xml:space="preserve"> wildlife (incl</w:t>
      </w:r>
      <w:r w:rsidRPr="00397595">
        <w:rPr>
          <w:color w:val="000000" w:themeColor="text1"/>
        </w:rPr>
        <w:t>uding</w:t>
      </w:r>
      <w:r w:rsidR="000C126B" w:rsidRPr="00397595">
        <w:rPr>
          <w:color w:val="000000" w:themeColor="text1"/>
        </w:rPr>
        <w:t xml:space="preserve"> predatory birds, otters a</w:t>
      </w:r>
      <w:r w:rsidRPr="00397595">
        <w:rPr>
          <w:color w:val="000000" w:themeColor="text1"/>
        </w:rPr>
        <w:t>n</w:t>
      </w:r>
      <w:r w:rsidR="000C126B" w:rsidRPr="00397595">
        <w:rPr>
          <w:color w:val="000000" w:themeColor="text1"/>
        </w:rPr>
        <w:t>d others)</w:t>
      </w:r>
      <w:r w:rsidRPr="00397595">
        <w:rPr>
          <w:color w:val="000000" w:themeColor="text1"/>
        </w:rPr>
        <w:t>. This includes exposure</w:t>
      </w:r>
      <w:r w:rsidR="000C126B" w:rsidRPr="00397595">
        <w:rPr>
          <w:color w:val="000000" w:themeColor="text1"/>
        </w:rPr>
        <w:t xml:space="preserve"> to POPs. </w:t>
      </w:r>
    </w:p>
    <w:p w14:paraId="2CDD3AC5" w14:textId="768D2E2E" w:rsidR="00397595" w:rsidRDefault="00397595" w:rsidP="00397595">
      <w:r>
        <w:t>The Centre for Environment, Fisheries and Aquaculture (</w:t>
      </w:r>
      <w:proofErr w:type="spellStart"/>
      <w:r>
        <w:t>Cefas</w:t>
      </w:r>
      <w:proofErr w:type="spellEnd"/>
      <w:r>
        <w:t xml:space="preserve">) undertakes monitoring for some POPs in the marine environment. A range of organic contaminants including PCBs, PBDEs, organochlorine pesticides, HBCDDs and PFASs including PFOS, have been determined in marine mammal tissues, Additionally, the Cetacean Stranding Investigation Programme (CSIP) is established and funded by Defra and the </w:t>
      </w:r>
      <w:r w:rsidR="3AFF4854">
        <w:t>D</w:t>
      </w:r>
      <w:r>
        <w:t xml:space="preserve">evolved </w:t>
      </w:r>
      <w:r w:rsidR="6B182172">
        <w:t>A</w:t>
      </w:r>
      <w:r>
        <w:t xml:space="preserve">dministrations of Scotland and Wales. This toxicology monitoring programme is the largest of its kind and has been running since 1990. It has data on over 12,000 stranded cetaceans recorded in the UK and has carried out nearly 3,500 necropsies producing one of the world’s largest research datasets on </w:t>
      </w:r>
      <w:proofErr w:type="spellStart"/>
      <w:r>
        <w:t>strandings</w:t>
      </w:r>
      <w:proofErr w:type="spellEnd"/>
      <w:r>
        <w:t xml:space="preserve"> and causes of cetacean mortality (ZSL, date unknown). These data are not routinely </w:t>
      </w:r>
      <w:proofErr w:type="gramStart"/>
      <w:r>
        <w:t>reported,</w:t>
      </w:r>
      <w:proofErr w:type="gramEnd"/>
      <w:r>
        <w:t xml:space="preserve"> however papers are frequently in the scientific literature using data from this programme (</w:t>
      </w:r>
      <w:r w:rsidR="002857AD">
        <w:t xml:space="preserve">including </w:t>
      </w:r>
      <w:r>
        <w:t>Williams et al., 2020a, Williams et al., 2020b, Williams et al.,</w:t>
      </w:r>
      <w:r w:rsidR="006E6A8A">
        <w:t xml:space="preserve"> </w:t>
      </w:r>
      <w:r>
        <w:t xml:space="preserve">2021). </w:t>
      </w:r>
    </w:p>
    <w:p w14:paraId="3E246A96" w14:textId="3C5F0717" w:rsidR="00397595" w:rsidRDefault="00397595" w:rsidP="00397595">
      <w:proofErr w:type="spellStart"/>
      <w:r>
        <w:t>Cefas</w:t>
      </w:r>
      <w:proofErr w:type="spellEnd"/>
      <w:r>
        <w:t xml:space="preserve"> also undertakes analysis as part of the Clean </w:t>
      </w:r>
      <w:r w:rsidR="0031022C">
        <w:t xml:space="preserve">Safe </w:t>
      </w:r>
      <w:r>
        <w:t>Sea</w:t>
      </w:r>
      <w:r w:rsidR="0031022C">
        <w:t>s</w:t>
      </w:r>
      <w:r>
        <w:t xml:space="preserve"> Environment</w:t>
      </w:r>
      <w:r w:rsidR="0031022C">
        <w:t>al</w:t>
      </w:r>
      <w:r>
        <w:t xml:space="preserve"> Monitoring Program (CSEMP) programme this includes sediment and fish samples measuring PCBs, PBDEs, HBCDDs in fish (dab livers) and sediment and PFAS including PFOA in fish (dab liver). Further data is collected in sediments on some of the organochlorine pesticides of </w:t>
      </w:r>
      <w:r>
        <w:lastRenderedPageBreak/>
        <w:t xml:space="preserve">interest, including DDTs, HCB, HCHs and dieldrin. </w:t>
      </w:r>
      <w:r w:rsidR="00940DF0">
        <w:t xml:space="preserve">More information can be found online at </w:t>
      </w:r>
      <w:hyperlink r:id="rId31">
        <w:r w:rsidRPr="3C0A3149">
          <w:rPr>
            <w:rStyle w:val="Hyperlink"/>
          </w:rPr>
          <w:t>https://ocean.ices.dk/OHAT/</w:t>
        </w:r>
      </w:hyperlink>
    </w:p>
    <w:p w14:paraId="0CF2B400" w14:textId="0EFD68FF" w:rsidR="0008302A" w:rsidRDefault="0008302A" w:rsidP="0008302A">
      <w:pPr>
        <w:pStyle w:val="Heading3"/>
      </w:pPr>
      <w:r>
        <w:t>Horizon scanning</w:t>
      </w:r>
    </w:p>
    <w:p w14:paraId="732A34A8" w14:textId="6641BBDD" w:rsidR="0008302A" w:rsidRPr="009A4892" w:rsidRDefault="0008302A" w:rsidP="0008302A">
      <w:pPr>
        <w:rPr>
          <w:rFonts w:cs="Arial"/>
        </w:rPr>
      </w:pPr>
      <w:r w:rsidRPr="009A4892">
        <w:t xml:space="preserve">The </w:t>
      </w:r>
      <w:r w:rsidR="00202589">
        <w:t>competent authorities</w:t>
      </w:r>
      <w:r w:rsidRPr="009A4892">
        <w:t xml:space="preserve"> are each responsible for the monitoring of POPs in the environment</w:t>
      </w:r>
      <w:r w:rsidR="001C7AB2">
        <w:t>.</w:t>
      </w:r>
      <w:r w:rsidRPr="009A4892">
        <w:t xml:space="preserve"> </w:t>
      </w:r>
      <w:r w:rsidR="001C7AB2">
        <w:t>The UK</w:t>
      </w:r>
      <w:r w:rsidRPr="009A4892">
        <w:t xml:space="preserve"> government </w:t>
      </w:r>
      <w:r w:rsidRPr="009A4892">
        <w:rPr>
          <w:rFonts w:cs="Arial"/>
        </w:rPr>
        <w:t>maintains and updates the multimedia emissions database covering all listed POPs</w:t>
      </w:r>
      <w:r>
        <w:rPr>
          <w:rFonts w:cs="Arial"/>
        </w:rPr>
        <w:t xml:space="preserve"> (</w:t>
      </w:r>
      <w:r w:rsidR="00941783">
        <w:rPr>
          <w:rFonts w:cs="Arial"/>
        </w:rPr>
        <w:t>Annex II</w:t>
      </w:r>
      <w:r>
        <w:rPr>
          <w:rFonts w:cs="Arial"/>
        </w:rPr>
        <w:t>)</w:t>
      </w:r>
      <w:r w:rsidRPr="009A4892">
        <w:rPr>
          <w:rFonts w:cs="Arial"/>
        </w:rPr>
        <w:t xml:space="preserve"> and </w:t>
      </w:r>
      <w:r w:rsidR="001C7AB2">
        <w:rPr>
          <w:rFonts w:cs="Arial"/>
        </w:rPr>
        <w:t>coordinates work on</w:t>
      </w:r>
      <w:r w:rsidR="001C7AB2" w:rsidRPr="009A4892">
        <w:rPr>
          <w:rFonts w:cs="Arial"/>
        </w:rPr>
        <w:t xml:space="preserve"> </w:t>
      </w:r>
      <w:r w:rsidRPr="009A4892">
        <w:rPr>
          <w:rFonts w:cs="Arial"/>
        </w:rPr>
        <w:t xml:space="preserve">horizon scanning for potential POPs. </w:t>
      </w:r>
    </w:p>
    <w:p w14:paraId="10419710" w14:textId="08682071" w:rsidR="0008302A" w:rsidRDefault="0008302A" w:rsidP="0008302A">
      <w:pPr>
        <w:jc w:val="both"/>
      </w:pPr>
      <w:r w:rsidRPr="2EAEAAEA">
        <w:t xml:space="preserve">The EA </w:t>
      </w:r>
      <w:r w:rsidR="001C7AB2">
        <w:t xml:space="preserve">has developed a </w:t>
      </w:r>
      <w:r w:rsidR="0096455C">
        <w:t xml:space="preserve">prioritisation and early warning system (PEWS) and </w:t>
      </w:r>
      <w:r w:rsidRPr="2EAEAAEA">
        <w:t>review</w:t>
      </w:r>
      <w:r w:rsidR="0096455C">
        <w:t>s</w:t>
      </w:r>
      <w:r w:rsidRPr="2EAEAAEA">
        <w:t xml:space="preserve"> monitoring evidence gathered to identify substances that may require </w:t>
      </w:r>
      <w:r w:rsidR="0096455C">
        <w:t>risk management, as part</w:t>
      </w:r>
      <w:r w:rsidRPr="2EAEAAEA">
        <w:t xml:space="preserve"> of an agreed UK </w:t>
      </w:r>
      <w:r w:rsidR="0096455C">
        <w:t xml:space="preserve">chemicals </w:t>
      </w:r>
      <w:r w:rsidRPr="2EAEAAEA">
        <w:t>work programme.</w:t>
      </w:r>
      <w:r w:rsidR="0096455C">
        <w:t xml:space="preserve"> One of the risk management options available is the development and submission of a proposal to list a substance as a POP. The power to submit a proposal rests with the Secretary of State. </w:t>
      </w:r>
      <w:r w:rsidRPr="2EAEAAEA">
        <w:t xml:space="preserve">Any substance </w:t>
      </w:r>
      <w:r w:rsidR="0096455C">
        <w:t>identified</w:t>
      </w:r>
      <w:r w:rsidRPr="2EAEAAEA">
        <w:t xml:space="preserve"> as having</w:t>
      </w:r>
      <w:r>
        <w:t xml:space="preserve"> persistent, </w:t>
      </w:r>
      <w:proofErr w:type="spellStart"/>
      <w:r>
        <w:t>bioaccumulative</w:t>
      </w:r>
      <w:proofErr w:type="spellEnd"/>
      <w:r>
        <w:t xml:space="preserve"> and toxic</w:t>
      </w:r>
      <w:r w:rsidRPr="2EAEAAEA">
        <w:t xml:space="preserve"> </w:t>
      </w:r>
      <w:r>
        <w:t>(</w:t>
      </w:r>
      <w:r w:rsidRPr="2EAEAAEA">
        <w:t>PBT</w:t>
      </w:r>
      <w:r>
        <w:t>)</w:t>
      </w:r>
      <w:r w:rsidRPr="2EAEAAEA">
        <w:t xml:space="preserve"> properties is a potential POP candidate</w:t>
      </w:r>
      <w:r w:rsidR="0096455C">
        <w:t>, though evidence would be required that demonstrates potential for long range transport.</w:t>
      </w:r>
      <w:r w:rsidRPr="2EAEAAEA">
        <w:t xml:space="preserve">  </w:t>
      </w:r>
    </w:p>
    <w:p w14:paraId="2C330CC6" w14:textId="3D7DCE37" w:rsidR="0096455C" w:rsidRDefault="0096455C" w:rsidP="0006114C">
      <w:pPr>
        <w:pStyle w:val="Heading3"/>
      </w:pPr>
      <w:r>
        <w:t>Indicators</w:t>
      </w:r>
    </w:p>
    <w:p w14:paraId="552C6ECD" w14:textId="77777777" w:rsidR="001C7AB2" w:rsidRDefault="001C7AB2" w:rsidP="001C7AB2">
      <w:r>
        <w:t>Since COP 8 and the publication of the 2017 NIP update,</w:t>
      </w:r>
      <w:r w:rsidRPr="009A4892">
        <w:t xml:space="preserve"> progress has been made </w:t>
      </w:r>
      <w:r>
        <w:t xml:space="preserve">in </w:t>
      </w:r>
      <w:r w:rsidRPr="009A4892">
        <w:t xml:space="preserve">developing the England 25 </w:t>
      </w:r>
      <w:r>
        <w:t>Y</w:t>
      </w:r>
      <w:r w:rsidRPr="009A4892">
        <w:t xml:space="preserve">ear </w:t>
      </w:r>
      <w:r>
        <w:t>E</w:t>
      </w:r>
      <w:r w:rsidRPr="009A4892">
        <w:t xml:space="preserve">nvironment </w:t>
      </w:r>
      <w:r>
        <w:t>P</w:t>
      </w:r>
      <w:r w:rsidRPr="009A4892">
        <w:t xml:space="preserve">lan Outcome Indicator Framework </w:t>
      </w:r>
      <w:r w:rsidRPr="009A4892">
        <w:rPr>
          <w:rStyle w:val="FootnoteReference"/>
        </w:rPr>
        <w:footnoteReference w:id="18"/>
      </w:r>
      <w:r w:rsidRPr="009A4892">
        <w:t>, for which there are t</w:t>
      </w:r>
      <w:r>
        <w:t>hree</w:t>
      </w:r>
      <w:r w:rsidRPr="009A4892">
        <w:t xml:space="preserve"> indicators re</w:t>
      </w:r>
      <w:r>
        <w:t>le</w:t>
      </w:r>
      <w:r w:rsidRPr="009A4892">
        <w:t xml:space="preserve">vant to POPs. The first is “H3”, an indicator on </w:t>
      </w:r>
      <w:r>
        <w:t>e</w:t>
      </w:r>
      <w:r w:rsidRPr="009A4892">
        <w:t xml:space="preserve">missions of mercury and persistent organic pollutants to the environment, the second is </w:t>
      </w:r>
      <w:r>
        <w:t xml:space="preserve">“H4” </w:t>
      </w:r>
      <w:r w:rsidRPr="009A4892">
        <w:t xml:space="preserve">on </w:t>
      </w:r>
      <w:r>
        <w:t>e</w:t>
      </w:r>
      <w:r w:rsidRPr="009A4892">
        <w:t>xposure and adverse effects of chemicals on wildlife in the environment</w:t>
      </w:r>
      <w:r>
        <w:t>, wildlife included in the indicator are fish, otters, cetaceans and predatory birds</w:t>
      </w:r>
      <w:r w:rsidRPr="009A4892">
        <w:t xml:space="preserve">. </w:t>
      </w:r>
      <w:r>
        <w:t xml:space="preserve">The third is “J5” on the destruction and irreversible transformation of POPs. </w:t>
      </w:r>
      <w:r w:rsidRPr="009A4892">
        <w:t>To monitor progress an annual progress report will be published on the indicators</w:t>
      </w:r>
      <w:r w:rsidRPr="009A4892">
        <w:rPr>
          <w:rStyle w:val="FootnoteReference"/>
        </w:rPr>
        <w:footnoteReference w:id="19"/>
      </w:r>
      <w:r>
        <w:t>.</w:t>
      </w:r>
    </w:p>
    <w:p w14:paraId="3F55F798" w14:textId="600850F7" w:rsidR="000E202D" w:rsidRDefault="000E202D">
      <w:pPr>
        <w:spacing w:before="0" w:after="0" w:line="240" w:lineRule="auto"/>
      </w:pPr>
      <w:r>
        <w:br w:type="page"/>
      </w:r>
    </w:p>
    <w:p w14:paraId="7A4E377E" w14:textId="4CC901F6" w:rsidR="008B3A27" w:rsidRDefault="008B3A27" w:rsidP="000E202D">
      <w:pPr>
        <w:pStyle w:val="Heading1"/>
        <w:ind w:left="-142"/>
      </w:pPr>
      <w:bookmarkStart w:id="41" w:name="_Toc67030073"/>
      <w:r>
        <w:lastRenderedPageBreak/>
        <w:t xml:space="preserve">Annex I: </w:t>
      </w:r>
      <w:r w:rsidR="00A51D7E">
        <w:t>Glossary of a</w:t>
      </w:r>
      <w:r>
        <w:t>bbreviations</w:t>
      </w:r>
      <w:r w:rsidR="00A51D7E">
        <w:t xml:space="preserve"> and units</w:t>
      </w:r>
      <w:bookmarkEnd w:id="41"/>
    </w:p>
    <w:tbl>
      <w:tblPr>
        <w:tblStyle w:val="TableGrid"/>
        <w:tblW w:w="10349" w:type="dxa"/>
        <w:tblInd w:w="-289" w:type="dxa"/>
        <w:tblLook w:val="04A0" w:firstRow="1" w:lastRow="0" w:firstColumn="1" w:lastColumn="0" w:noHBand="0" w:noVBand="1"/>
      </w:tblPr>
      <w:tblGrid>
        <w:gridCol w:w="4395"/>
        <w:gridCol w:w="5954"/>
      </w:tblGrid>
      <w:tr w:rsidR="00F24286" w14:paraId="481A9838" w14:textId="77777777" w:rsidTr="033CC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6F27D7D" w14:textId="3D9461DD" w:rsidR="00F24286" w:rsidRPr="00A51D7E" w:rsidRDefault="00A51D7E" w:rsidP="00C367B5">
            <w:pPr>
              <w:rPr>
                <w:sz w:val="36"/>
                <w:szCs w:val="36"/>
              </w:rPr>
            </w:pPr>
            <w:r w:rsidRPr="00A51D7E">
              <w:rPr>
                <w:color w:val="FFFFFF" w:themeColor="background1"/>
                <w:sz w:val="36"/>
                <w:szCs w:val="36"/>
              </w:rPr>
              <w:t>Term</w:t>
            </w:r>
          </w:p>
        </w:tc>
        <w:tc>
          <w:tcPr>
            <w:tcW w:w="5954" w:type="dxa"/>
          </w:tcPr>
          <w:p w14:paraId="7FC51DF1" w14:textId="46DAABB5" w:rsidR="00F24286" w:rsidRPr="00A51D7E" w:rsidRDefault="00A51D7E" w:rsidP="00C367B5">
            <w:pPr>
              <w:cnfStyle w:val="100000000000" w:firstRow="1" w:lastRow="0" w:firstColumn="0" w:lastColumn="0" w:oddVBand="0" w:evenVBand="0" w:oddHBand="0" w:evenHBand="0" w:firstRowFirstColumn="0" w:firstRowLastColumn="0" w:lastRowFirstColumn="0" w:lastRowLastColumn="0"/>
              <w:rPr>
                <w:sz w:val="36"/>
                <w:szCs w:val="36"/>
              </w:rPr>
            </w:pPr>
            <w:r w:rsidRPr="00A51D7E">
              <w:rPr>
                <w:color w:val="FFFFFF" w:themeColor="background1"/>
                <w:sz w:val="36"/>
                <w:szCs w:val="36"/>
              </w:rPr>
              <w:t>Meaning</w:t>
            </w:r>
            <w:r w:rsidR="002C0C05">
              <w:rPr>
                <w:color w:val="FFFFFF" w:themeColor="background1"/>
                <w:sz w:val="36"/>
                <w:szCs w:val="36"/>
              </w:rPr>
              <w:t xml:space="preserve"> / full term</w:t>
            </w:r>
          </w:p>
        </w:tc>
      </w:tr>
      <w:tr w:rsidR="00F24286" w14:paraId="7C7DE7E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F4E64F3" w14:textId="7BDB12B1" w:rsidR="00F24286" w:rsidRDefault="00A51D7E" w:rsidP="00C367B5">
            <w:r w:rsidRPr="00440CAC">
              <w:t xml:space="preserve">Anthropogenic </w:t>
            </w:r>
          </w:p>
        </w:tc>
        <w:tc>
          <w:tcPr>
            <w:tcW w:w="5954" w:type="dxa"/>
          </w:tcPr>
          <w:p w14:paraId="3D83987E" w14:textId="5DE612C1" w:rsidR="00F24286" w:rsidRDefault="00A51D7E" w:rsidP="00C367B5">
            <w:pPr>
              <w:cnfStyle w:val="000000000000" w:firstRow="0" w:lastRow="0" w:firstColumn="0" w:lastColumn="0" w:oddVBand="0" w:evenVBand="0" w:oddHBand="0" w:evenHBand="0" w:firstRowFirstColumn="0" w:firstRowLastColumn="0" w:lastRowFirstColumn="0" w:lastRowLastColumn="0"/>
            </w:pPr>
            <w:r w:rsidRPr="00440CAC">
              <w:t xml:space="preserve">Caused </w:t>
            </w:r>
            <w:r w:rsidR="0054182F">
              <w:t>/ originated</w:t>
            </w:r>
            <w:r w:rsidRPr="00440CAC">
              <w:t xml:space="preserve"> by human activity</w:t>
            </w:r>
          </w:p>
        </w:tc>
      </w:tr>
      <w:tr w:rsidR="00F24286" w14:paraId="4EE185C7"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53733E3" w14:textId="125636A6" w:rsidR="00F24286" w:rsidRDefault="00A51D7E" w:rsidP="00C367B5">
            <w:r w:rsidRPr="002C491A">
              <w:t>BAT</w:t>
            </w:r>
          </w:p>
        </w:tc>
        <w:tc>
          <w:tcPr>
            <w:tcW w:w="5954" w:type="dxa"/>
          </w:tcPr>
          <w:p w14:paraId="31CE355A" w14:textId="339FCEBC" w:rsidR="00F24286" w:rsidRDefault="00A51D7E" w:rsidP="00C367B5">
            <w:pPr>
              <w:cnfStyle w:val="000000010000" w:firstRow="0" w:lastRow="0" w:firstColumn="0" w:lastColumn="0" w:oddVBand="0" w:evenVBand="0" w:oddHBand="0" w:evenHBand="1" w:firstRowFirstColumn="0" w:firstRowLastColumn="0" w:lastRowFirstColumn="0" w:lastRowLastColumn="0"/>
            </w:pPr>
            <w:r w:rsidRPr="002C491A">
              <w:t xml:space="preserve">Best </w:t>
            </w:r>
            <w:r w:rsidR="00A538A1">
              <w:t>A</w:t>
            </w:r>
            <w:r w:rsidRPr="002C491A">
              <w:t xml:space="preserve">vailable </w:t>
            </w:r>
            <w:r w:rsidR="00A538A1">
              <w:t>T</w:t>
            </w:r>
            <w:r w:rsidRPr="002C491A">
              <w:t>echnique</w:t>
            </w:r>
          </w:p>
        </w:tc>
      </w:tr>
      <w:tr w:rsidR="00A538A1" w14:paraId="78E11D8F"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4B31786" w14:textId="31284BF5" w:rsidR="00A538A1" w:rsidRPr="002C491A" w:rsidRDefault="00A538A1" w:rsidP="00C367B5">
            <w:r>
              <w:t>BEP</w:t>
            </w:r>
          </w:p>
        </w:tc>
        <w:tc>
          <w:tcPr>
            <w:tcW w:w="5954" w:type="dxa"/>
          </w:tcPr>
          <w:p w14:paraId="359A3B49" w14:textId="2EA6D466" w:rsidR="00A538A1" w:rsidRPr="002C491A" w:rsidRDefault="00A538A1" w:rsidP="00C367B5">
            <w:pPr>
              <w:cnfStyle w:val="000000000000" w:firstRow="0" w:lastRow="0" w:firstColumn="0" w:lastColumn="0" w:oddVBand="0" w:evenVBand="0" w:oddHBand="0" w:evenHBand="0" w:firstRowFirstColumn="0" w:firstRowLastColumn="0" w:lastRowFirstColumn="0" w:lastRowLastColumn="0"/>
            </w:pPr>
            <w:r>
              <w:t xml:space="preserve">Best Environmental Practices </w:t>
            </w:r>
          </w:p>
        </w:tc>
      </w:tr>
      <w:tr w:rsidR="00F24286" w14:paraId="633CF938"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CD5F318" w14:textId="45BFF51B" w:rsidR="00F24286" w:rsidRDefault="000E202D" w:rsidP="00C367B5">
            <w:r>
              <w:t>BFRs</w:t>
            </w:r>
          </w:p>
        </w:tc>
        <w:tc>
          <w:tcPr>
            <w:tcW w:w="5954" w:type="dxa"/>
          </w:tcPr>
          <w:p w14:paraId="76DBA45A" w14:textId="7C46B123" w:rsidR="00F24286" w:rsidRDefault="000E202D" w:rsidP="00C367B5">
            <w:pPr>
              <w:cnfStyle w:val="000000010000" w:firstRow="0" w:lastRow="0" w:firstColumn="0" w:lastColumn="0" w:oddVBand="0" w:evenVBand="0" w:oddHBand="0" w:evenHBand="1" w:firstRowFirstColumn="0" w:firstRowLastColumn="0" w:lastRowFirstColumn="0" w:lastRowLastColumn="0"/>
            </w:pPr>
            <w:r>
              <w:t xml:space="preserve">Brominated </w:t>
            </w:r>
            <w:r w:rsidR="00174383">
              <w:t>f</w:t>
            </w:r>
            <w:r>
              <w:t xml:space="preserve">lame </w:t>
            </w:r>
            <w:r w:rsidR="00174383">
              <w:t>r</w:t>
            </w:r>
            <w:r>
              <w:t>etardants</w:t>
            </w:r>
          </w:p>
        </w:tc>
      </w:tr>
      <w:tr w:rsidR="00F24286" w14:paraId="0D37A9EA"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531C22B" w14:textId="4B4B2CDA" w:rsidR="00F24286" w:rsidRDefault="000E202D" w:rsidP="00C367B5">
            <w:r>
              <w:t>BREFs</w:t>
            </w:r>
          </w:p>
        </w:tc>
        <w:tc>
          <w:tcPr>
            <w:tcW w:w="5954" w:type="dxa"/>
          </w:tcPr>
          <w:p w14:paraId="50F2C9E1" w14:textId="73908E82" w:rsidR="00F24286" w:rsidRPr="006E6A8A" w:rsidRDefault="000E202D" w:rsidP="00C367B5">
            <w:pPr>
              <w:cnfStyle w:val="000000000000" w:firstRow="0" w:lastRow="0" w:firstColumn="0" w:lastColumn="0" w:oddVBand="0" w:evenVBand="0" w:oddHBand="0" w:evenHBand="0" w:firstRowFirstColumn="0" w:firstRowLastColumn="0" w:lastRowFirstColumn="0" w:lastRowLastColumn="0"/>
            </w:pPr>
            <w:r w:rsidRPr="006E6A8A">
              <w:t xml:space="preserve">Best </w:t>
            </w:r>
            <w:r w:rsidR="00174383" w:rsidRPr="006E6A8A">
              <w:t>a</w:t>
            </w:r>
            <w:r w:rsidRPr="006E6A8A">
              <w:t xml:space="preserve">vailable </w:t>
            </w:r>
            <w:r w:rsidR="00174383" w:rsidRPr="006E6A8A">
              <w:t>t</w:t>
            </w:r>
            <w:r w:rsidRPr="006E6A8A">
              <w:t xml:space="preserve">echnique </w:t>
            </w:r>
            <w:r w:rsidR="00174383" w:rsidRPr="006E6A8A">
              <w:t>r</w:t>
            </w:r>
            <w:r w:rsidRPr="006E6A8A">
              <w:t xml:space="preserve">eference </w:t>
            </w:r>
            <w:r w:rsidR="00174383" w:rsidRPr="006E6A8A">
              <w:t>d</w:t>
            </w:r>
            <w:r w:rsidRPr="006E6A8A">
              <w:t>ocuments</w:t>
            </w:r>
          </w:p>
        </w:tc>
      </w:tr>
      <w:tr w:rsidR="00E84E16" w14:paraId="776EA2A5"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8BAD5D6" w14:textId="4B038F2B" w:rsidR="00E84E16" w:rsidRDefault="00E84E16" w:rsidP="00C367B5">
            <w:r>
              <w:t>CAS RN</w:t>
            </w:r>
          </w:p>
        </w:tc>
        <w:tc>
          <w:tcPr>
            <w:tcW w:w="5954" w:type="dxa"/>
          </w:tcPr>
          <w:p w14:paraId="22AA398D" w14:textId="7F208A5F" w:rsidR="00E84E16" w:rsidRPr="006E6A8A" w:rsidRDefault="00E84E16" w:rsidP="00C367B5">
            <w:pPr>
              <w:cnfStyle w:val="000000010000" w:firstRow="0" w:lastRow="0" w:firstColumn="0" w:lastColumn="0" w:oddVBand="0" w:evenVBand="0" w:oddHBand="0" w:evenHBand="1" w:firstRowFirstColumn="0" w:firstRowLastColumn="0" w:lastRowFirstColumn="0" w:lastRowLastColumn="0"/>
            </w:pPr>
            <w:r>
              <w:t>Chemical Abstracts Number Registry Number. A unique numeric identifier given to chemicals</w:t>
            </w:r>
          </w:p>
        </w:tc>
      </w:tr>
      <w:tr w:rsidR="00F24286" w14:paraId="5666A48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2E4D6B9" w14:textId="14CACEA7" w:rsidR="00F24286" w:rsidRDefault="00111B5F" w:rsidP="00C367B5">
            <w:proofErr w:type="spellStart"/>
            <w:r>
              <w:t>Cefas</w:t>
            </w:r>
            <w:proofErr w:type="spellEnd"/>
          </w:p>
        </w:tc>
        <w:tc>
          <w:tcPr>
            <w:tcW w:w="5954" w:type="dxa"/>
          </w:tcPr>
          <w:p w14:paraId="500E79E2" w14:textId="436693AA" w:rsidR="00F24286" w:rsidRDefault="000E202D" w:rsidP="00C367B5">
            <w:pPr>
              <w:cnfStyle w:val="000000000000" w:firstRow="0" w:lastRow="0" w:firstColumn="0" w:lastColumn="0" w:oddVBand="0" w:evenVBand="0" w:oddHBand="0" w:evenHBand="0" w:firstRowFirstColumn="0" w:firstRowLastColumn="0" w:lastRowFirstColumn="0" w:lastRowLastColumn="0"/>
            </w:pPr>
            <w:r>
              <w:t>Centre for Environment, Fisheries and Aquaculture Science</w:t>
            </w:r>
            <w:r w:rsidR="001D3F95">
              <w:t>, a</w:t>
            </w:r>
            <w:r w:rsidR="00174383">
              <w:t xml:space="preserve"> UK</w:t>
            </w:r>
            <w:r w:rsidR="001D3F95">
              <w:t xml:space="preserve"> executive agency sponsored by </w:t>
            </w:r>
            <w:r w:rsidR="007822A8">
              <w:t>Defra</w:t>
            </w:r>
          </w:p>
        </w:tc>
      </w:tr>
      <w:tr w:rsidR="0069243B" w14:paraId="28745E5B"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9B49357" w14:textId="09483A34" w:rsidR="0069243B" w:rsidRDefault="0069243B" w:rsidP="00C367B5">
            <w:r>
              <w:t>CEFIC</w:t>
            </w:r>
          </w:p>
        </w:tc>
        <w:tc>
          <w:tcPr>
            <w:tcW w:w="5954" w:type="dxa"/>
          </w:tcPr>
          <w:p w14:paraId="2F8550AA" w14:textId="7694E2AD" w:rsidR="0069243B" w:rsidRDefault="0069243B" w:rsidP="00C367B5">
            <w:pPr>
              <w:cnfStyle w:val="000000010000" w:firstRow="0" w:lastRow="0" w:firstColumn="0" w:lastColumn="0" w:oddVBand="0" w:evenVBand="0" w:oddHBand="0" w:evenHBand="1" w:firstRowFirstColumn="0" w:firstRowLastColumn="0" w:lastRowFirstColumn="0" w:lastRowLastColumn="0"/>
            </w:pPr>
            <w:r>
              <w:t>European Chemical Industry Council</w:t>
            </w:r>
          </w:p>
        </w:tc>
      </w:tr>
      <w:tr w:rsidR="00CD7289" w14:paraId="78D55B0E"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1901BA15" w14:textId="22785777" w:rsidR="00CD7289" w:rsidRDefault="00CD7289" w:rsidP="00C367B5">
            <w:r>
              <w:t>Cetacean</w:t>
            </w:r>
          </w:p>
        </w:tc>
        <w:tc>
          <w:tcPr>
            <w:tcW w:w="5954" w:type="dxa"/>
          </w:tcPr>
          <w:p w14:paraId="724C6BED" w14:textId="1D7584AF" w:rsidR="00CD7289" w:rsidRDefault="00CD7289" w:rsidP="00C367B5">
            <w:pPr>
              <w:cnfStyle w:val="000000000000" w:firstRow="0" w:lastRow="0" w:firstColumn="0" w:lastColumn="0" w:oddVBand="0" w:evenVBand="0" w:oddHBand="0" w:evenHBand="0" w:firstRowFirstColumn="0" w:firstRowLastColumn="0" w:lastRowFirstColumn="0" w:lastRowLastColumn="0"/>
            </w:pPr>
            <w:r>
              <w:t>A marine mammal of the order</w:t>
            </w:r>
            <w:r w:rsidR="0031022C">
              <w:t>: whale, dolphin, porpoise</w:t>
            </w:r>
          </w:p>
        </w:tc>
      </w:tr>
      <w:tr w:rsidR="00CD7289" w14:paraId="60E68645"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07D7553" w14:textId="0041156D" w:rsidR="00CD7289" w:rsidRDefault="00CD7289" w:rsidP="00C367B5">
            <w:r>
              <w:t>CIP</w:t>
            </w:r>
          </w:p>
        </w:tc>
        <w:tc>
          <w:tcPr>
            <w:tcW w:w="5954" w:type="dxa"/>
          </w:tcPr>
          <w:p w14:paraId="480AC9A4" w14:textId="5204B6B1" w:rsidR="00CD7289" w:rsidRDefault="00CD7289" w:rsidP="00C367B5">
            <w:pPr>
              <w:cnfStyle w:val="000000010000" w:firstRow="0" w:lastRow="0" w:firstColumn="0" w:lastColumn="0" w:oddVBand="0" w:evenVBand="0" w:oddHBand="0" w:evenHBand="1" w:firstRowFirstColumn="0" w:firstRowLastColumn="0" w:lastRowFirstColumn="0" w:lastRowLastColumn="0"/>
            </w:pPr>
            <w:r>
              <w:t>Chemicals Investigation Programme</w:t>
            </w:r>
          </w:p>
        </w:tc>
      </w:tr>
      <w:tr w:rsidR="00696F88" w14:paraId="2DFB3D79"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62685ED9" w14:textId="596C8753" w:rsidR="00696F88" w:rsidRDefault="0FF9EAA0" w:rsidP="00C367B5">
            <w:r>
              <w:t>CLO</w:t>
            </w:r>
          </w:p>
        </w:tc>
        <w:tc>
          <w:tcPr>
            <w:tcW w:w="5954" w:type="dxa"/>
          </w:tcPr>
          <w:p w14:paraId="590B9FB8" w14:textId="26395329" w:rsidR="00696F88" w:rsidRDefault="0FF9EAA0" w:rsidP="00C367B5">
            <w:pPr>
              <w:cnfStyle w:val="000000000000" w:firstRow="0" w:lastRow="0" w:firstColumn="0" w:lastColumn="0" w:oddVBand="0" w:evenVBand="0" w:oddHBand="0" w:evenHBand="0" w:firstRowFirstColumn="0" w:firstRowLastColumn="0" w:lastRowFirstColumn="0" w:lastRowLastColumn="0"/>
            </w:pPr>
            <w:r>
              <w:t>Compost-like output</w:t>
            </w:r>
          </w:p>
        </w:tc>
      </w:tr>
      <w:tr w:rsidR="00F24286" w14:paraId="228ACD99"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AC379B5" w14:textId="0B00468A" w:rsidR="00F24286" w:rsidRDefault="000E202D" w:rsidP="00C367B5">
            <w:r>
              <w:t>CLRTAP</w:t>
            </w:r>
          </w:p>
        </w:tc>
        <w:tc>
          <w:tcPr>
            <w:tcW w:w="5954" w:type="dxa"/>
          </w:tcPr>
          <w:p w14:paraId="7820EF57" w14:textId="77ABC64F" w:rsidR="00F24286" w:rsidRDefault="000E202D" w:rsidP="00C367B5">
            <w:pPr>
              <w:cnfStyle w:val="000000010000" w:firstRow="0" w:lastRow="0" w:firstColumn="0" w:lastColumn="0" w:oddVBand="0" w:evenVBand="0" w:oddHBand="0" w:evenHBand="1" w:firstRowFirstColumn="0" w:firstRowLastColumn="0" w:lastRowFirstColumn="0" w:lastRowLastColumn="0"/>
            </w:pPr>
            <w:r>
              <w:t>Convention on Long-Range Transboundary Air Pollution</w:t>
            </w:r>
            <w:r w:rsidR="001D3F95">
              <w:t xml:space="preserve">, a </w:t>
            </w:r>
            <w:r w:rsidR="002C0C05">
              <w:t>United Nations Economic Commission for Europe (UNECE) multi-lateral environmental agreement (MEA)</w:t>
            </w:r>
            <w:r w:rsidR="001D3F95">
              <w:t xml:space="preserve"> </w:t>
            </w:r>
            <w:r w:rsidR="002C0C05">
              <w:t xml:space="preserve">to improve </w:t>
            </w:r>
            <w:r w:rsidR="001D3F95">
              <w:t xml:space="preserve">air </w:t>
            </w:r>
            <w:r w:rsidR="002C0C05">
              <w:t>quality</w:t>
            </w:r>
            <w:r w:rsidR="001D3F95">
              <w:t xml:space="preserve"> </w:t>
            </w:r>
          </w:p>
        </w:tc>
      </w:tr>
      <w:tr w:rsidR="00F24286" w14:paraId="147EAA7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41FE3D20" w14:textId="07F3F45A" w:rsidR="00F24286" w:rsidRDefault="00DA3958" w:rsidP="00C367B5">
            <w:r>
              <w:t>COMAH</w:t>
            </w:r>
          </w:p>
        </w:tc>
        <w:tc>
          <w:tcPr>
            <w:tcW w:w="5954" w:type="dxa"/>
          </w:tcPr>
          <w:p w14:paraId="517BC699" w14:textId="0BB802AC" w:rsidR="00F24286" w:rsidRDefault="00DA3958" w:rsidP="00C367B5">
            <w:pPr>
              <w:cnfStyle w:val="000000000000" w:firstRow="0" w:lastRow="0" w:firstColumn="0" w:lastColumn="0" w:oddVBand="0" w:evenVBand="0" w:oddHBand="0" w:evenHBand="0" w:firstRowFirstColumn="0" w:firstRowLastColumn="0" w:lastRowFirstColumn="0" w:lastRowLastColumn="0"/>
            </w:pPr>
            <w:r>
              <w:t>Control of Major Accident Hazard</w:t>
            </w:r>
            <w:r w:rsidR="00ED2340">
              <w:t>s</w:t>
            </w:r>
            <w:r>
              <w:t xml:space="preserve"> Regulations </w:t>
            </w:r>
            <w:r w:rsidR="00ED2340">
              <w:t>2015</w:t>
            </w:r>
          </w:p>
        </w:tc>
      </w:tr>
      <w:tr w:rsidR="00F24286" w14:paraId="70E1691A"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A5F14C9" w14:textId="31D0192C" w:rsidR="00F24286" w:rsidRDefault="00DA3958" w:rsidP="00C367B5">
            <w:r>
              <w:t>Congener</w:t>
            </w:r>
          </w:p>
        </w:tc>
        <w:tc>
          <w:tcPr>
            <w:tcW w:w="5954" w:type="dxa"/>
          </w:tcPr>
          <w:p w14:paraId="0CAD56A3" w14:textId="36E09E96" w:rsidR="00F24286" w:rsidRDefault="00ED2340" w:rsidP="00C367B5">
            <w:pPr>
              <w:cnfStyle w:val="000000010000" w:firstRow="0" w:lastRow="0" w:firstColumn="0" w:lastColumn="0" w:oddVBand="0" w:evenVBand="0" w:oddHBand="0" w:evenHBand="1" w:firstRowFirstColumn="0" w:firstRowLastColumn="0" w:lastRowFirstColumn="0" w:lastRowLastColumn="0"/>
            </w:pPr>
            <w:r>
              <w:t xml:space="preserve">In chemistry, congeners are chemical substances related to each other by origin, structure or function. </w:t>
            </w:r>
            <w:r w:rsidR="00DA3958">
              <w:t xml:space="preserve">As an example, a polychlorinated biphenyl (PCB) congener is a well-defined chemical compound in the PCB category. The name of a PCB congener is </w:t>
            </w:r>
            <w:r w:rsidR="00DA3958">
              <w:lastRenderedPageBreak/>
              <w:t>associated with the total number of chlorine substituents and the position of each chlorine</w:t>
            </w:r>
          </w:p>
        </w:tc>
      </w:tr>
      <w:tr w:rsidR="00F24286" w14:paraId="3EE3C91D"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28A0C00" w14:textId="2CAD4822" w:rsidR="00F24286" w:rsidRDefault="00DA3958" w:rsidP="00C367B5">
            <w:r>
              <w:lastRenderedPageBreak/>
              <w:t>COP</w:t>
            </w:r>
          </w:p>
        </w:tc>
        <w:tc>
          <w:tcPr>
            <w:tcW w:w="5954" w:type="dxa"/>
          </w:tcPr>
          <w:p w14:paraId="54FB11B9" w14:textId="40956A6B" w:rsidR="00F24286" w:rsidRDefault="00DA3958" w:rsidP="00C367B5">
            <w:pPr>
              <w:cnfStyle w:val="000000000000" w:firstRow="0" w:lastRow="0" w:firstColumn="0" w:lastColumn="0" w:oddVBand="0" w:evenVBand="0" w:oddHBand="0" w:evenHBand="0" w:firstRowFirstColumn="0" w:firstRowLastColumn="0" w:lastRowFirstColumn="0" w:lastRowLastColumn="0"/>
            </w:pPr>
            <w:r>
              <w:t>Conference of the Parties</w:t>
            </w:r>
          </w:p>
        </w:tc>
      </w:tr>
      <w:tr w:rsidR="00F24286" w14:paraId="679F445E"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3A72E62" w14:textId="14F6A3F6" w:rsidR="00F24286" w:rsidRDefault="00DA3958" w:rsidP="00C367B5">
            <w:r>
              <w:t>COSHH</w:t>
            </w:r>
          </w:p>
        </w:tc>
        <w:tc>
          <w:tcPr>
            <w:tcW w:w="5954" w:type="dxa"/>
          </w:tcPr>
          <w:p w14:paraId="7FAB3F10" w14:textId="2103DCFC" w:rsidR="00F24286" w:rsidRDefault="00DA3958" w:rsidP="00C367B5">
            <w:pPr>
              <w:cnfStyle w:val="000000010000" w:firstRow="0" w:lastRow="0" w:firstColumn="0" w:lastColumn="0" w:oddVBand="0" w:evenVBand="0" w:oddHBand="0" w:evenHBand="1" w:firstRowFirstColumn="0" w:firstRowLastColumn="0" w:lastRowFirstColumn="0" w:lastRowLastColumn="0"/>
            </w:pPr>
            <w:r>
              <w:t>Control of Substances Hazardous to Health Regulations</w:t>
            </w:r>
            <w:r w:rsidR="00FF7EF3">
              <w:t xml:space="preserve"> 2002, UK law that requires employers to control substances that are hazardous to human health </w:t>
            </w:r>
          </w:p>
        </w:tc>
      </w:tr>
      <w:tr w:rsidR="00F24286" w14:paraId="4D6BC5FF"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640EB837" w14:textId="27FCF8B9" w:rsidR="00F24286" w:rsidRDefault="00DA3958" w:rsidP="00C367B5">
            <w:r>
              <w:t>COT</w:t>
            </w:r>
          </w:p>
        </w:tc>
        <w:tc>
          <w:tcPr>
            <w:tcW w:w="5954" w:type="dxa"/>
          </w:tcPr>
          <w:p w14:paraId="23BE0FAB" w14:textId="36B093DF" w:rsidR="00F24286" w:rsidRDefault="00DA3958" w:rsidP="00C367B5">
            <w:pPr>
              <w:cnfStyle w:val="000000000000" w:firstRow="0" w:lastRow="0" w:firstColumn="0" w:lastColumn="0" w:oddVBand="0" w:evenVBand="0" w:oddHBand="0" w:evenHBand="0" w:firstRowFirstColumn="0" w:firstRowLastColumn="0" w:lastRowFirstColumn="0" w:lastRowLastColumn="0"/>
            </w:pPr>
            <w:r>
              <w:t>Committee on Toxicity of Chemicals in Food, Consumer Products and the Environment</w:t>
            </w:r>
            <w:r w:rsidR="00FF7EF3">
              <w:t>, an independent scientific committee that provides advice to UK Government bodies on matters concerning toxicity of chemicals</w:t>
            </w:r>
          </w:p>
        </w:tc>
      </w:tr>
      <w:tr w:rsidR="00454DAE" w14:paraId="09131493"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D572E60" w14:textId="47A84764" w:rsidR="00454DAE" w:rsidRDefault="00454DAE" w:rsidP="00C367B5">
            <w:r>
              <w:t>CRT</w:t>
            </w:r>
          </w:p>
        </w:tc>
        <w:tc>
          <w:tcPr>
            <w:tcW w:w="5954" w:type="dxa"/>
          </w:tcPr>
          <w:p w14:paraId="449AFE1A" w14:textId="670D5972" w:rsidR="00454DAE" w:rsidRDefault="00454DAE" w:rsidP="00C367B5">
            <w:pPr>
              <w:cnfStyle w:val="000000010000" w:firstRow="0" w:lastRow="0" w:firstColumn="0" w:lastColumn="0" w:oddVBand="0" w:evenVBand="0" w:oddHBand="0" w:evenHBand="1" w:firstRowFirstColumn="0" w:firstRowLastColumn="0" w:lastRowFirstColumn="0" w:lastRowLastColumn="0"/>
            </w:pPr>
            <w:r>
              <w:t>Cathode-ray tube, a type of display unit</w:t>
            </w:r>
          </w:p>
        </w:tc>
      </w:tr>
      <w:tr w:rsidR="00EA66A7" w14:paraId="68C57EB3"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0CCB875C" w14:textId="72D01882" w:rsidR="00EA66A7" w:rsidRDefault="00EA66A7" w:rsidP="00C367B5">
            <w:r>
              <w:t>CSEMP</w:t>
            </w:r>
          </w:p>
        </w:tc>
        <w:tc>
          <w:tcPr>
            <w:tcW w:w="5954" w:type="dxa"/>
          </w:tcPr>
          <w:p w14:paraId="771481D3" w14:textId="7C34B0AE" w:rsidR="00EA66A7" w:rsidRDefault="00EA66A7" w:rsidP="00C367B5">
            <w:pPr>
              <w:cnfStyle w:val="000000000000" w:firstRow="0" w:lastRow="0" w:firstColumn="0" w:lastColumn="0" w:oddVBand="0" w:evenVBand="0" w:oddHBand="0" w:evenHBand="0" w:firstRowFirstColumn="0" w:firstRowLastColumn="0" w:lastRowFirstColumn="0" w:lastRowLastColumn="0"/>
            </w:pPr>
            <w:r>
              <w:t>Clean Safe Seas Environmental Monitoring Programme, a coordinated approach to environmental monitoring in the UK’s coastal and estuarine areas</w:t>
            </w:r>
          </w:p>
        </w:tc>
      </w:tr>
      <w:tr w:rsidR="00CD7289" w14:paraId="07FCFA03"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5B83A40" w14:textId="4665EDDC" w:rsidR="00CD7289" w:rsidRDefault="00CD7289" w:rsidP="00C367B5">
            <w:r>
              <w:t>CSIP</w:t>
            </w:r>
          </w:p>
        </w:tc>
        <w:tc>
          <w:tcPr>
            <w:tcW w:w="5954" w:type="dxa"/>
          </w:tcPr>
          <w:p w14:paraId="079F5E9A" w14:textId="5D4D24C3" w:rsidR="00CD7289" w:rsidRDefault="00CD7289" w:rsidP="00C367B5">
            <w:pPr>
              <w:cnfStyle w:val="000000010000" w:firstRow="0" w:lastRow="0" w:firstColumn="0" w:lastColumn="0" w:oddVBand="0" w:evenVBand="0" w:oddHBand="0" w:evenHBand="1" w:firstRowFirstColumn="0" w:firstRowLastColumn="0" w:lastRowFirstColumn="0" w:lastRowLastColumn="0"/>
            </w:pPr>
            <w:r>
              <w:t xml:space="preserve">Cetacean </w:t>
            </w:r>
            <w:proofErr w:type="spellStart"/>
            <w:r>
              <w:t>Strandings</w:t>
            </w:r>
            <w:proofErr w:type="spellEnd"/>
            <w:r>
              <w:t xml:space="preserve"> Investigation Programme, a Defra-funded programme coordinating the investigation of cetaceans stranding around the UK coastline</w:t>
            </w:r>
          </w:p>
        </w:tc>
      </w:tr>
      <w:tr w:rsidR="00F24286" w14:paraId="4E2822F7"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A97AE4A" w14:textId="5A309BE2" w:rsidR="00F24286" w:rsidRDefault="00DA3958" w:rsidP="00C367B5">
            <w:r>
              <w:t>DAERA</w:t>
            </w:r>
          </w:p>
        </w:tc>
        <w:tc>
          <w:tcPr>
            <w:tcW w:w="5954" w:type="dxa"/>
          </w:tcPr>
          <w:p w14:paraId="680620E0" w14:textId="500DECF6" w:rsidR="00F24286" w:rsidRDefault="00DA3958" w:rsidP="00C367B5">
            <w:pPr>
              <w:cnfStyle w:val="000000000000" w:firstRow="0" w:lastRow="0" w:firstColumn="0" w:lastColumn="0" w:oddVBand="0" w:evenVBand="0" w:oddHBand="0" w:evenHBand="0" w:firstRowFirstColumn="0" w:firstRowLastColumn="0" w:lastRowFirstColumn="0" w:lastRowLastColumn="0"/>
            </w:pPr>
            <w:r>
              <w:t>Department of Agriculture, Environment &amp; Rural Affairs</w:t>
            </w:r>
            <w:r w:rsidR="00FF7EF3">
              <w:t>, a Government Department</w:t>
            </w:r>
            <w:r>
              <w:t xml:space="preserve"> in </w:t>
            </w:r>
            <w:r w:rsidR="00FF7EF3">
              <w:t xml:space="preserve">the </w:t>
            </w:r>
            <w:r>
              <w:t>Northern Ireland</w:t>
            </w:r>
            <w:r w:rsidR="00FF7EF3">
              <w:t xml:space="preserve"> Executive, the devolved administration for </w:t>
            </w:r>
            <w:r>
              <w:t>Northern Ireland</w:t>
            </w:r>
          </w:p>
        </w:tc>
      </w:tr>
      <w:tr w:rsidR="00696F88" w14:paraId="4D7D33A8"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80D96B0" w14:textId="6311FFEC" w:rsidR="00696F88" w:rsidRDefault="0FF9EAA0" w:rsidP="00DD155E">
            <w:r>
              <w:t>DBDPE</w:t>
            </w:r>
          </w:p>
        </w:tc>
        <w:tc>
          <w:tcPr>
            <w:tcW w:w="5954" w:type="dxa"/>
          </w:tcPr>
          <w:p w14:paraId="4C5AABCA" w14:textId="02234E9D" w:rsidR="00696F88" w:rsidRDefault="0FF9EAA0" w:rsidP="3C0A3149">
            <w:pPr>
              <w:cnfStyle w:val="000000010000" w:firstRow="0" w:lastRow="0" w:firstColumn="0" w:lastColumn="0" w:oddVBand="0" w:evenVBand="0" w:oddHBand="0" w:evenHBand="1" w:firstRowFirstColumn="0" w:firstRowLastColumn="0" w:lastRowFirstColumn="0" w:lastRowLastColumn="0"/>
              <w:rPr>
                <w:color w:val="000000" w:themeColor="text1"/>
              </w:rPr>
            </w:pPr>
            <w:proofErr w:type="spellStart"/>
            <w:r w:rsidRPr="3C0A3149">
              <w:rPr>
                <w:color w:val="000000" w:themeColor="text1"/>
              </w:rPr>
              <w:t>decabomodiphenylethane</w:t>
            </w:r>
            <w:proofErr w:type="spellEnd"/>
          </w:p>
        </w:tc>
      </w:tr>
      <w:tr w:rsidR="00A47EC7" w14:paraId="784B974B"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4690D675" w14:textId="6EACD28F" w:rsidR="00A47EC7" w:rsidRDefault="59F4CFAB" w:rsidP="00DD155E">
            <w:r>
              <w:t>DCBP</w:t>
            </w:r>
          </w:p>
        </w:tc>
        <w:tc>
          <w:tcPr>
            <w:tcW w:w="5954" w:type="dxa"/>
          </w:tcPr>
          <w:p w14:paraId="3D802656" w14:textId="7BA8AF8F" w:rsidR="00A47EC7" w:rsidRDefault="59F4CFAB" w:rsidP="00DD155E">
            <w:pPr>
              <w:cnfStyle w:val="000000000000" w:firstRow="0" w:lastRow="0" w:firstColumn="0" w:lastColumn="0" w:oddVBand="0" w:evenVBand="0" w:oddHBand="0" w:evenHBand="0" w:firstRowFirstColumn="0" w:firstRowLastColumn="0" w:lastRowFirstColumn="0" w:lastRowLastColumn="0"/>
            </w:pPr>
            <w:proofErr w:type="spellStart"/>
            <w:r>
              <w:t>Dichlorobenzophenone</w:t>
            </w:r>
            <w:proofErr w:type="spellEnd"/>
          </w:p>
        </w:tc>
      </w:tr>
      <w:tr w:rsidR="00DD155E" w14:paraId="6C74B163"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1A686B1" w14:textId="6EACD28F" w:rsidR="00DD155E" w:rsidRDefault="5CE1B596" w:rsidP="00DD155E">
            <w:r>
              <w:t>DDT</w:t>
            </w:r>
          </w:p>
        </w:tc>
        <w:tc>
          <w:tcPr>
            <w:tcW w:w="5954" w:type="dxa"/>
          </w:tcPr>
          <w:p w14:paraId="4C8A3088" w14:textId="7716AE8F" w:rsidR="00DD155E" w:rsidRDefault="5CE1B596" w:rsidP="00DD155E">
            <w:pPr>
              <w:cnfStyle w:val="000000010000" w:firstRow="0" w:lastRow="0" w:firstColumn="0" w:lastColumn="0" w:oddVBand="0" w:evenVBand="0" w:oddHBand="0" w:evenHBand="1" w:firstRowFirstColumn="0" w:firstRowLastColumn="0" w:lastRowFirstColumn="0" w:lastRowLastColumn="0"/>
            </w:pPr>
            <w:r>
              <w:t>Dichlorodiphenyltrichloroethane. The compound’s structure permits several different isomers.   Commercial DDT consists of a mixture of isomers, but predominantly consists of para, para-DDT, full name: 1,1,1-trichloro-2,2-bis(</w:t>
            </w:r>
            <w:r w:rsidRPr="3C0A3149">
              <w:rPr>
                <w:i/>
                <w:iCs/>
              </w:rPr>
              <w:t>p</w:t>
            </w:r>
            <w:r>
              <w:t xml:space="preserve">-chlorophenyl) ethane </w:t>
            </w:r>
          </w:p>
        </w:tc>
      </w:tr>
      <w:tr w:rsidR="009047A4" w14:paraId="28A41D36"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550307B7" w14:textId="7E373DC5" w:rsidR="009047A4" w:rsidRDefault="1E2E72C8" w:rsidP="00C367B5">
            <w:proofErr w:type="spellStart"/>
            <w:r>
              <w:t>decaBDE</w:t>
            </w:r>
            <w:proofErr w:type="spellEnd"/>
          </w:p>
        </w:tc>
        <w:tc>
          <w:tcPr>
            <w:tcW w:w="5954" w:type="dxa"/>
          </w:tcPr>
          <w:p w14:paraId="704BD7D6" w14:textId="04068E6B" w:rsidR="009047A4" w:rsidRDefault="1E2E72C8" w:rsidP="00C367B5">
            <w:pPr>
              <w:cnfStyle w:val="000000000000" w:firstRow="0" w:lastRow="0" w:firstColumn="0" w:lastColumn="0" w:oddVBand="0" w:evenVBand="0" w:oddHBand="0" w:evenHBand="0" w:firstRowFirstColumn="0" w:firstRowLastColumn="0" w:lastRowFirstColumn="0" w:lastRowLastColumn="0"/>
            </w:pPr>
            <w:proofErr w:type="spellStart"/>
            <w:r>
              <w:t>Decabromodiphenyl</w:t>
            </w:r>
            <w:proofErr w:type="spellEnd"/>
            <w:r>
              <w:t xml:space="preserve"> ether</w:t>
            </w:r>
          </w:p>
        </w:tc>
      </w:tr>
      <w:tr w:rsidR="00F24286" w14:paraId="0D8CBC1B"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4D245A7" w14:textId="513BC709" w:rsidR="00F24286" w:rsidRDefault="007822A8" w:rsidP="00C367B5">
            <w:r>
              <w:lastRenderedPageBreak/>
              <w:t>Defra</w:t>
            </w:r>
          </w:p>
        </w:tc>
        <w:tc>
          <w:tcPr>
            <w:tcW w:w="5954" w:type="dxa"/>
          </w:tcPr>
          <w:p w14:paraId="41C71566" w14:textId="4E7BEF12" w:rsidR="00F24286" w:rsidRDefault="00DA3958" w:rsidP="00C367B5">
            <w:pPr>
              <w:cnfStyle w:val="000000010000" w:firstRow="0" w:lastRow="0" w:firstColumn="0" w:lastColumn="0" w:oddVBand="0" w:evenVBand="0" w:oddHBand="0" w:evenHBand="1" w:firstRowFirstColumn="0" w:firstRowLastColumn="0" w:lastRowFirstColumn="0" w:lastRowLastColumn="0"/>
            </w:pPr>
            <w:r>
              <w:t>Department for Environment, Food and Rural Affairs</w:t>
            </w:r>
            <w:r w:rsidR="00530DCD">
              <w:t xml:space="preserve">, a </w:t>
            </w:r>
            <w:r w:rsidR="009047A4">
              <w:t xml:space="preserve">ministerial </w:t>
            </w:r>
            <w:r w:rsidR="00530DCD">
              <w:t>UK Government Department</w:t>
            </w:r>
          </w:p>
        </w:tc>
      </w:tr>
      <w:tr w:rsidR="00F24286" w14:paraId="6DB6620F"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6B190750" w14:textId="56EEF9BB" w:rsidR="00F24286" w:rsidRDefault="00F24286" w:rsidP="00C367B5"/>
        </w:tc>
        <w:tc>
          <w:tcPr>
            <w:tcW w:w="5954" w:type="dxa"/>
          </w:tcPr>
          <w:p w14:paraId="3A3A680C" w14:textId="5298FDC1" w:rsidR="00F24286" w:rsidRPr="00627AE6" w:rsidRDefault="00F24286" w:rsidP="00C367B5">
            <w:pPr>
              <w:cnfStyle w:val="000000000000" w:firstRow="0" w:lastRow="0" w:firstColumn="0" w:lastColumn="0" w:oddVBand="0" w:evenVBand="0" w:oddHBand="0" w:evenHBand="0" w:firstRowFirstColumn="0" w:firstRowLastColumn="0" w:lastRowFirstColumn="0" w:lastRowLastColumn="0"/>
            </w:pPr>
          </w:p>
        </w:tc>
      </w:tr>
      <w:tr w:rsidR="00A84DA8" w14:paraId="4E32B3BF"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9FAFD0B" w14:textId="08998804" w:rsidR="00A84DA8" w:rsidRDefault="00A84DA8" w:rsidP="00C367B5">
            <w:r>
              <w:t>Dioxins</w:t>
            </w:r>
          </w:p>
        </w:tc>
        <w:tc>
          <w:tcPr>
            <w:tcW w:w="5954" w:type="dxa"/>
          </w:tcPr>
          <w:p w14:paraId="0CCA768D" w14:textId="05D397C7" w:rsidR="00A84DA8" w:rsidRDefault="00A84DA8" w:rsidP="00C367B5">
            <w:pPr>
              <w:cnfStyle w:val="000000010000" w:firstRow="0" w:lastRow="0" w:firstColumn="0" w:lastColumn="0" w:oddVBand="0" w:evenVBand="0" w:oddHBand="0" w:evenHBand="1" w:firstRowFirstColumn="0" w:firstRowLastColumn="0" w:lastRowFirstColumn="0" w:lastRowLastColumn="0"/>
            </w:pPr>
            <w:r>
              <w:t>A group of polychlorinated dibenzo</w:t>
            </w:r>
            <w:r w:rsidR="008F26DC">
              <w:t>-p-</w:t>
            </w:r>
            <w:r>
              <w:t>dioxins (PCDDs), commonly referred to as just ‘</w:t>
            </w:r>
            <w:proofErr w:type="gramStart"/>
            <w:r>
              <w:t>dioxins’</w:t>
            </w:r>
            <w:proofErr w:type="gramEnd"/>
            <w:r w:rsidR="008F26DC">
              <w:t xml:space="preserve">. There are 75 PCDD congeners, 7 of them </w:t>
            </w:r>
            <w:r w:rsidR="00675A74">
              <w:t>being</w:t>
            </w:r>
            <w:r w:rsidR="008F26DC">
              <w:t xml:space="preserve"> toxic, the most toxic being 2,3,7,8-tetrachlorodibenzo-</w:t>
            </w:r>
            <w:r w:rsidR="00675A74">
              <w:t>p-</w:t>
            </w:r>
            <w:r w:rsidR="008F26DC">
              <w:t xml:space="preserve">dioxin, (TCDD)  </w:t>
            </w:r>
          </w:p>
        </w:tc>
      </w:tr>
      <w:tr w:rsidR="00F24286" w14:paraId="1D8AA235"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0EB28190" w14:textId="2ED5CE50" w:rsidR="00F24286" w:rsidRDefault="00263AC1" w:rsidP="00C367B5">
            <w:r>
              <w:t>Dioxin-like PCBs</w:t>
            </w:r>
          </w:p>
        </w:tc>
        <w:tc>
          <w:tcPr>
            <w:tcW w:w="5954" w:type="dxa"/>
          </w:tcPr>
          <w:p w14:paraId="71211760" w14:textId="6CC13CE1" w:rsidR="00F24286" w:rsidRDefault="00C31F95" w:rsidP="00C367B5">
            <w:pPr>
              <w:cnfStyle w:val="000000000000" w:firstRow="0" w:lastRow="0" w:firstColumn="0" w:lastColumn="0" w:oddVBand="0" w:evenVBand="0" w:oddHBand="0" w:evenHBand="0" w:firstRowFirstColumn="0" w:firstRowLastColumn="0" w:lastRowFirstColumn="0" w:lastRowLastColumn="0"/>
            </w:pPr>
            <w:r>
              <w:t xml:space="preserve">Some PCBs share structural similarities and toxic modes of action with dioxins. </w:t>
            </w:r>
            <w:r w:rsidR="00263AC1">
              <w:t>PCB congeners which have the same toxic action as the most toxic dioxin congener (2,3,7,8-tetrachlorodibenzo-</w:t>
            </w:r>
            <w:r w:rsidR="00675A74">
              <w:t>p-</w:t>
            </w:r>
            <w:r w:rsidR="00263AC1">
              <w:t>dioxin</w:t>
            </w:r>
            <w:r w:rsidR="008F26DC">
              <w:t>, TCDD</w:t>
            </w:r>
            <w:r w:rsidR="00263AC1">
              <w:t xml:space="preserve">) but at a different level of potency </w:t>
            </w:r>
            <w:proofErr w:type="gramStart"/>
            <w:r w:rsidR="00263AC1">
              <w:t>on the basis of</w:t>
            </w:r>
            <w:proofErr w:type="gramEnd"/>
            <w:r w:rsidR="00263AC1">
              <w:t xml:space="preserve"> which it is assigned a TEF value</w:t>
            </w:r>
          </w:p>
        </w:tc>
      </w:tr>
      <w:tr w:rsidR="00E92B0C" w14:paraId="36109B5F"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B096DCD" w14:textId="3FC25168" w:rsidR="00E92B0C" w:rsidRDefault="00E92B0C" w:rsidP="00C367B5">
            <w:r>
              <w:t>DNA</w:t>
            </w:r>
          </w:p>
        </w:tc>
        <w:tc>
          <w:tcPr>
            <w:tcW w:w="5954" w:type="dxa"/>
          </w:tcPr>
          <w:p w14:paraId="13C635F4" w14:textId="4903AD71" w:rsidR="00E92B0C" w:rsidRDefault="00E92B0C" w:rsidP="00C367B5">
            <w:pPr>
              <w:cnfStyle w:val="000000010000" w:firstRow="0" w:lastRow="0" w:firstColumn="0" w:lastColumn="0" w:oddVBand="0" w:evenVBand="0" w:oddHBand="0" w:evenHBand="1" w:firstRowFirstColumn="0" w:firstRowLastColumn="0" w:lastRowFirstColumn="0" w:lastRowLastColumn="0"/>
            </w:pPr>
            <w:r>
              <w:t>Designated National Authority</w:t>
            </w:r>
          </w:p>
        </w:tc>
      </w:tr>
      <w:tr w:rsidR="00696F88" w14:paraId="5F0CB671"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68DDB3B0" w14:textId="03D4640E" w:rsidR="00696F88" w:rsidRDefault="00696F88" w:rsidP="00C367B5">
            <w:r>
              <w:t>DPS</w:t>
            </w:r>
          </w:p>
        </w:tc>
        <w:tc>
          <w:tcPr>
            <w:tcW w:w="5954" w:type="dxa"/>
          </w:tcPr>
          <w:p w14:paraId="1C435B27" w14:textId="2976458A" w:rsidR="00696F88" w:rsidRDefault="00696F88" w:rsidP="00C367B5">
            <w:pPr>
              <w:cnfStyle w:val="000000000000" w:firstRow="0" w:lastRow="0" w:firstColumn="0" w:lastColumn="0" w:oddVBand="0" w:evenVBand="0" w:oddHBand="0" w:evenHBand="0" w:firstRowFirstColumn="0" w:firstRowLastColumn="0" w:lastRowFirstColumn="0" w:lastRowLastColumn="0"/>
            </w:pPr>
            <w:r>
              <w:t>Dried paper sludge</w:t>
            </w:r>
          </w:p>
        </w:tc>
      </w:tr>
      <w:tr w:rsidR="00F24286" w14:paraId="0C407075"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A7D871F" w14:textId="68BBB749" w:rsidR="00F24286" w:rsidRDefault="00263AC1" w:rsidP="00C367B5">
            <w:r>
              <w:t>EA</w:t>
            </w:r>
          </w:p>
        </w:tc>
        <w:tc>
          <w:tcPr>
            <w:tcW w:w="5954" w:type="dxa"/>
          </w:tcPr>
          <w:p w14:paraId="6CB58F1E" w14:textId="1CAE5C8B" w:rsidR="00F24286" w:rsidRDefault="00263AC1" w:rsidP="00C367B5">
            <w:pPr>
              <w:cnfStyle w:val="000000010000" w:firstRow="0" w:lastRow="0" w:firstColumn="0" w:lastColumn="0" w:oddVBand="0" w:evenVBand="0" w:oddHBand="0" w:evenHBand="1" w:firstRowFirstColumn="0" w:firstRowLastColumn="0" w:lastRowFirstColumn="0" w:lastRowLastColumn="0"/>
            </w:pPr>
            <w:r>
              <w:t>Environment Agency</w:t>
            </w:r>
            <w:r w:rsidR="00174383">
              <w:t>, a</w:t>
            </w:r>
            <w:r w:rsidR="008D783C">
              <w:t xml:space="preserve">n </w:t>
            </w:r>
            <w:r w:rsidR="00174383">
              <w:t xml:space="preserve">executive </w:t>
            </w:r>
            <w:r w:rsidR="008D783C">
              <w:t xml:space="preserve">agency and the environmental </w:t>
            </w:r>
            <w:proofErr w:type="gramStart"/>
            <w:r w:rsidR="008D783C">
              <w:t>regulator  for</w:t>
            </w:r>
            <w:proofErr w:type="gramEnd"/>
            <w:r w:rsidR="008D783C">
              <w:t xml:space="preserve"> the UK government</w:t>
            </w:r>
          </w:p>
        </w:tc>
      </w:tr>
      <w:tr w:rsidR="00F24286" w14:paraId="55B94B89"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F26E40A" w14:textId="7DB69B05" w:rsidR="00F24286" w:rsidRDefault="00263AC1" w:rsidP="00C367B5">
            <w:r>
              <w:t>EC</w:t>
            </w:r>
          </w:p>
        </w:tc>
        <w:tc>
          <w:tcPr>
            <w:tcW w:w="5954" w:type="dxa"/>
          </w:tcPr>
          <w:p w14:paraId="32071B91" w14:textId="7CA0211C" w:rsidR="00F24286" w:rsidRDefault="00263AC1" w:rsidP="00C367B5">
            <w:pPr>
              <w:cnfStyle w:val="000000000000" w:firstRow="0" w:lastRow="0" w:firstColumn="0" w:lastColumn="0" w:oddVBand="0" w:evenVBand="0" w:oddHBand="0" w:evenHBand="0" w:firstRowFirstColumn="0" w:firstRowLastColumn="0" w:lastRowFirstColumn="0" w:lastRowLastColumn="0"/>
            </w:pPr>
            <w:r>
              <w:t>European Commission</w:t>
            </w:r>
            <w:r w:rsidR="00174383">
              <w:t xml:space="preserve">, the European Union’s </w:t>
            </w:r>
            <w:proofErr w:type="gramStart"/>
            <w:r w:rsidR="00174383">
              <w:t>politically-independent</w:t>
            </w:r>
            <w:proofErr w:type="gramEnd"/>
            <w:r w:rsidR="00174383">
              <w:t xml:space="preserve"> executive arm</w:t>
            </w:r>
          </w:p>
        </w:tc>
      </w:tr>
      <w:tr w:rsidR="00F24286" w14:paraId="6EF30C4A"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093BA02" w14:textId="4A29DA2A" w:rsidR="00F24286" w:rsidRDefault="00263AC1" w:rsidP="00C367B5">
            <w:r>
              <w:t>ECHA</w:t>
            </w:r>
          </w:p>
        </w:tc>
        <w:tc>
          <w:tcPr>
            <w:tcW w:w="5954" w:type="dxa"/>
          </w:tcPr>
          <w:p w14:paraId="7E53C680" w14:textId="7CFD39D7" w:rsidR="00F24286" w:rsidRDefault="00263AC1" w:rsidP="00C367B5">
            <w:pPr>
              <w:cnfStyle w:val="000000010000" w:firstRow="0" w:lastRow="0" w:firstColumn="0" w:lastColumn="0" w:oddVBand="0" w:evenVBand="0" w:oddHBand="0" w:evenHBand="1" w:firstRowFirstColumn="0" w:firstRowLastColumn="0" w:lastRowFirstColumn="0" w:lastRowLastColumn="0"/>
            </w:pPr>
            <w:r>
              <w:t>European Chemicals Agency</w:t>
            </w:r>
            <w:r w:rsidR="00174383">
              <w:t>, an EU regulatory agency</w:t>
            </w:r>
          </w:p>
        </w:tc>
      </w:tr>
      <w:tr w:rsidR="00231A7F" w14:paraId="087FC6B6"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6FA7CC99" w14:textId="583F3C8F" w:rsidR="00231A7F" w:rsidRDefault="00231A7F" w:rsidP="00231A7F">
            <w:r>
              <w:t>EFSA</w:t>
            </w:r>
          </w:p>
        </w:tc>
        <w:tc>
          <w:tcPr>
            <w:tcW w:w="5954" w:type="dxa"/>
          </w:tcPr>
          <w:p w14:paraId="1360ED64" w14:textId="0D03130B" w:rsidR="00231A7F" w:rsidRDefault="00231A7F" w:rsidP="00231A7F">
            <w:pPr>
              <w:cnfStyle w:val="000000000000" w:firstRow="0" w:lastRow="0" w:firstColumn="0" w:lastColumn="0" w:oddVBand="0" w:evenVBand="0" w:oddHBand="0" w:evenHBand="0" w:firstRowFirstColumn="0" w:firstRowLastColumn="0" w:lastRowFirstColumn="0" w:lastRowLastColumn="0"/>
            </w:pPr>
            <w:r>
              <w:t>European Food Safety Authority, an independent agency funded by the EU</w:t>
            </w:r>
          </w:p>
        </w:tc>
      </w:tr>
      <w:tr w:rsidR="00231A7F" w14:paraId="2C89440B"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E4EBD7E" w14:textId="7E23B5EC" w:rsidR="00231A7F" w:rsidRDefault="00231A7F" w:rsidP="00231A7F">
            <w:proofErr w:type="spellStart"/>
            <w:r>
              <w:t>Eftec</w:t>
            </w:r>
            <w:proofErr w:type="spellEnd"/>
          </w:p>
        </w:tc>
        <w:tc>
          <w:tcPr>
            <w:tcW w:w="5954" w:type="dxa"/>
          </w:tcPr>
          <w:p w14:paraId="1DC869A3" w14:textId="2EC65F55" w:rsidR="00231A7F" w:rsidRDefault="00231A7F" w:rsidP="00231A7F">
            <w:pPr>
              <w:cnfStyle w:val="000000010000" w:firstRow="0" w:lastRow="0" w:firstColumn="0" w:lastColumn="0" w:oddVBand="0" w:evenVBand="0" w:oddHBand="0" w:evenHBand="1" w:firstRowFirstColumn="0" w:firstRowLastColumn="0" w:lastRowFirstColumn="0" w:lastRowLastColumn="0"/>
            </w:pPr>
            <w:r>
              <w:t>Economics for the Environment Consultancy</w:t>
            </w:r>
          </w:p>
        </w:tc>
      </w:tr>
      <w:tr w:rsidR="00F24286" w14:paraId="356FAEA8"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D2B7362" w14:textId="481E6D2E" w:rsidR="00F24286" w:rsidRDefault="00A2042B" w:rsidP="00C367B5">
            <w:r>
              <w:t>ELV</w:t>
            </w:r>
          </w:p>
        </w:tc>
        <w:tc>
          <w:tcPr>
            <w:tcW w:w="5954" w:type="dxa"/>
          </w:tcPr>
          <w:p w14:paraId="06F6643A" w14:textId="293A209C" w:rsidR="00F24286" w:rsidRDefault="00A2042B" w:rsidP="00C367B5">
            <w:pPr>
              <w:cnfStyle w:val="000000000000" w:firstRow="0" w:lastRow="0" w:firstColumn="0" w:lastColumn="0" w:oddVBand="0" w:evenVBand="0" w:oddHBand="0" w:evenHBand="0" w:firstRowFirstColumn="0" w:firstRowLastColumn="0" w:lastRowFirstColumn="0" w:lastRowLastColumn="0"/>
            </w:pPr>
            <w:r>
              <w:t>Emission limit value</w:t>
            </w:r>
          </w:p>
        </w:tc>
      </w:tr>
      <w:tr w:rsidR="00F24286" w14:paraId="2193DB92"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88C359B" w14:textId="2E90DC96" w:rsidR="00F24286" w:rsidRDefault="00A2042B" w:rsidP="00C367B5">
            <w:r>
              <w:t>ELV</w:t>
            </w:r>
          </w:p>
        </w:tc>
        <w:tc>
          <w:tcPr>
            <w:tcW w:w="5954" w:type="dxa"/>
          </w:tcPr>
          <w:p w14:paraId="55F1353A" w14:textId="7602FBD6" w:rsidR="00F24286" w:rsidRDefault="00A2042B" w:rsidP="00C367B5">
            <w:pPr>
              <w:cnfStyle w:val="000000010000" w:firstRow="0" w:lastRow="0" w:firstColumn="0" w:lastColumn="0" w:oddVBand="0" w:evenVBand="0" w:oddHBand="0" w:evenHBand="1" w:firstRowFirstColumn="0" w:firstRowLastColumn="0" w:lastRowFirstColumn="0" w:lastRowLastColumn="0"/>
            </w:pPr>
            <w:r>
              <w:t>End-of-</w:t>
            </w:r>
            <w:r w:rsidR="007822A8">
              <w:t>L</w:t>
            </w:r>
            <w:r>
              <w:t>ife vehicle</w:t>
            </w:r>
          </w:p>
        </w:tc>
      </w:tr>
      <w:tr w:rsidR="00F24286" w14:paraId="20ED2249"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3F85B0B" w14:textId="0778A0BF" w:rsidR="00F24286" w:rsidRDefault="00A2042B" w:rsidP="00C367B5">
            <w:r>
              <w:t>EMEP</w:t>
            </w:r>
          </w:p>
        </w:tc>
        <w:tc>
          <w:tcPr>
            <w:tcW w:w="5954" w:type="dxa"/>
          </w:tcPr>
          <w:p w14:paraId="59C97728" w14:textId="66264337" w:rsidR="00F24286" w:rsidRDefault="00A2042B" w:rsidP="00C367B5">
            <w:pPr>
              <w:cnfStyle w:val="000000000000" w:firstRow="0" w:lastRow="0" w:firstColumn="0" w:lastColumn="0" w:oddVBand="0" w:evenVBand="0" w:oddHBand="0" w:evenHBand="0" w:firstRowFirstColumn="0" w:firstRowLastColumn="0" w:lastRowFirstColumn="0" w:lastRowLastColumn="0"/>
            </w:pPr>
            <w:r>
              <w:t>European Monitoring &amp; Evaluation Programme</w:t>
            </w:r>
            <w:r w:rsidR="00B663E3">
              <w:t xml:space="preserve">, a cooperative programme for monitoring and evaluation </w:t>
            </w:r>
            <w:r w:rsidR="00B663E3">
              <w:lastRenderedPageBreak/>
              <w:t>for the long-range transmission of air pollutants in Europe</w:t>
            </w:r>
          </w:p>
        </w:tc>
      </w:tr>
      <w:tr w:rsidR="00F24286" w14:paraId="2D902CCF"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448FB73" w14:textId="752A96BF" w:rsidR="00F24286" w:rsidRDefault="00A2042B" w:rsidP="00C367B5">
            <w:r>
              <w:lastRenderedPageBreak/>
              <w:t>EPA</w:t>
            </w:r>
          </w:p>
        </w:tc>
        <w:tc>
          <w:tcPr>
            <w:tcW w:w="5954" w:type="dxa"/>
          </w:tcPr>
          <w:p w14:paraId="3EE335B5" w14:textId="7926CBD3" w:rsidR="00F24286" w:rsidRDefault="00A2042B" w:rsidP="00C367B5">
            <w:pPr>
              <w:cnfStyle w:val="000000010000" w:firstRow="0" w:lastRow="0" w:firstColumn="0" w:lastColumn="0" w:oddVBand="0" w:evenVBand="0" w:oddHBand="0" w:evenHBand="1" w:firstRowFirstColumn="0" w:firstRowLastColumn="0" w:lastRowFirstColumn="0" w:lastRowLastColumn="0"/>
            </w:pPr>
            <w:r>
              <w:t>Environmental Protection Act</w:t>
            </w:r>
            <w:r w:rsidR="00B663E3">
              <w:t xml:space="preserve"> 1990, an act of the UK Parliament that defines the structure and authority of waste management and control of emissions to the environment</w:t>
            </w:r>
          </w:p>
        </w:tc>
      </w:tr>
      <w:tr w:rsidR="00F24286" w14:paraId="74337B42"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0F13C2B1" w14:textId="7A189A9F" w:rsidR="00F24286" w:rsidRDefault="00A2042B" w:rsidP="00C367B5">
            <w:r>
              <w:t>E</w:t>
            </w:r>
            <w:r w:rsidR="003F2B7D">
              <w:t>-</w:t>
            </w:r>
            <w:r>
              <w:t>PRTR</w:t>
            </w:r>
          </w:p>
        </w:tc>
        <w:tc>
          <w:tcPr>
            <w:tcW w:w="5954" w:type="dxa"/>
          </w:tcPr>
          <w:p w14:paraId="0420AA57" w14:textId="79E3AE79" w:rsidR="00F24286" w:rsidRDefault="00A2042B" w:rsidP="00C367B5">
            <w:pPr>
              <w:cnfStyle w:val="000000000000" w:firstRow="0" w:lastRow="0" w:firstColumn="0" w:lastColumn="0" w:oddVBand="0" w:evenVBand="0" w:oddHBand="0" w:evenHBand="0" w:firstRowFirstColumn="0" w:firstRowLastColumn="0" w:lastRowFirstColumn="0" w:lastRowLastColumn="0"/>
            </w:pPr>
            <w:r>
              <w:t xml:space="preserve">European Pollutant Release and Transfer Register, </w:t>
            </w:r>
            <w:r w:rsidR="003F2B7D">
              <w:t>a Europe-wide register that provides key environmental data from industrial facilities in EU member states and some non-EU countries</w:t>
            </w:r>
          </w:p>
        </w:tc>
      </w:tr>
      <w:tr w:rsidR="00F24286" w14:paraId="6895049D"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60C80E5" w14:textId="3D01C761" w:rsidR="00F24286" w:rsidRDefault="00A2042B" w:rsidP="00C367B5">
            <w:r>
              <w:t>EQS</w:t>
            </w:r>
          </w:p>
        </w:tc>
        <w:tc>
          <w:tcPr>
            <w:tcW w:w="5954" w:type="dxa"/>
          </w:tcPr>
          <w:p w14:paraId="58B9BD03" w14:textId="49AE4D41" w:rsidR="00F24286" w:rsidRDefault="00A2042B" w:rsidP="00C367B5">
            <w:pPr>
              <w:cnfStyle w:val="000000010000" w:firstRow="0" w:lastRow="0" w:firstColumn="0" w:lastColumn="0" w:oddVBand="0" w:evenVBand="0" w:oddHBand="0" w:evenHBand="1" w:firstRowFirstColumn="0" w:firstRowLastColumn="0" w:lastRowFirstColumn="0" w:lastRowLastColumn="0"/>
            </w:pPr>
            <w:r>
              <w:t xml:space="preserve">Environmental </w:t>
            </w:r>
            <w:r w:rsidR="00614B40">
              <w:t>Q</w:t>
            </w:r>
            <w:r>
              <w:t xml:space="preserve">uality </w:t>
            </w:r>
            <w:r w:rsidR="00614B40">
              <w:t>S</w:t>
            </w:r>
            <w:r>
              <w:t>tandard</w:t>
            </w:r>
            <w:r w:rsidR="00862514">
              <w:t xml:space="preserve">, a general concept for standards that when set in legislation, provide legally binding limits for concentrations of individual substances </w:t>
            </w:r>
          </w:p>
        </w:tc>
      </w:tr>
      <w:tr w:rsidR="00F24286" w14:paraId="22CF60FE"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7DEE3C9" w14:textId="12945BED" w:rsidR="00F24286" w:rsidRDefault="00A2042B" w:rsidP="00C367B5">
            <w:r>
              <w:t>EU</w:t>
            </w:r>
          </w:p>
        </w:tc>
        <w:tc>
          <w:tcPr>
            <w:tcW w:w="5954" w:type="dxa"/>
          </w:tcPr>
          <w:p w14:paraId="7CD56D4F" w14:textId="6EBD5368" w:rsidR="00F24286" w:rsidRDefault="00A2042B" w:rsidP="00C367B5">
            <w:pPr>
              <w:cnfStyle w:val="000000000000" w:firstRow="0" w:lastRow="0" w:firstColumn="0" w:lastColumn="0" w:oddVBand="0" w:evenVBand="0" w:oddHBand="0" w:evenHBand="0" w:firstRowFirstColumn="0" w:firstRowLastColumn="0" w:lastRowFirstColumn="0" w:lastRowLastColumn="0"/>
            </w:pPr>
            <w:r>
              <w:t>European Union</w:t>
            </w:r>
            <w:r w:rsidR="00862514">
              <w:t>, a political and economic union of 27 member states in Europe</w:t>
            </w:r>
          </w:p>
        </w:tc>
      </w:tr>
      <w:tr w:rsidR="00231A7F" w14:paraId="7E192E47"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0682183" w14:textId="3BBDCF3A" w:rsidR="00231A7F" w:rsidRDefault="00231A7F" w:rsidP="00231A7F">
            <w:proofErr w:type="spellStart"/>
            <w:r>
              <w:t>Fera</w:t>
            </w:r>
            <w:proofErr w:type="spellEnd"/>
          </w:p>
        </w:tc>
        <w:tc>
          <w:tcPr>
            <w:tcW w:w="5954" w:type="dxa"/>
          </w:tcPr>
          <w:p w14:paraId="15DA9880" w14:textId="7BC3B750" w:rsidR="00231A7F" w:rsidRDefault="00231A7F" w:rsidP="00231A7F">
            <w:pPr>
              <w:cnfStyle w:val="000000010000" w:firstRow="0" w:lastRow="0" w:firstColumn="0" w:lastColumn="0" w:oddVBand="0" w:evenVBand="0" w:oddHBand="0" w:evenHBand="1" w:firstRowFirstColumn="0" w:firstRowLastColumn="0" w:lastRowFirstColumn="0" w:lastRowLastColumn="0"/>
            </w:pPr>
            <w:proofErr w:type="spellStart"/>
            <w:r>
              <w:t>Fera</w:t>
            </w:r>
            <w:proofErr w:type="spellEnd"/>
            <w:r>
              <w:t xml:space="preserve"> Science Ltd. N</w:t>
            </w:r>
            <w:r w:rsidRPr="00D72909">
              <w:t>ational and international centre for interdisciplinary investigation and problem solving across plant and bee health, crop protection, sustainable agriculture, food and feed quality and chemical safety in the environment.</w:t>
            </w:r>
          </w:p>
        </w:tc>
      </w:tr>
      <w:tr w:rsidR="00231A7F" w14:paraId="7088370D"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2C5D42FD" w14:textId="7C68FE9D" w:rsidR="00231A7F" w:rsidRDefault="00231A7F" w:rsidP="00231A7F">
            <w:r>
              <w:t>FFF</w:t>
            </w:r>
          </w:p>
        </w:tc>
        <w:tc>
          <w:tcPr>
            <w:tcW w:w="5954" w:type="dxa"/>
          </w:tcPr>
          <w:p w14:paraId="10DFB0A4" w14:textId="69C8463C" w:rsidR="00231A7F" w:rsidRDefault="00231A7F" w:rsidP="00231A7F">
            <w:pPr>
              <w:cnfStyle w:val="000000000000" w:firstRow="0" w:lastRow="0" w:firstColumn="0" w:lastColumn="0" w:oddVBand="0" w:evenVBand="0" w:oddHBand="0" w:evenHBand="0" w:firstRowFirstColumn="0" w:firstRowLastColumn="0" w:lastRowFirstColumn="0" w:lastRowLastColumn="0"/>
            </w:pPr>
            <w:proofErr w:type="spellStart"/>
            <w:r>
              <w:t>Fire fighting</w:t>
            </w:r>
            <w:proofErr w:type="spellEnd"/>
            <w:r>
              <w:t xml:space="preserve"> foams</w:t>
            </w:r>
          </w:p>
        </w:tc>
      </w:tr>
      <w:tr w:rsidR="00231A7F" w14:paraId="0532208A"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075FA63" w14:textId="5BF45854" w:rsidR="00231A7F" w:rsidRDefault="00231A7F" w:rsidP="00231A7F">
            <w:r>
              <w:t>FPD</w:t>
            </w:r>
          </w:p>
        </w:tc>
        <w:tc>
          <w:tcPr>
            <w:tcW w:w="5954" w:type="dxa"/>
          </w:tcPr>
          <w:p w14:paraId="491351B3" w14:textId="22DC63A9" w:rsidR="00231A7F" w:rsidRDefault="00231A7F" w:rsidP="00231A7F">
            <w:pPr>
              <w:cnfStyle w:val="000000010000" w:firstRow="0" w:lastRow="0" w:firstColumn="0" w:lastColumn="0" w:oddVBand="0" w:evenVBand="0" w:oddHBand="0" w:evenHBand="1" w:firstRowFirstColumn="0" w:firstRowLastColumn="0" w:lastRowFirstColumn="0" w:lastRowLastColumn="0"/>
            </w:pPr>
            <w:r>
              <w:t>Flat panel display</w:t>
            </w:r>
          </w:p>
        </w:tc>
      </w:tr>
      <w:tr w:rsidR="00F24286" w14:paraId="12B98AC4"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08C8BC54" w14:textId="66AE10F2" w:rsidR="00F24286" w:rsidRDefault="00A2042B" w:rsidP="00C367B5">
            <w:r>
              <w:t>FSA</w:t>
            </w:r>
          </w:p>
        </w:tc>
        <w:tc>
          <w:tcPr>
            <w:tcW w:w="5954" w:type="dxa"/>
          </w:tcPr>
          <w:p w14:paraId="17EDA401" w14:textId="0099BCE9" w:rsidR="00F24286" w:rsidRDefault="00A2042B" w:rsidP="00C367B5">
            <w:pPr>
              <w:cnfStyle w:val="000000000000" w:firstRow="0" w:lastRow="0" w:firstColumn="0" w:lastColumn="0" w:oddVBand="0" w:evenVBand="0" w:oddHBand="0" w:evenHBand="0" w:firstRowFirstColumn="0" w:firstRowLastColumn="0" w:lastRowFirstColumn="0" w:lastRowLastColumn="0"/>
            </w:pPr>
            <w:r>
              <w:t>Food Standards Agency</w:t>
            </w:r>
            <w:r w:rsidR="00862514">
              <w:t xml:space="preserve">, </w:t>
            </w:r>
            <w:proofErr w:type="gramStart"/>
            <w:r w:rsidR="00862514">
              <w:t>a  non</w:t>
            </w:r>
            <w:proofErr w:type="gramEnd"/>
            <w:r w:rsidR="00862514">
              <w:t>-ministerial government department responsible for food safety and food hygiene</w:t>
            </w:r>
            <w:r w:rsidR="00231A7F">
              <w:t xml:space="preserve"> in England, Wales and Northern Ireland</w:t>
            </w:r>
          </w:p>
        </w:tc>
      </w:tr>
      <w:tr w:rsidR="00231A7F" w14:paraId="6A58A05B"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D5143E0" w14:textId="5D71DBEF" w:rsidR="00231A7F" w:rsidRDefault="00231A7F" w:rsidP="00231A7F">
            <w:r>
              <w:t>FSS</w:t>
            </w:r>
          </w:p>
        </w:tc>
        <w:tc>
          <w:tcPr>
            <w:tcW w:w="5954" w:type="dxa"/>
          </w:tcPr>
          <w:p w14:paraId="21A5A286" w14:textId="74A94CBB" w:rsidR="00231A7F" w:rsidRDefault="00231A7F" w:rsidP="00231A7F">
            <w:pPr>
              <w:cnfStyle w:val="000000010000" w:firstRow="0" w:lastRow="0" w:firstColumn="0" w:lastColumn="0" w:oddVBand="0" w:evenVBand="0" w:oddHBand="0" w:evenHBand="1" w:firstRowFirstColumn="0" w:firstRowLastColumn="0" w:lastRowFirstColumn="0" w:lastRowLastColumn="0"/>
            </w:pPr>
            <w:r>
              <w:t>Food Standards Scotland, the public sector food standards body for Scotland</w:t>
            </w:r>
          </w:p>
        </w:tc>
      </w:tr>
      <w:tr w:rsidR="008D2A0B" w14:paraId="25CA81C9"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4ACDF9D3" w14:textId="452F9D9B" w:rsidR="008D2A0B" w:rsidRDefault="008D2A0B" w:rsidP="00231A7F">
            <w:r>
              <w:t>GB</w:t>
            </w:r>
          </w:p>
        </w:tc>
        <w:tc>
          <w:tcPr>
            <w:tcW w:w="5954" w:type="dxa"/>
          </w:tcPr>
          <w:p w14:paraId="5AF5E120" w14:textId="4465DA31" w:rsidR="008D2A0B" w:rsidRDefault="008D2A0B" w:rsidP="00231A7F">
            <w:pPr>
              <w:cnfStyle w:val="000000000000" w:firstRow="0" w:lastRow="0" w:firstColumn="0" w:lastColumn="0" w:oddVBand="0" w:evenVBand="0" w:oddHBand="0" w:evenHBand="0" w:firstRowFirstColumn="0" w:firstRowLastColumn="0" w:lastRowFirstColumn="0" w:lastRowLastColumn="0"/>
            </w:pPr>
            <w:r>
              <w:t>Great Britain.  The countries of England, Wales and Scotland</w:t>
            </w:r>
          </w:p>
        </w:tc>
      </w:tr>
      <w:tr w:rsidR="00231A7F" w14:paraId="5AE6FF28"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627F20B" w14:textId="0C62F92E" w:rsidR="00231A7F" w:rsidRDefault="00231A7F" w:rsidP="00231A7F">
            <w:r>
              <w:t>GC-MS</w:t>
            </w:r>
          </w:p>
        </w:tc>
        <w:tc>
          <w:tcPr>
            <w:tcW w:w="5954" w:type="dxa"/>
          </w:tcPr>
          <w:p w14:paraId="257D81BD" w14:textId="2C377DF1" w:rsidR="00231A7F" w:rsidRDefault="00231A7F" w:rsidP="00231A7F">
            <w:pPr>
              <w:cnfStyle w:val="000000010000" w:firstRow="0" w:lastRow="0" w:firstColumn="0" w:lastColumn="0" w:oddVBand="0" w:evenVBand="0" w:oddHBand="0" w:evenHBand="1" w:firstRowFirstColumn="0" w:firstRowLastColumn="0" w:lastRowFirstColumn="0" w:lastRowLastColumn="0"/>
            </w:pPr>
            <w:r>
              <w:t>Gas Chromatography- Mass Spectrometry</w:t>
            </w:r>
          </w:p>
        </w:tc>
      </w:tr>
      <w:tr w:rsidR="00F24286" w14:paraId="26E24725"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30D30DB" w14:textId="08304EEF" w:rsidR="00F24286" w:rsidRDefault="004237C4" w:rsidP="00C367B5">
            <w:r>
              <w:lastRenderedPageBreak/>
              <w:t>GEF</w:t>
            </w:r>
          </w:p>
        </w:tc>
        <w:tc>
          <w:tcPr>
            <w:tcW w:w="5954" w:type="dxa"/>
          </w:tcPr>
          <w:p w14:paraId="5C182F7A" w14:textId="47AB5DF4" w:rsidR="00F24286" w:rsidRDefault="004237C4" w:rsidP="00C367B5">
            <w:pPr>
              <w:cnfStyle w:val="000000000000" w:firstRow="0" w:lastRow="0" w:firstColumn="0" w:lastColumn="0" w:oddVBand="0" w:evenVBand="0" w:oddHBand="0" w:evenHBand="0" w:firstRowFirstColumn="0" w:firstRowLastColumn="0" w:lastRowFirstColumn="0" w:lastRowLastColumn="0"/>
            </w:pPr>
            <w:r>
              <w:t>Global Environment Facility</w:t>
            </w:r>
            <w:r w:rsidR="00862514">
              <w:t>, a global partnership that addresses global environmental issues and supports sustainable development initiatives</w:t>
            </w:r>
          </w:p>
        </w:tc>
      </w:tr>
      <w:tr w:rsidR="00F62C49" w14:paraId="1F5BF607"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14A6BA4" w14:textId="39607BE4" w:rsidR="00F62C49" w:rsidRDefault="00307112" w:rsidP="00C367B5">
            <w:r>
              <w:t>GES</w:t>
            </w:r>
          </w:p>
        </w:tc>
        <w:tc>
          <w:tcPr>
            <w:tcW w:w="5954" w:type="dxa"/>
          </w:tcPr>
          <w:p w14:paraId="2F104CB8" w14:textId="164F2359" w:rsidR="00F62C49" w:rsidRDefault="00307112" w:rsidP="00C367B5">
            <w:pPr>
              <w:cnfStyle w:val="000000010000" w:firstRow="0" w:lastRow="0" w:firstColumn="0" w:lastColumn="0" w:oddVBand="0" w:evenVBand="0" w:oddHBand="0" w:evenHBand="1" w:firstRowFirstColumn="0" w:firstRowLastColumn="0" w:lastRowFirstColumn="0" w:lastRowLastColumn="0"/>
            </w:pPr>
            <w:r>
              <w:t>Good Environmental Status</w:t>
            </w:r>
          </w:p>
        </w:tc>
      </w:tr>
      <w:tr w:rsidR="00F24286" w14:paraId="26767E11"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1D01887" w14:textId="17096C06" w:rsidR="00F24286" w:rsidRDefault="004237C4" w:rsidP="00C367B5">
            <w:r>
              <w:t>HBCDD</w:t>
            </w:r>
          </w:p>
        </w:tc>
        <w:tc>
          <w:tcPr>
            <w:tcW w:w="5954" w:type="dxa"/>
          </w:tcPr>
          <w:p w14:paraId="3749D4D3" w14:textId="3ED682F7" w:rsidR="00F24286" w:rsidRDefault="004237C4" w:rsidP="00C367B5">
            <w:pPr>
              <w:cnfStyle w:val="000000000000" w:firstRow="0" w:lastRow="0" w:firstColumn="0" w:lastColumn="0" w:oddVBand="0" w:evenVBand="0" w:oddHBand="0" w:evenHBand="0" w:firstRowFirstColumn="0" w:firstRowLastColumn="0" w:lastRowFirstColumn="0" w:lastRowLastColumn="0"/>
            </w:pPr>
            <w:r>
              <w:t>Hexabromocyclododecane</w:t>
            </w:r>
          </w:p>
        </w:tc>
      </w:tr>
      <w:tr w:rsidR="00F24286" w14:paraId="70DCAE51"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ACF1CBB" w14:textId="683ADE3B" w:rsidR="00F24286" w:rsidRDefault="004237C4" w:rsidP="00C367B5">
            <w:r>
              <w:t>HCB</w:t>
            </w:r>
          </w:p>
        </w:tc>
        <w:tc>
          <w:tcPr>
            <w:tcW w:w="5954" w:type="dxa"/>
          </w:tcPr>
          <w:p w14:paraId="668E0181" w14:textId="466B1B17" w:rsidR="00F24286" w:rsidRDefault="004237C4" w:rsidP="00C367B5">
            <w:pPr>
              <w:cnfStyle w:val="000000010000" w:firstRow="0" w:lastRow="0" w:firstColumn="0" w:lastColumn="0" w:oddVBand="0" w:evenVBand="0" w:oddHBand="0" w:evenHBand="1" w:firstRowFirstColumn="0" w:firstRowLastColumn="0" w:lastRowFirstColumn="0" w:lastRowLastColumn="0"/>
            </w:pPr>
            <w:r>
              <w:t>Hexachlorobenzene</w:t>
            </w:r>
          </w:p>
        </w:tc>
      </w:tr>
      <w:tr w:rsidR="00F24286" w14:paraId="60B553CB"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D184E50" w14:textId="59A3935A" w:rsidR="00F24286" w:rsidRDefault="004237C4" w:rsidP="00C367B5">
            <w:r>
              <w:t>HCBD</w:t>
            </w:r>
          </w:p>
        </w:tc>
        <w:tc>
          <w:tcPr>
            <w:tcW w:w="5954" w:type="dxa"/>
          </w:tcPr>
          <w:p w14:paraId="08813AB1" w14:textId="15FB27A3" w:rsidR="00F24286" w:rsidRDefault="004237C4" w:rsidP="00C367B5">
            <w:pPr>
              <w:cnfStyle w:val="000000000000" w:firstRow="0" w:lastRow="0" w:firstColumn="0" w:lastColumn="0" w:oddVBand="0" w:evenVBand="0" w:oddHBand="0" w:evenHBand="0" w:firstRowFirstColumn="0" w:firstRowLastColumn="0" w:lastRowFirstColumn="0" w:lastRowLastColumn="0"/>
            </w:pPr>
            <w:r>
              <w:t>Hexachlorobutadiene</w:t>
            </w:r>
          </w:p>
        </w:tc>
      </w:tr>
      <w:tr w:rsidR="00F24286" w14:paraId="06D5B430"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75C7521" w14:textId="0BC68193" w:rsidR="00F24286" w:rsidRDefault="004237C4" w:rsidP="00C367B5">
            <w:r>
              <w:t>HCE</w:t>
            </w:r>
          </w:p>
        </w:tc>
        <w:tc>
          <w:tcPr>
            <w:tcW w:w="5954" w:type="dxa"/>
          </w:tcPr>
          <w:p w14:paraId="2106396C" w14:textId="5F2C495E" w:rsidR="00F24286" w:rsidRDefault="004237C4" w:rsidP="00C367B5">
            <w:pPr>
              <w:cnfStyle w:val="000000010000" w:firstRow="0" w:lastRow="0" w:firstColumn="0" w:lastColumn="0" w:oddVBand="0" w:evenVBand="0" w:oddHBand="0" w:evenHBand="1" w:firstRowFirstColumn="0" w:firstRowLastColumn="0" w:lastRowFirstColumn="0" w:lastRowLastColumn="0"/>
            </w:pPr>
            <w:r>
              <w:t>Hexachloroethane</w:t>
            </w:r>
          </w:p>
        </w:tc>
      </w:tr>
      <w:tr w:rsidR="00F24286" w14:paraId="4F286F35"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4F6E41A5" w14:textId="703975F3" w:rsidR="00F24286" w:rsidRDefault="004237C4" w:rsidP="00C367B5">
            <w:r>
              <w:t>HCH</w:t>
            </w:r>
          </w:p>
        </w:tc>
        <w:tc>
          <w:tcPr>
            <w:tcW w:w="5954" w:type="dxa"/>
          </w:tcPr>
          <w:p w14:paraId="53D93739" w14:textId="41077AFB" w:rsidR="00F24286" w:rsidRDefault="004237C4" w:rsidP="00C367B5">
            <w:pPr>
              <w:cnfStyle w:val="000000000000" w:firstRow="0" w:lastRow="0" w:firstColumn="0" w:lastColumn="0" w:oddVBand="0" w:evenVBand="0" w:oddHBand="0" w:evenHBand="0" w:firstRowFirstColumn="0" w:firstRowLastColumn="0" w:lastRowFirstColumn="0" w:lastRowLastColumn="0"/>
            </w:pPr>
            <w:r>
              <w:t>Hexachlorocyclohexane</w:t>
            </w:r>
          </w:p>
        </w:tc>
      </w:tr>
      <w:tr w:rsidR="00231A7F" w14:paraId="2E645D65"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0E0C591" w14:textId="4408A980" w:rsidR="00231A7F" w:rsidRDefault="00231A7F" w:rsidP="00231A7F">
            <w:r>
              <w:t>HMRC</w:t>
            </w:r>
          </w:p>
        </w:tc>
        <w:tc>
          <w:tcPr>
            <w:tcW w:w="5954" w:type="dxa"/>
          </w:tcPr>
          <w:p w14:paraId="4A07F58F" w14:textId="1B5B75BC" w:rsidR="00231A7F" w:rsidRDefault="00231A7F" w:rsidP="00231A7F">
            <w:pPr>
              <w:cnfStyle w:val="000000010000" w:firstRow="0" w:lastRow="0" w:firstColumn="0" w:lastColumn="0" w:oddVBand="0" w:evenVBand="0" w:oddHBand="0" w:evenHBand="1" w:firstRowFirstColumn="0" w:firstRowLastColumn="0" w:lastRowFirstColumn="0" w:lastRowLastColumn="0"/>
            </w:pPr>
            <w:r>
              <w:t>Her Majesty’s Revenue and Customs, a non-ministerial department of the UK Government</w:t>
            </w:r>
          </w:p>
        </w:tc>
      </w:tr>
      <w:tr w:rsidR="00F24286" w14:paraId="6E4DF3B6"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D3F1480" w14:textId="4CD60BF3" w:rsidR="00F24286" w:rsidRDefault="004237C4" w:rsidP="00C367B5">
            <w:r>
              <w:t>HSE</w:t>
            </w:r>
          </w:p>
        </w:tc>
        <w:tc>
          <w:tcPr>
            <w:tcW w:w="5954" w:type="dxa"/>
          </w:tcPr>
          <w:p w14:paraId="580260F1" w14:textId="38E0A3A9" w:rsidR="00F24286" w:rsidRDefault="24A9CECD" w:rsidP="00C367B5">
            <w:pPr>
              <w:cnfStyle w:val="000000000000" w:firstRow="0" w:lastRow="0" w:firstColumn="0" w:lastColumn="0" w:oddVBand="0" w:evenVBand="0" w:oddHBand="0" w:evenHBand="0" w:firstRowFirstColumn="0" w:firstRowLastColumn="0" w:lastRowFirstColumn="0" w:lastRowLastColumn="0"/>
            </w:pPr>
            <w:r>
              <w:t>Health and Safety Executive</w:t>
            </w:r>
            <w:r w:rsidR="573E0E27">
              <w:t xml:space="preserve">, an executive non-departmental public body sponsored by Department for Work and Pensions, and is the UK’s </w:t>
            </w:r>
            <w:r w:rsidR="00F96DF6">
              <w:t>chemical</w:t>
            </w:r>
            <w:r w:rsidR="00647600">
              <w:t xml:space="preserve"> agency</w:t>
            </w:r>
          </w:p>
        </w:tc>
      </w:tr>
      <w:tr w:rsidR="00231A7F" w14:paraId="47426195"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D535B8F" w14:textId="6F91ECDE" w:rsidR="00231A7F" w:rsidRDefault="00231A7F" w:rsidP="00231A7F">
            <w:r>
              <w:t>HSENI</w:t>
            </w:r>
          </w:p>
        </w:tc>
        <w:tc>
          <w:tcPr>
            <w:tcW w:w="5954" w:type="dxa"/>
          </w:tcPr>
          <w:p w14:paraId="61EC749C" w14:textId="5D45602C" w:rsidR="00231A7F" w:rsidRDefault="00231A7F" w:rsidP="00231A7F">
            <w:pPr>
              <w:cnfStyle w:val="000000010000" w:firstRow="0" w:lastRow="0" w:firstColumn="0" w:lastColumn="0" w:oddVBand="0" w:evenVBand="0" w:oddHBand="0" w:evenHBand="1" w:firstRowFirstColumn="0" w:firstRowLastColumn="0" w:lastRowFirstColumn="0" w:lastRowLastColumn="0"/>
            </w:pPr>
            <w:r>
              <w:t>The Health and Safety Executive for Northern Ireland, an executive non-departmental public body sponsored by the Department for the Economy</w:t>
            </w:r>
          </w:p>
        </w:tc>
      </w:tr>
      <w:tr w:rsidR="00231A7F" w14:paraId="31A85C9B"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311C3E78" w14:textId="53215F4A" w:rsidR="00231A7F" w:rsidRDefault="00231A7F" w:rsidP="00231A7F">
            <w:r>
              <w:t>ICER</w:t>
            </w:r>
          </w:p>
        </w:tc>
        <w:tc>
          <w:tcPr>
            <w:tcW w:w="5954" w:type="dxa"/>
          </w:tcPr>
          <w:p w14:paraId="23954C99" w14:textId="294B2C2E" w:rsidR="00231A7F" w:rsidRDefault="00231A7F" w:rsidP="00231A7F">
            <w:pPr>
              <w:cnfStyle w:val="000000000000" w:firstRow="0" w:lastRow="0" w:firstColumn="0" w:lastColumn="0" w:oddVBand="0" w:evenVBand="0" w:oddHBand="0" w:evenHBand="0" w:firstRowFirstColumn="0" w:firstRowLastColumn="0" w:lastRowFirstColumn="0" w:lastRowLastColumn="0"/>
            </w:pPr>
            <w:r>
              <w:t>Industry Council for Electronic Equipment Recycling</w:t>
            </w:r>
          </w:p>
        </w:tc>
      </w:tr>
      <w:tr w:rsidR="00F24286" w14:paraId="04060B66"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78864D2" w14:textId="212D7833" w:rsidR="00F24286" w:rsidRDefault="00101BFF" w:rsidP="00C367B5">
            <w:r>
              <w:t>IED</w:t>
            </w:r>
          </w:p>
        </w:tc>
        <w:tc>
          <w:tcPr>
            <w:tcW w:w="5954" w:type="dxa"/>
          </w:tcPr>
          <w:p w14:paraId="56909737" w14:textId="575E0089" w:rsidR="00F24286" w:rsidRDefault="00101BFF" w:rsidP="00C367B5">
            <w:pPr>
              <w:cnfStyle w:val="000000010000" w:firstRow="0" w:lastRow="0" w:firstColumn="0" w:lastColumn="0" w:oddVBand="0" w:evenVBand="0" w:oddHBand="0" w:evenHBand="1" w:firstRowFirstColumn="0" w:firstRowLastColumn="0" w:lastRowFirstColumn="0" w:lastRowLastColumn="0"/>
            </w:pPr>
            <w:r>
              <w:t>Industrial Emissions Directive</w:t>
            </w:r>
            <w:r w:rsidR="0031280B">
              <w:t>,</w:t>
            </w:r>
            <w:r>
              <w:t xml:space="preserve"> </w:t>
            </w:r>
            <w:r w:rsidR="0031280B">
              <w:t>an EU directive that commits member states to control and reduce the impact of industrial emissions on the environment</w:t>
            </w:r>
          </w:p>
        </w:tc>
      </w:tr>
      <w:tr w:rsidR="00F24286" w14:paraId="44DBCC49"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6F0098A" w14:textId="05243661" w:rsidR="00F24286" w:rsidRDefault="00101BFF" w:rsidP="00C367B5">
            <w:r>
              <w:t>Inter alia</w:t>
            </w:r>
          </w:p>
        </w:tc>
        <w:tc>
          <w:tcPr>
            <w:tcW w:w="5954" w:type="dxa"/>
          </w:tcPr>
          <w:p w14:paraId="71AAE9E4" w14:textId="133BF526" w:rsidR="00F24286" w:rsidRDefault="00101BFF" w:rsidP="00C367B5">
            <w:pPr>
              <w:cnfStyle w:val="000000000000" w:firstRow="0" w:lastRow="0" w:firstColumn="0" w:lastColumn="0" w:oddVBand="0" w:evenVBand="0" w:oddHBand="0" w:evenHBand="0" w:firstRowFirstColumn="0" w:firstRowLastColumn="0" w:lastRowFirstColumn="0" w:lastRowLastColumn="0"/>
            </w:pPr>
            <w:r>
              <w:t>‘among other things’……</w:t>
            </w:r>
          </w:p>
        </w:tc>
      </w:tr>
      <w:tr w:rsidR="00101BFF" w14:paraId="22C34B8B"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BEE1CAF" w14:textId="59393506" w:rsidR="00101BFF" w:rsidRDefault="00101BFF" w:rsidP="00C367B5">
            <w:r>
              <w:t>IPPC</w:t>
            </w:r>
          </w:p>
        </w:tc>
        <w:tc>
          <w:tcPr>
            <w:tcW w:w="5954" w:type="dxa"/>
          </w:tcPr>
          <w:p w14:paraId="58CF4628" w14:textId="4AC55C82" w:rsidR="00101BFF" w:rsidRDefault="00101BFF" w:rsidP="00C367B5">
            <w:pPr>
              <w:cnfStyle w:val="000000010000" w:firstRow="0" w:lastRow="0" w:firstColumn="0" w:lastColumn="0" w:oddVBand="0" w:evenVBand="0" w:oddHBand="0" w:evenHBand="1" w:firstRowFirstColumn="0" w:firstRowLastColumn="0" w:lastRowFirstColumn="0" w:lastRowLastColumn="0"/>
            </w:pPr>
            <w:r>
              <w:t xml:space="preserve">Integrated </w:t>
            </w:r>
            <w:r w:rsidR="0031280B">
              <w:t>P</w:t>
            </w:r>
            <w:r>
              <w:t xml:space="preserve">ollution </w:t>
            </w:r>
            <w:r w:rsidR="0031280B">
              <w:t>P</w:t>
            </w:r>
            <w:r>
              <w:t xml:space="preserve">revention and </w:t>
            </w:r>
            <w:r w:rsidR="0031280B">
              <w:t>C</w:t>
            </w:r>
            <w:r>
              <w:t>ontrol</w:t>
            </w:r>
            <w:r w:rsidR="0031280B">
              <w:t xml:space="preserve">, an EU directive about minimising pollution from industrial sources </w:t>
            </w:r>
          </w:p>
        </w:tc>
      </w:tr>
      <w:tr w:rsidR="00101BFF" w14:paraId="6AD67172"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935D343" w14:textId="3993DBF0" w:rsidR="00101BFF" w:rsidRDefault="00101BFF" w:rsidP="00C367B5">
            <w:r>
              <w:t>Isomer</w:t>
            </w:r>
          </w:p>
        </w:tc>
        <w:tc>
          <w:tcPr>
            <w:tcW w:w="5954" w:type="dxa"/>
          </w:tcPr>
          <w:p w14:paraId="60F67AEB" w14:textId="7CED05CC" w:rsidR="00101BFF" w:rsidRDefault="00FA3C0B" w:rsidP="00C367B5">
            <w:pPr>
              <w:cnfStyle w:val="000000000000" w:firstRow="0" w:lastRow="0" w:firstColumn="0" w:lastColumn="0" w:oddVBand="0" w:evenVBand="0" w:oddHBand="0" w:evenHBand="0" w:firstRowFirstColumn="0" w:firstRowLastColumn="0" w:lastRowFirstColumn="0" w:lastRowLastColumn="0"/>
            </w:pPr>
            <w:r>
              <w:t xml:space="preserve">Isomers are </w:t>
            </w:r>
            <w:r w:rsidR="00101BFF">
              <w:t>chemical</w:t>
            </w:r>
            <w:r>
              <w:t>s</w:t>
            </w:r>
            <w:r w:rsidR="00101BFF">
              <w:t xml:space="preserve"> </w:t>
            </w:r>
            <w:r>
              <w:t xml:space="preserve">with the same number </w:t>
            </w:r>
            <w:r w:rsidR="00101BFF">
              <w:t>and types of atoms as another chemical</w:t>
            </w:r>
            <w:r>
              <w:t xml:space="preserve">s (so have the </w:t>
            </w:r>
            <w:r>
              <w:lastRenderedPageBreak/>
              <w:t>same chemical formula)</w:t>
            </w:r>
            <w:r w:rsidR="00101BFF">
              <w:t xml:space="preserve"> but differ</w:t>
            </w:r>
            <w:r>
              <w:t xml:space="preserve"> in chemical and physical </w:t>
            </w:r>
            <w:r w:rsidR="00101BFF">
              <w:t>properties. There are structural isomers, geometric isomers, optical isomers and stereoisomers</w:t>
            </w:r>
          </w:p>
        </w:tc>
      </w:tr>
      <w:tr w:rsidR="00101BFF" w14:paraId="2A04E22F"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FCB07B8" w14:textId="41E1578A" w:rsidR="00101BFF" w:rsidRDefault="00101BFF" w:rsidP="00C367B5">
            <w:r>
              <w:lastRenderedPageBreak/>
              <w:t>I</w:t>
            </w:r>
            <w:r w:rsidR="00242B8F">
              <w:t>-</w:t>
            </w:r>
            <w:r>
              <w:t>TEQ</w:t>
            </w:r>
          </w:p>
        </w:tc>
        <w:tc>
          <w:tcPr>
            <w:tcW w:w="5954" w:type="dxa"/>
          </w:tcPr>
          <w:p w14:paraId="6AF3E77F" w14:textId="7CE820A5" w:rsidR="00101BFF" w:rsidRDefault="00101BFF" w:rsidP="00C367B5">
            <w:pPr>
              <w:cnfStyle w:val="000000010000" w:firstRow="0" w:lastRow="0" w:firstColumn="0" w:lastColumn="0" w:oddVBand="0" w:evenVBand="0" w:oddHBand="0" w:evenHBand="1" w:firstRowFirstColumn="0" w:firstRowLastColumn="0" w:lastRowFirstColumn="0" w:lastRowLastColumn="0"/>
            </w:pPr>
            <w:r>
              <w:t xml:space="preserve">International Toxic Equivalent Quotient is the </w:t>
            </w:r>
            <w:proofErr w:type="spellStart"/>
            <w:r>
              <w:t>Nato</w:t>
            </w:r>
            <w:proofErr w:type="spellEnd"/>
            <w:r>
              <w:t xml:space="preserve"> (1989) based system of toxic equivalents used to present a quantity of dioxin and furan congeners as a single value based on the relative toxicity of all congeners to the most harmful congener – TCDD</w:t>
            </w:r>
          </w:p>
        </w:tc>
      </w:tr>
      <w:tr w:rsidR="00231A7F" w14:paraId="6A8912CC"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5D78DFCB" w14:textId="25C595C5" w:rsidR="00231A7F" w:rsidRDefault="00231A7F" w:rsidP="00231A7F">
            <w:r>
              <w:t>LCCPs</w:t>
            </w:r>
          </w:p>
        </w:tc>
        <w:tc>
          <w:tcPr>
            <w:tcW w:w="5954" w:type="dxa"/>
          </w:tcPr>
          <w:p w14:paraId="012E5BEC" w14:textId="72E70DA3" w:rsidR="00231A7F" w:rsidRDefault="00231A7F" w:rsidP="00231A7F">
            <w:pPr>
              <w:cnfStyle w:val="000000000000" w:firstRow="0" w:lastRow="0" w:firstColumn="0" w:lastColumn="0" w:oddVBand="0" w:evenVBand="0" w:oddHBand="0" w:evenHBand="0" w:firstRowFirstColumn="0" w:firstRowLastColumn="0" w:lastRowFirstColumn="0" w:lastRowLastColumn="0"/>
            </w:pPr>
            <w:r>
              <w:t>Long chain chlorinated paraffins</w:t>
            </w:r>
          </w:p>
        </w:tc>
      </w:tr>
      <w:tr w:rsidR="00231A7F" w14:paraId="5D4286C5"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E0E4530" w14:textId="12F45EF7" w:rsidR="00231A7F" w:rsidRDefault="00231A7F" w:rsidP="00231A7F">
            <w:r>
              <w:t>LOD</w:t>
            </w:r>
          </w:p>
        </w:tc>
        <w:tc>
          <w:tcPr>
            <w:tcW w:w="5954" w:type="dxa"/>
          </w:tcPr>
          <w:p w14:paraId="34813E5F" w14:textId="23C59AD4" w:rsidR="00231A7F" w:rsidRDefault="00231A7F" w:rsidP="00231A7F">
            <w:pPr>
              <w:cnfStyle w:val="000000010000" w:firstRow="0" w:lastRow="0" w:firstColumn="0" w:lastColumn="0" w:oddVBand="0" w:evenVBand="0" w:oddHBand="0" w:evenHBand="1" w:firstRowFirstColumn="0" w:firstRowLastColumn="0" w:lastRowFirstColumn="0" w:lastRowLastColumn="0"/>
            </w:pPr>
            <w:r>
              <w:t>Limit of detection</w:t>
            </w:r>
          </w:p>
        </w:tc>
      </w:tr>
      <w:tr w:rsidR="00231A7F" w14:paraId="0EBE1DC6"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55F2A92C" w14:textId="61C7408D" w:rsidR="00231A7F" w:rsidRDefault="00231A7F" w:rsidP="00231A7F">
            <w:r>
              <w:t>LOQ</w:t>
            </w:r>
          </w:p>
        </w:tc>
        <w:tc>
          <w:tcPr>
            <w:tcW w:w="5954" w:type="dxa"/>
          </w:tcPr>
          <w:p w14:paraId="5950E06A" w14:textId="129ABE6D" w:rsidR="00231A7F" w:rsidRDefault="00231A7F" w:rsidP="00231A7F">
            <w:pPr>
              <w:cnfStyle w:val="000000000000" w:firstRow="0" w:lastRow="0" w:firstColumn="0" w:lastColumn="0" w:oddVBand="0" w:evenVBand="0" w:oddHBand="0" w:evenHBand="0" w:firstRowFirstColumn="0" w:firstRowLastColumn="0" w:lastRowFirstColumn="0" w:lastRowLastColumn="0"/>
            </w:pPr>
            <w:r>
              <w:t>Limit of quantification</w:t>
            </w:r>
          </w:p>
        </w:tc>
      </w:tr>
      <w:tr w:rsidR="00101BFF" w14:paraId="2C8EF5B6"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46009A6" w14:textId="4433F003" w:rsidR="00101BFF" w:rsidRDefault="00101BFF" w:rsidP="00C367B5">
            <w:r>
              <w:t>LRTAP</w:t>
            </w:r>
          </w:p>
        </w:tc>
        <w:tc>
          <w:tcPr>
            <w:tcW w:w="5954" w:type="dxa"/>
          </w:tcPr>
          <w:p w14:paraId="435EF2A1" w14:textId="47EADAAD" w:rsidR="00101BFF" w:rsidRDefault="00101BFF" w:rsidP="00C367B5">
            <w:pPr>
              <w:cnfStyle w:val="000000010000" w:firstRow="0" w:lastRow="0" w:firstColumn="0" w:lastColumn="0" w:oddVBand="0" w:evenVBand="0" w:oddHBand="0" w:evenHBand="1" w:firstRowFirstColumn="0" w:firstRowLastColumn="0" w:lastRowFirstColumn="0" w:lastRowLastColumn="0"/>
            </w:pPr>
            <w:r>
              <w:t>Long-Range Transboundary Air Pollution</w:t>
            </w:r>
            <w:r w:rsidR="00242B8F">
              <w:t>. The LRTAP Convention limits, reduces and prevents air pollution, including long-range transboundary air pollution</w:t>
            </w:r>
          </w:p>
        </w:tc>
      </w:tr>
      <w:tr w:rsidR="00231A7F" w14:paraId="598E666C"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56A9AE53" w14:textId="46F7A913" w:rsidR="00231A7F" w:rsidRDefault="00231A7F" w:rsidP="00231A7F">
            <w:r>
              <w:t>MBMA</w:t>
            </w:r>
          </w:p>
        </w:tc>
        <w:tc>
          <w:tcPr>
            <w:tcW w:w="5954" w:type="dxa"/>
          </w:tcPr>
          <w:p w14:paraId="469191AD" w14:textId="0267C442" w:rsidR="00231A7F" w:rsidRDefault="00231A7F" w:rsidP="00231A7F">
            <w:pPr>
              <w:cnfStyle w:val="000000000000" w:firstRow="0" w:lastRow="0" w:firstColumn="0" w:lastColumn="0" w:oddVBand="0" w:evenVBand="0" w:oddHBand="0" w:evenHBand="0" w:firstRowFirstColumn="0" w:firstRowLastColumn="0" w:lastRowFirstColumn="0" w:lastRowLastColumn="0"/>
            </w:pPr>
            <w:r>
              <w:t>Meat and bone meal ash</w:t>
            </w:r>
          </w:p>
        </w:tc>
      </w:tr>
      <w:tr w:rsidR="00231A7F" w14:paraId="633E00C8"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14E2F62" w14:textId="2E1F3AE3" w:rsidR="00231A7F" w:rsidRDefault="00231A7F" w:rsidP="00231A7F">
            <w:r>
              <w:t>MCCPs</w:t>
            </w:r>
          </w:p>
        </w:tc>
        <w:tc>
          <w:tcPr>
            <w:tcW w:w="5954" w:type="dxa"/>
          </w:tcPr>
          <w:p w14:paraId="7F7C6BBC" w14:textId="34F0B28F" w:rsidR="00231A7F" w:rsidRDefault="00231A7F" w:rsidP="00231A7F">
            <w:pPr>
              <w:cnfStyle w:val="000000010000" w:firstRow="0" w:lastRow="0" w:firstColumn="0" w:lastColumn="0" w:oddVBand="0" w:evenVBand="0" w:oddHBand="0" w:evenHBand="1" w:firstRowFirstColumn="0" w:firstRowLastColumn="0" w:lastRowFirstColumn="0" w:lastRowLastColumn="0"/>
            </w:pPr>
            <w:r>
              <w:t>Medium chain chlorinated paraffins</w:t>
            </w:r>
          </w:p>
        </w:tc>
      </w:tr>
      <w:tr w:rsidR="00231A7F" w14:paraId="66CBFAA9"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5B2DC78E" w14:textId="0991D88E" w:rsidR="00231A7F" w:rsidRDefault="00231A7F" w:rsidP="00231A7F">
            <w:r>
              <w:t>MCL</w:t>
            </w:r>
          </w:p>
        </w:tc>
        <w:tc>
          <w:tcPr>
            <w:tcW w:w="5954" w:type="dxa"/>
          </w:tcPr>
          <w:p w14:paraId="064D83F5" w14:textId="5CF61446" w:rsidR="00231A7F" w:rsidRDefault="00231A7F" w:rsidP="00231A7F">
            <w:pPr>
              <w:cnfStyle w:val="000000000000" w:firstRow="0" w:lastRow="0" w:firstColumn="0" w:lastColumn="0" w:oddVBand="0" w:evenVBand="0" w:oddHBand="0" w:evenHBand="0" w:firstRowFirstColumn="0" w:firstRowLastColumn="0" w:lastRowFirstColumn="0" w:lastRowLastColumn="0"/>
            </w:pPr>
            <w:r>
              <w:t>Maximum concentration level</w:t>
            </w:r>
          </w:p>
        </w:tc>
      </w:tr>
      <w:tr w:rsidR="00231A7F" w14:paraId="527ED97C"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C75ACC6" w14:textId="30DB6D14" w:rsidR="00231A7F" w:rsidRPr="00A04707" w:rsidRDefault="00231A7F" w:rsidP="00231A7F">
            <w:r>
              <w:rPr>
                <w:rFonts w:cs="Arial"/>
              </w:rPr>
              <w:t>µ</w:t>
            </w:r>
            <w:r>
              <w:t>g/kg</w:t>
            </w:r>
          </w:p>
        </w:tc>
        <w:tc>
          <w:tcPr>
            <w:tcW w:w="5954" w:type="dxa"/>
          </w:tcPr>
          <w:p w14:paraId="6971EC30" w14:textId="6CF476F9" w:rsidR="00231A7F" w:rsidRDefault="00231A7F" w:rsidP="00231A7F">
            <w:pPr>
              <w:cnfStyle w:val="000000010000" w:firstRow="0" w:lastRow="0" w:firstColumn="0" w:lastColumn="0" w:oddVBand="0" w:evenVBand="0" w:oddHBand="0" w:evenHBand="1" w:firstRowFirstColumn="0" w:firstRowLastColumn="0" w:lastRowFirstColumn="0" w:lastRowLastColumn="0"/>
            </w:pPr>
            <w:r>
              <w:t>micrograms per kilogram, units used for expressing concentration</w:t>
            </w:r>
          </w:p>
        </w:tc>
      </w:tr>
      <w:tr w:rsidR="00231A7F" w14:paraId="3708BC02"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33BBBE97" w14:textId="652174A9" w:rsidR="00231A7F" w:rsidRDefault="00231A7F" w:rsidP="00231A7F">
            <w:r w:rsidRPr="00A04707">
              <w:t>µg/l</w:t>
            </w:r>
          </w:p>
        </w:tc>
        <w:tc>
          <w:tcPr>
            <w:tcW w:w="5954" w:type="dxa"/>
          </w:tcPr>
          <w:p w14:paraId="448B820B" w14:textId="274AD99C" w:rsidR="00231A7F" w:rsidRDefault="00231A7F" w:rsidP="00231A7F">
            <w:pPr>
              <w:cnfStyle w:val="000000000000" w:firstRow="0" w:lastRow="0" w:firstColumn="0" w:lastColumn="0" w:oddVBand="0" w:evenVBand="0" w:oddHBand="0" w:evenHBand="0" w:firstRowFirstColumn="0" w:firstRowLastColumn="0" w:lastRowFirstColumn="0" w:lastRowLastColumn="0"/>
            </w:pPr>
            <w:r>
              <w:t>Micrograms per litre, units used for expressing concentration</w:t>
            </w:r>
          </w:p>
        </w:tc>
      </w:tr>
      <w:tr w:rsidR="00101BFF" w14:paraId="39C09827"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51DB0E3" w14:textId="407470AF" w:rsidR="00101BFF" w:rsidRDefault="00101BFF" w:rsidP="00C367B5">
            <w:r>
              <w:t>mg/g</w:t>
            </w:r>
          </w:p>
        </w:tc>
        <w:tc>
          <w:tcPr>
            <w:tcW w:w="5954" w:type="dxa"/>
          </w:tcPr>
          <w:p w14:paraId="2F17A924" w14:textId="636D3D39" w:rsidR="00101BFF" w:rsidRDefault="00231A7F" w:rsidP="00C367B5">
            <w:pPr>
              <w:cnfStyle w:val="000000010000" w:firstRow="0" w:lastRow="0" w:firstColumn="0" w:lastColumn="0" w:oddVBand="0" w:evenVBand="0" w:oddHBand="0" w:evenHBand="1" w:firstRowFirstColumn="0" w:firstRowLastColumn="0" w:lastRowFirstColumn="0" w:lastRowLastColumn="0"/>
            </w:pPr>
            <w:r>
              <w:t>milligrams per gram, units used for expressing concentration</w:t>
            </w:r>
          </w:p>
        </w:tc>
      </w:tr>
      <w:tr w:rsidR="00101BFF" w14:paraId="0FE3D75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2C99F459" w14:textId="5FC1CE63" w:rsidR="00101BFF" w:rsidRDefault="00101BFF" w:rsidP="00C367B5">
            <w:r>
              <w:t>mg/kg</w:t>
            </w:r>
          </w:p>
        </w:tc>
        <w:tc>
          <w:tcPr>
            <w:tcW w:w="5954" w:type="dxa"/>
          </w:tcPr>
          <w:p w14:paraId="293FCE8E" w14:textId="0F81C174" w:rsidR="00101BFF" w:rsidRDefault="00231A7F" w:rsidP="00C367B5">
            <w:pPr>
              <w:cnfStyle w:val="000000000000" w:firstRow="0" w:lastRow="0" w:firstColumn="0" w:lastColumn="0" w:oddVBand="0" w:evenVBand="0" w:oddHBand="0" w:evenHBand="0" w:firstRowFirstColumn="0" w:firstRowLastColumn="0" w:lastRowFirstColumn="0" w:lastRowLastColumn="0"/>
            </w:pPr>
            <w:r>
              <w:t>milligrams per kilogram, units used for expressing concentration</w:t>
            </w:r>
          </w:p>
        </w:tc>
      </w:tr>
      <w:tr w:rsidR="00231A7F" w14:paraId="25E980F0"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5BF1C03" w14:textId="18E45B1D" w:rsidR="00231A7F" w:rsidRDefault="00231A7F" w:rsidP="00231A7F">
            <w:r>
              <w:t>mg/m</w:t>
            </w:r>
            <w:r w:rsidRPr="00101BFF">
              <w:rPr>
                <w:vertAlign w:val="superscript"/>
              </w:rPr>
              <w:t>3</w:t>
            </w:r>
          </w:p>
        </w:tc>
        <w:tc>
          <w:tcPr>
            <w:tcW w:w="5954" w:type="dxa"/>
          </w:tcPr>
          <w:p w14:paraId="4FA27183" w14:textId="0B8828CD" w:rsidR="00231A7F" w:rsidRDefault="00231A7F" w:rsidP="00231A7F">
            <w:pPr>
              <w:cnfStyle w:val="000000010000" w:firstRow="0" w:lastRow="0" w:firstColumn="0" w:lastColumn="0" w:oddVBand="0" w:evenVBand="0" w:oddHBand="0" w:evenHBand="1" w:firstRowFirstColumn="0" w:firstRowLastColumn="0" w:lastRowFirstColumn="0" w:lastRowLastColumn="0"/>
            </w:pPr>
            <w:r>
              <w:t>milligrams per metre cubed, units used for expressing concentration</w:t>
            </w:r>
          </w:p>
        </w:tc>
      </w:tr>
      <w:tr w:rsidR="00742857" w14:paraId="7F21129D"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95EE48E" w14:textId="3F64CA59" w:rsidR="00742857" w:rsidRDefault="00742857" w:rsidP="00C367B5">
            <w:r>
              <w:t>MMEI</w:t>
            </w:r>
          </w:p>
        </w:tc>
        <w:tc>
          <w:tcPr>
            <w:tcW w:w="5954" w:type="dxa"/>
          </w:tcPr>
          <w:p w14:paraId="48730203" w14:textId="3F183CC3" w:rsidR="00742857" w:rsidRDefault="00CF672C" w:rsidP="00C367B5">
            <w:pPr>
              <w:cnfStyle w:val="000000000000" w:firstRow="0" w:lastRow="0" w:firstColumn="0" w:lastColumn="0" w:oddVBand="0" w:evenVBand="0" w:oddHBand="0" w:evenHBand="0" w:firstRowFirstColumn="0" w:firstRowLastColumn="0" w:lastRowFirstColumn="0" w:lastRowLastColumn="0"/>
            </w:pPr>
            <w:r>
              <w:t>Multi-</w:t>
            </w:r>
            <w:r w:rsidR="00614B40">
              <w:t>M</w:t>
            </w:r>
            <w:r>
              <w:t xml:space="preserve">edia </w:t>
            </w:r>
            <w:r w:rsidR="00614B40">
              <w:t>E</w:t>
            </w:r>
            <w:r>
              <w:t xml:space="preserve">missions </w:t>
            </w:r>
            <w:r w:rsidR="00614B40">
              <w:t>I</w:t>
            </w:r>
            <w:r>
              <w:t>nventory</w:t>
            </w:r>
          </w:p>
        </w:tc>
      </w:tr>
      <w:tr w:rsidR="00101BFF" w14:paraId="462F21F2"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2C9999F" w14:textId="6BF11E53" w:rsidR="00101BFF" w:rsidRDefault="00101BFF" w:rsidP="00C367B5">
            <w:r>
              <w:lastRenderedPageBreak/>
              <w:t>MMO</w:t>
            </w:r>
          </w:p>
        </w:tc>
        <w:tc>
          <w:tcPr>
            <w:tcW w:w="5954" w:type="dxa"/>
          </w:tcPr>
          <w:p w14:paraId="7B174140" w14:textId="7916A51B" w:rsidR="00101BFF" w:rsidRDefault="00101BFF" w:rsidP="00C367B5">
            <w:pPr>
              <w:cnfStyle w:val="000000010000" w:firstRow="0" w:lastRow="0" w:firstColumn="0" w:lastColumn="0" w:oddVBand="0" w:evenVBand="0" w:oddHBand="0" w:evenHBand="1" w:firstRowFirstColumn="0" w:firstRowLastColumn="0" w:lastRowFirstColumn="0" w:lastRowLastColumn="0"/>
            </w:pPr>
            <w:r>
              <w:t>Marine Management Organisation</w:t>
            </w:r>
          </w:p>
        </w:tc>
      </w:tr>
      <w:tr w:rsidR="00231A7F" w14:paraId="4877B324"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7ACCAD7E" w14:textId="71FC02E4" w:rsidR="00231A7F" w:rsidRDefault="00231A7F" w:rsidP="00231A7F">
            <w:r>
              <w:t>MRV</w:t>
            </w:r>
          </w:p>
        </w:tc>
        <w:tc>
          <w:tcPr>
            <w:tcW w:w="5954" w:type="dxa"/>
          </w:tcPr>
          <w:p w14:paraId="1928ACBE" w14:textId="249FC604" w:rsidR="00231A7F" w:rsidRDefault="00231A7F" w:rsidP="00231A7F">
            <w:pPr>
              <w:cnfStyle w:val="000000000000" w:firstRow="0" w:lastRow="0" w:firstColumn="0" w:lastColumn="0" w:oddVBand="0" w:evenVBand="0" w:oddHBand="0" w:evenHBand="0" w:firstRowFirstColumn="0" w:firstRowLastColumn="0" w:lastRowFirstColumn="0" w:lastRowLastColumn="0"/>
            </w:pPr>
            <w:r>
              <w:t>Minimum Reporting Value</w:t>
            </w:r>
          </w:p>
        </w:tc>
      </w:tr>
      <w:tr w:rsidR="00101BFF" w14:paraId="2CAEE951"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04C016C" w14:textId="7FA33A25" w:rsidR="00101BFF" w:rsidRDefault="00431B0A" w:rsidP="00C367B5">
            <w:r>
              <w:t>MSW</w:t>
            </w:r>
          </w:p>
        </w:tc>
        <w:tc>
          <w:tcPr>
            <w:tcW w:w="5954" w:type="dxa"/>
          </w:tcPr>
          <w:p w14:paraId="0EDF6EEB" w14:textId="2B837DAB" w:rsidR="00101BFF" w:rsidRDefault="00431B0A" w:rsidP="00C367B5">
            <w:pPr>
              <w:cnfStyle w:val="000000010000" w:firstRow="0" w:lastRow="0" w:firstColumn="0" w:lastColumn="0" w:oddVBand="0" w:evenVBand="0" w:oddHBand="0" w:evenHBand="1" w:firstRowFirstColumn="0" w:firstRowLastColumn="0" w:lastRowFirstColumn="0" w:lastRowLastColumn="0"/>
            </w:pPr>
            <w:r>
              <w:t>Municipal Solid Waste</w:t>
            </w:r>
          </w:p>
        </w:tc>
      </w:tr>
      <w:tr w:rsidR="00101BFF" w14:paraId="48CB8EC0"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4D3987E4" w14:textId="53DC9DF9" w:rsidR="00101BFF" w:rsidRDefault="00431B0A" w:rsidP="00C367B5">
            <w:r>
              <w:t>NAEI</w:t>
            </w:r>
          </w:p>
        </w:tc>
        <w:tc>
          <w:tcPr>
            <w:tcW w:w="5954" w:type="dxa"/>
          </w:tcPr>
          <w:p w14:paraId="331F09E6" w14:textId="6DA35949" w:rsidR="00101BFF" w:rsidRDefault="00431B0A" w:rsidP="00C367B5">
            <w:pPr>
              <w:cnfStyle w:val="000000000000" w:firstRow="0" w:lastRow="0" w:firstColumn="0" w:lastColumn="0" w:oddVBand="0" w:evenVBand="0" w:oddHBand="0" w:evenHBand="0" w:firstRowFirstColumn="0" w:firstRowLastColumn="0" w:lastRowFirstColumn="0" w:lastRowLastColumn="0"/>
            </w:pPr>
            <w:r>
              <w:t>National Atmospheric Emissions Inventory</w:t>
            </w:r>
          </w:p>
        </w:tc>
      </w:tr>
      <w:tr w:rsidR="00101BFF" w14:paraId="307D1EE4"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4303F8E" w14:textId="1A75BA2B" w:rsidR="00101BFF" w:rsidRDefault="00431B0A" w:rsidP="00C367B5">
            <w:r>
              <w:t>NDPB</w:t>
            </w:r>
          </w:p>
        </w:tc>
        <w:tc>
          <w:tcPr>
            <w:tcW w:w="5954" w:type="dxa"/>
          </w:tcPr>
          <w:p w14:paraId="0A030255" w14:textId="0003EC05" w:rsidR="00101BFF" w:rsidRDefault="00231A7F" w:rsidP="00C367B5">
            <w:pPr>
              <w:cnfStyle w:val="000000010000" w:firstRow="0" w:lastRow="0" w:firstColumn="0" w:lastColumn="0" w:oddVBand="0" w:evenVBand="0" w:oddHBand="0" w:evenHBand="1" w:firstRowFirstColumn="0" w:firstRowLastColumn="0" w:lastRowFirstColumn="0" w:lastRowLastColumn="0"/>
            </w:pPr>
            <w:r>
              <w:t>Non-departmental public body, a</w:t>
            </w:r>
            <w:r w:rsidR="00496286">
              <w:t xml:space="preserve"> body which has a role in the processes of national </w:t>
            </w:r>
            <w:proofErr w:type="gramStart"/>
            <w:r w:rsidR="00496286">
              <w:t>government</w:t>
            </w:r>
            <w:r w:rsidR="004303C9">
              <w:t>, but</w:t>
            </w:r>
            <w:proofErr w:type="gramEnd"/>
            <w:r w:rsidR="004303C9">
              <w:t xml:space="preserve"> is not a government department or part of one.</w:t>
            </w:r>
            <w:r>
              <w:t xml:space="preserve"> </w:t>
            </w:r>
          </w:p>
        </w:tc>
      </w:tr>
      <w:tr w:rsidR="00231A7F" w14:paraId="163788A9"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748B8AA7" w14:textId="6B8272FD" w:rsidR="00231A7F" w:rsidRDefault="00231A7F" w:rsidP="00231A7F">
            <w:r w:rsidRPr="00726E9C">
              <w:t>ng/g</w:t>
            </w:r>
          </w:p>
        </w:tc>
        <w:tc>
          <w:tcPr>
            <w:tcW w:w="5954" w:type="dxa"/>
          </w:tcPr>
          <w:p w14:paraId="2853141E" w14:textId="14BEBCDF" w:rsidR="00231A7F" w:rsidRDefault="00231A7F" w:rsidP="00231A7F">
            <w:pPr>
              <w:cnfStyle w:val="000000000000" w:firstRow="0" w:lastRow="0" w:firstColumn="0" w:lastColumn="0" w:oddVBand="0" w:evenVBand="0" w:oddHBand="0" w:evenHBand="0" w:firstRowFirstColumn="0" w:firstRowLastColumn="0" w:lastRowFirstColumn="0" w:lastRowLastColumn="0"/>
            </w:pPr>
            <w:r>
              <w:t xml:space="preserve">Nanograms per gram, units used for expressing concentration </w:t>
            </w:r>
          </w:p>
        </w:tc>
      </w:tr>
      <w:tr w:rsidR="00101BFF" w14:paraId="461B385B"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B16EA84" w14:textId="3FF46E9C" w:rsidR="00101BFF" w:rsidRDefault="00431B0A" w:rsidP="00C367B5">
            <w:r>
              <w:t>NIEA</w:t>
            </w:r>
          </w:p>
        </w:tc>
        <w:tc>
          <w:tcPr>
            <w:tcW w:w="5954" w:type="dxa"/>
          </w:tcPr>
          <w:p w14:paraId="492FB40D" w14:textId="3FF9C317" w:rsidR="00101BFF" w:rsidRDefault="00231A7F" w:rsidP="00C367B5">
            <w:pPr>
              <w:cnfStyle w:val="000000010000" w:firstRow="0" w:lastRow="0" w:firstColumn="0" w:lastColumn="0" w:oddVBand="0" w:evenVBand="0" w:oddHBand="0" w:evenHBand="1" w:firstRowFirstColumn="0" w:firstRowLastColumn="0" w:lastRowFirstColumn="0" w:lastRowLastColumn="0"/>
            </w:pPr>
            <w:r>
              <w:t>Northern Ireland Environment Agency, an executive agency of the Department of Agriculture, Environment &amp; Rural Affairs in Northern Ireland</w:t>
            </w:r>
          </w:p>
        </w:tc>
      </w:tr>
      <w:tr w:rsidR="00231A7F" w14:paraId="7A34555E"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221C91CD" w14:textId="5B20F0C4" w:rsidR="00231A7F" w:rsidRDefault="00231A7F" w:rsidP="00231A7F">
            <w:r>
              <w:t>NIP</w:t>
            </w:r>
          </w:p>
        </w:tc>
        <w:tc>
          <w:tcPr>
            <w:tcW w:w="5954" w:type="dxa"/>
          </w:tcPr>
          <w:p w14:paraId="3D121820" w14:textId="4FB711E0" w:rsidR="00231A7F" w:rsidRDefault="00231A7F" w:rsidP="00231A7F">
            <w:pPr>
              <w:cnfStyle w:val="000000000000" w:firstRow="0" w:lastRow="0" w:firstColumn="0" w:lastColumn="0" w:oddVBand="0" w:evenVBand="0" w:oddHBand="0" w:evenHBand="0" w:firstRowFirstColumn="0" w:firstRowLastColumn="0" w:lastRowFirstColumn="0" w:lastRowLastColumn="0"/>
            </w:pPr>
            <w:r>
              <w:t>National Implementation Plan</w:t>
            </w:r>
          </w:p>
        </w:tc>
      </w:tr>
      <w:tr w:rsidR="00231A7F" w14:paraId="30368B23"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8E907FE" w14:textId="49E739E2" w:rsidR="00231A7F" w:rsidRDefault="00231A7F" w:rsidP="00231A7F">
            <w:r>
              <w:t>NIP</w:t>
            </w:r>
          </w:p>
        </w:tc>
        <w:tc>
          <w:tcPr>
            <w:tcW w:w="5954" w:type="dxa"/>
          </w:tcPr>
          <w:p w14:paraId="4EE487B2" w14:textId="62ACA2AE" w:rsidR="00231A7F" w:rsidRDefault="00231A7F" w:rsidP="00231A7F">
            <w:pPr>
              <w:cnfStyle w:val="000000010000" w:firstRow="0" w:lastRow="0" w:firstColumn="0" w:lastColumn="0" w:oddVBand="0" w:evenVBand="0" w:oddHBand="0" w:evenHBand="1" w:firstRowFirstColumn="0" w:firstRowLastColumn="0" w:lastRowFirstColumn="0" w:lastRowLastColumn="0"/>
            </w:pPr>
            <w:r>
              <w:t>Northern Ireland Protocol, a protocol to the EU Exit Withdrawal Agreement for the island of Ireland</w:t>
            </w:r>
          </w:p>
        </w:tc>
      </w:tr>
      <w:tr w:rsidR="00101BFF" w14:paraId="10564381"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D4DC889" w14:textId="209D82DD" w:rsidR="00101BFF" w:rsidRDefault="00431B0A" w:rsidP="00C367B5">
            <w:r>
              <w:t>NRW</w:t>
            </w:r>
          </w:p>
        </w:tc>
        <w:tc>
          <w:tcPr>
            <w:tcW w:w="5954" w:type="dxa"/>
          </w:tcPr>
          <w:p w14:paraId="4C130291" w14:textId="041CC33A" w:rsidR="00101BFF" w:rsidRDefault="00231A7F" w:rsidP="00C367B5">
            <w:pPr>
              <w:cnfStyle w:val="000000000000" w:firstRow="0" w:lastRow="0" w:firstColumn="0" w:lastColumn="0" w:oddVBand="0" w:evenVBand="0" w:oddHBand="0" w:evenHBand="0" w:firstRowFirstColumn="0" w:firstRowLastColumn="0" w:lastRowFirstColumn="0" w:lastRowLastColumn="0"/>
            </w:pPr>
            <w:r>
              <w:t>Natural Resources Wales, a</w:t>
            </w:r>
            <w:r w:rsidR="008D783C">
              <w:t>n executive</w:t>
            </w:r>
            <w:r>
              <w:t xml:space="preserve"> agency and </w:t>
            </w:r>
            <w:r w:rsidR="008D783C">
              <w:t xml:space="preserve">the </w:t>
            </w:r>
            <w:r>
              <w:t>environmental regulator of the Welsh Government</w:t>
            </w:r>
          </w:p>
        </w:tc>
      </w:tr>
      <w:tr w:rsidR="00101BFF" w14:paraId="172DD660"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86862A2" w14:textId="0F1FC401" w:rsidR="00101BFF" w:rsidRDefault="00431B0A" w:rsidP="00C367B5">
            <w:r>
              <w:t>OECD</w:t>
            </w:r>
          </w:p>
        </w:tc>
        <w:tc>
          <w:tcPr>
            <w:tcW w:w="5954" w:type="dxa"/>
          </w:tcPr>
          <w:p w14:paraId="379CD896" w14:textId="461FC31B" w:rsidR="00101BFF" w:rsidRDefault="00431B0A" w:rsidP="00C367B5">
            <w:pPr>
              <w:cnfStyle w:val="000000010000" w:firstRow="0" w:lastRow="0" w:firstColumn="0" w:lastColumn="0" w:oddVBand="0" w:evenVBand="0" w:oddHBand="0" w:evenHBand="1" w:firstRowFirstColumn="0" w:firstRowLastColumn="0" w:lastRowFirstColumn="0" w:lastRowLastColumn="0"/>
            </w:pPr>
            <w:r>
              <w:t>Organisation for Economic Cooperation &amp; Development</w:t>
            </w:r>
          </w:p>
        </w:tc>
      </w:tr>
      <w:tr w:rsidR="00101BFF" w14:paraId="31B59C6F"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485D938" w14:textId="201110AE" w:rsidR="00101BFF" w:rsidRDefault="00431B0A" w:rsidP="00C367B5">
            <w:r>
              <w:t>OSPAR</w:t>
            </w:r>
          </w:p>
        </w:tc>
        <w:tc>
          <w:tcPr>
            <w:tcW w:w="5954" w:type="dxa"/>
          </w:tcPr>
          <w:p w14:paraId="2DEB29F6" w14:textId="1262C585" w:rsidR="00101BFF" w:rsidRDefault="00231A7F" w:rsidP="00C367B5">
            <w:pPr>
              <w:cnfStyle w:val="000000000000" w:firstRow="0" w:lastRow="0" w:firstColumn="0" w:lastColumn="0" w:oddVBand="0" w:evenVBand="0" w:oddHBand="0" w:evenHBand="0" w:firstRowFirstColumn="0" w:firstRowLastColumn="0" w:lastRowFirstColumn="0" w:lastRowLastColumn="0"/>
            </w:pPr>
            <w:r>
              <w:t>Named from the Oslo and Paris Conventions, a mechanism by which 15 governments and the EU cooperate to protect the marine environment of the North East Atlantic</w:t>
            </w:r>
          </w:p>
        </w:tc>
      </w:tr>
      <w:tr w:rsidR="00101BFF" w14:paraId="7656A13E"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F3F0E8A" w14:textId="10E55287" w:rsidR="00101BFF" w:rsidRDefault="00431B0A" w:rsidP="00C367B5">
            <w:r>
              <w:t>PAH</w:t>
            </w:r>
          </w:p>
        </w:tc>
        <w:tc>
          <w:tcPr>
            <w:tcW w:w="5954" w:type="dxa"/>
          </w:tcPr>
          <w:p w14:paraId="511D9129" w14:textId="44415BF3" w:rsidR="00101BFF" w:rsidRDefault="00231A7F" w:rsidP="00C367B5">
            <w:pPr>
              <w:cnfStyle w:val="000000010000" w:firstRow="0" w:lastRow="0" w:firstColumn="0" w:lastColumn="0" w:oddVBand="0" w:evenVBand="0" w:oddHBand="0" w:evenHBand="1" w:firstRowFirstColumn="0" w:firstRowLastColumn="0" w:lastRowFirstColumn="0" w:lastRowLastColumn="0"/>
            </w:pPr>
            <w:r>
              <w:t>Polycyclic aromatic hydrocarbon, compounds containing only Hydrogen and Carbon and containing multiple aromatic rings</w:t>
            </w:r>
          </w:p>
        </w:tc>
      </w:tr>
      <w:tr w:rsidR="00231A7F" w14:paraId="072350E5"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6CF2A4E5" w14:textId="2234292B" w:rsidR="00231A7F" w:rsidRDefault="00231A7F" w:rsidP="00231A7F">
            <w:r>
              <w:t>PBDD/Fs</w:t>
            </w:r>
          </w:p>
        </w:tc>
        <w:tc>
          <w:tcPr>
            <w:tcW w:w="5954" w:type="dxa"/>
          </w:tcPr>
          <w:p w14:paraId="33ACCC38" w14:textId="374281B2" w:rsidR="00231A7F" w:rsidRDefault="00231A7F" w:rsidP="00231A7F">
            <w:pPr>
              <w:cnfStyle w:val="000000000000" w:firstRow="0" w:lastRow="0" w:firstColumn="0" w:lastColumn="0" w:oddVBand="0" w:evenVBand="0" w:oddHBand="0" w:evenHBand="0" w:firstRowFirstColumn="0" w:firstRowLastColumn="0" w:lastRowFirstColumn="0" w:lastRowLastColumn="0"/>
            </w:pPr>
            <w:r>
              <w:t xml:space="preserve">Polybrominated dibenzo-p-dioxins and </w:t>
            </w:r>
            <w:proofErr w:type="spellStart"/>
            <w:r>
              <w:t>dibenxofurans</w:t>
            </w:r>
            <w:proofErr w:type="spellEnd"/>
          </w:p>
        </w:tc>
      </w:tr>
      <w:tr w:rsidR="00101BFF" w14:paraId="6A4759B3"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474AF12" w14:textId="3456B69F" w:rsidR="00101BFF" w:rsidRDefault="00431B0A" w:rsidP="00C367B5">
            <w:r>
              <w:lastRenderedPageBreak/>
              <w:t>PBDEs</w:t>
            </w:r>
          </w:p>
        </w:tc>
        <w:tc>
          <w:tcPr>
            <w:tcW w:w="5954" w:type="dxa"/>
          </w:tcPr>
          <w:p w14:paraId="3B6D46F1" w14:textId="5BA425C1" w:rsidR="00101BFF" w:rsidRDefault="00431B0A" w:rsidP="00C367B5">
            <w:pPr>
              <w:cnfStyle w:val="000000010000" w:firstRow="0" w:lastRow="0" w:firstColumn="0" w:lastColumn="0" w:oddVBand="0" w:evenVBand="0" w:oddHBand="0" w:evenHBand="1" w:firstRowFirstColumn="0" w:firstRowLastColumn="0" w:lastRowFirstColumn="0" w:lastRowLastColumn="0"/>
            </w:pPr>
            <w:r>
              <w:t>Polybrominated diphenyl ethers</w:t>
            </w:r>
            <w:r w:rsidR="00066E0C">
              <w:t>. Include</w:t>
            </w:r>
            <w:r w:rsidR="00585245">
              <w:t>s</w:t>
            </w:r>
            <w:r w:rsidR="00066E0C">
              <w:t xml:space="preserve"> </w:t>
            </w:r>
            <w:r w:rsidR="00AB0182">
              <w:t xml:space="preserve">the following </w:t>
            </w:r>
            <w:r w:rsidR="00A44A6F">
              <w:t>banned</w:t>
            </w:r>
            <w:r w:rsidR="00AB0182" w:rsidRPr="00AB0182">
              <w:rPr>
                <w:rFonts w:cs="Arial"/>
                <w:color w:val="494949"/>
                <w:shd w:val="clear" w:color="auto" w:fill="FFFFFF"/>
              </w:rPr>
              <w:t xml:space="preserve"> </w:t>
            </w:r>
            <w:proofErr w:type="spellStart"/>
            <w:r w:rsidR="00AB0182" w:rsidRPr="00AB0182">
              <w:t>bromodiphenyl</w:t>
            </w:r>
            <w:proofErr w:type="spellEnd"/>
            <w:r w:rsidR="00AB0182" w:rsidRPr="00AB0182">
              <w:t xml:space="preserve"> ether</w:t>
            </w:r>
            <w:r w:rsidR="00A44A6F">
              <w:t xml:space="preserve"> </w:t>
            </w:r>
            <w:r w:rsidR="00D77642">
              <w:t>substances</w:t>
            </w:r>
            <w:r w:rsidR="00AB0182">
              <w:t xml:space="preserve"> -</w:t>
            </w:r>
            <w:r w:rsidR="00D77642">
              <w:t xml:space="preserve"> tetra, </w:t>
            </w:r>
            <w:proofErr w:type="spellStart"/>
            <w:r w:rsidR="00D77642">
              <w:t>penta</w:t>
            </w:r>
            <w:proofErr w:type="spellEnd"/>
            <w:r w:rsidR="00D77642">
              <w:t xml:space="preserve">, </w:t>
            </w:r>
            <w:proofErr w:type="spellStart"/>
            <w:r w:rsidR="0056795B">
              <w:t>hexa</w:t>
            </w:r>
            <w:proofErr w:type="spellEnd"/>
            <w:r w:rsidR="0056795B">
              <w:t xml:space="preserve">, </w:t>
            </w:r>
            <w:proofErr w:type="spellStart"/>
            <w:r w:rsidR="0056795B">
              <w:t>hepta</w:t>
            </w:r>
            <w:proofErr w:type="spellEnd"/>
            <w:r w:rsidR="00AB0182">
              <w:t xml:space="preserve">, </w:t>
            </w:r>
            <w:proofErr w:type="spellStart"/>
            <w:r w:rsidR="00AB0182">
              <w:t>deca</w:t>
            </w:r>
            <w:proofErr w:type="spellEnd"/>
          </w:p>
        </w:tc>
      </w:tr>
      <w:tr w:rsidR="00231A7F" w14:paraId="60FF0D3D"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1B168D6D" w14:textId="22E3877D" w:rsidR="00231A7F" w:rsidRDefault="00231A7F" w:rsidP="00231A7F">
            <w:r>
              <w:t>PBT</w:t>
            </w:r>
          </w:p>
        </w:tc>
        <w:tc>
          <w:tcPr>
            <w:tcW w:w="5954" w:type="dxa"/>
          </w:tcPr>
          <w:p w14:paraId="4B3C3D0E" w14:textId="662D7881" w:rsidR="00231A7F" w:rsidRDefault="00231A7F" w:rsidP="00231A7F">
            <w:pPr>
              <w:cnfStyle w:val="000000000000" w:firstRow="0" w:lastRow="0" w:firstColumn="0" w:lastColumn="0" w:oddVBand="0" w:evenVBand="0" w:oddHBand="0" w:evenHBand="0" w:firstRowFirstColumn="0" w:firstRowLastColumn="0" w:lastRowFirstColumn="0" w:lastRowLastColumn="0"/>
            </w:pPr>
            <w:r>
              <w:t>Persistent, bio-accumulative and toxic</w:t>
            </w:r>
          </w:p>
        </w:tc>
      </w:tr>
      <w:tr w:rsidR="00101BFF" w14:paraId="6FB376EB"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E49132D" w14:textId="316676E4" w:rsidR="00101BFF" w:rsidRDefault="009C6666" w:rsidP="00C367B5">
            <w:r>
              <w:t>PCBs</w:t>
            </w:r>
          </w:p>
        </w:tc>
        <w:tc>
          <w:tcPr>
            <w:tcW w:w="5954" w:type="dxa"/>
          </w:tcPr>
          <w:p w14:paraId="64717572" w14:textId="59972616" w:rsidR="00101BFF" w:rsidRDefault="009C6666" w:rsidP="00C367B5">
            <w:pPr>
              <w:cnfStyle w:val="000000010000" w:firstRow="0" w:lastRow="0" w:firstColumn="0" w:lastColumn="0" w:oddVBand="0" w:evenVBand="0" w:oddHBand="0" w:evenHBand="1" w:firstRowFirstColumn="0" w:firstRowLastColumn="0" w:lastRowFirstColumn="0" w:lastRowLastColumn="0"/>
            </w:pPr>
            <w:r>
              <w:t>Polychlorinated biphenyls</w:t>
            </w:r>
          </w:p>
        </w:tc>
      </w:tr>
      <w:tr w:rsidR="00101BFF" w14:paraId="4E2D5395"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00CE6480" w14:textId="103E1C07" w:rsidR="00101BFF" w:rsidRDefault="00231A7F" w:rsidP="00C367B5">
            <w:r>
              <w:t>PCDDs</w:t>
            </w:r>
          </w:p>
        </w:tc>
        <w:tc>
          <w:tcPr>
            <w:tcW w:w="5954" w:type="dxa"/>
          </w:tcPr>
          <w:p w14:paraId="08F23023" w14:textId="5E931472" w:rsidR="00101BFF" w:rsidRDefault="009C6666" w:rsidP="00C367B5">
            <w:pPr>
              <w:cnfStyle w:val="000000000000" w:firstRow="0" w:lastRow="0" w:firstColumn="0" w:lastColumn="0" w:oddVBand="0" w:evenVBand="0" w:oddHBand="0" w:evenHBand="0" w:firstRowFirstColumn="0" w:firstRowLastColumn="0" w:lastRowFirstColumn="0" w:lastRowLastColumn="0"/>
            </w:pPr>
            <w:r>
              <w:t>Polychlorinated dibenzo-p-dioxins (also known as ‘dioxins’)</w:t>
            </w:r>
          </w:p>
        </w:tc>
      </w:tr>
      <w:tr w:rsidR="009C6666" w14:paraId="0DAF2646"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299A1C9" w14:textId="06419025" w:rsidR="009C6666" w:rsidRDefault="009C6666" w:rsidP="00C367B5">
            <w:r>
              <w:t>PCDD/</w:t>
            </w:r>
            <w:r w:rsidR="00231A7F">
              <w:t>Fs</w:t>
            </w:r>
          </w:p>
        </w:tc>
        <w:tc>
          <w:tcPr>
            <w:tcW w:w="5954" w:type="dxa"/>
          </w:tcPr>
          <w:p w14:paraId="7AE065D2" w14:textId="686E4A14" w:rsidR="009C6666" w:rsidRDefault="009C6666" w:rsidP="00C367B5">
            <w:pPr>
              <w:cnfStyle w:val="000000010000" w:firstRow="0" w:lastRow="0" w:firstColumn="0" w:lastColumn="0" w:oddVBand="0" w:evenVBand="0" w:oddHBand="0" w:evenHBand="1" w:firstRowFirstColumn="0" w:firstRowLastColumn="0" w:lastRowFirstColumn="0" w:lastRowLastColumn="0"/>
            </w:pPr>
            <w:r>
              <w:t>Mixture of congeners of PCDD and PCDF (referred to collectively as ‘dioxins’)</w:t>
            </w:r>
          </w:p>
        </w:tc>
      </w:tr>
      <w:tr w:rsidR="009C6666" w14:paraId="000C0259"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35BFE02" w14:textId="16F755F5" w:rsidR="009C6666" w:rsidRDefault="009C6666" w:rsidP="00C367B5">
            <w:r>
              <w:t>PCDF</w:t>
            </w:r>
          </w:p>
        </w:tc>
        <w:tc>
          <w:tcPr>
            <w:tcW w:w="5954" w:type="dxa"/>
          </w:tcPr>
          <w:p w14:paraId="4B2C5D81" w14:textId="298E5E70" w:rsidR="009C6666" w:rsidRDefault="009C6666" w:rsidP="00C367B5">
            <w:pPr>
              <w:cnfStyle w:val="000000000000" w:firstRow="0" w:lastRow="0" w:firstColumn="0" w:lastColumn="0" w:oddVBand="0" w:evenVBand="0" w:oddHBand="0" w:evenHBand="0" w:firstRowFirstColumn="0" w:firstRowLastColumn="0" w:lastRowFirstColumn="0" w:lastRowLastColumn="0"/>
            </w:pPr>
            <w:r>
              <w:t>Polychlorinated dibenzofurans (also known as ‘furans’)</w:t>
            </w:r>
          </w:p>
        </w:tc>
      </w:tr>
      <w:tr w:rsidR="009C6666" w14:paraId="1D9E3C8C"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7C2B3B2" w14:textId="5A09E66C" w:rsidR="009C6666" w:rsidRDefault="009C6666" w:rsidP="00C367B5">
            <w:r>
              <w:t>PCNs</w:t>
            </w:r>
          </w:p>
        </w:tc>
        <w:tc>
          <w:tcPr>
            <w:tcW w:w="5954" w:type="dxa"/>
          </w:tcPr>
          <w:p w14:paraId="3374A9AE" w14:textId="190C4E9D" w:rsidR="009C6666" w:rsidRDefault="009C6666" w:rsidP="00C367B5">
            <w:pPr>
              <w:cnfStyle w:val="000000010000" w:firstRow="0" w:lastRow="0" w:firstColumn="0" w:lastColumn="0" w:oddVBand="0" w:evenVBand="0" w:oddHBand="0" w:evenHBand="1" w:firstRowFirstColumn="0" w:firstRowLastColumn="0" w:lastRowFirstColumn="0" w:lastRowLastColumn="0"/>
            </w:pPr>
            <w:r>
              <w:t xml:space="preserve">Polychlorinated </w:t>
            </w:r>
            <w:proofErr w:type="spellStart"/>
            <w:r>
              <w:t>naphthalenes</w:t>
            </w:r>
            <w:proofErr w:type="spellEnd"/>
          </w:p>
        </w:tc>
      </w:tr>
      <w:tr w:rsidR="009C6666" w14:paraId="4E3B7AC8"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4395B45D" w14:textId="2745C27F" w:rsidR="009C6666" w:rsidRDefault="009C6666" w:rsidP="00C367B5">
            <w:r>
              <w:t>PCP</w:t>
            </w:r>
          </w:p>
        </w:tc>
        <w:tc>
          <w:tcPr>
            <w:tcW w:w="5954" w:type="dxa"/>
          </w:tcPr>
          <w:p w14:paraId="613520E2" w14:textId="6686CFA6" w:rsidR="009C6666" w:rsidRDefault="009C6666" w:rsidP="00C367B5">
            <w:pPr>
              <w:cnfStyle w:val="000000000000" w:firstRow="0" w:lastRow="0" w:firstColumn="0" w:lastColumn="0" w:oddVBand="0" w:evenVBand="0" w:oddHBand="0" w:evenHBand="0" w:firstRowFirstColumn="0" w:firstRowLastColumn="0" w:lastRowFirstColumn="0" w:lastRowLastColumn="0"/>
            </w:pPr>
            <w:r>
              <w:t>Pentachlorophenol</w:t>
            </w:r>
          </w:p>
        </w:tc>
      </w:tr>
      <w:tr w:rsidR="009C6666" w14:paraId="7F4AE997"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AE22E16" w14:textId="1989594C" w:rsidR="009C6666" w:rsidRDefault="009E3733" w:rsidP="00C367B5">
            <w:r>
              <w:t>PCTs</w:t>
            </w:r>
          </w:p>
        </w:tc>
        <w:tc>
          <w:tcPr>
            <w:tcW w:w="5954" w:type="dxa"/>
          </w:tcPr>
          <w:p w14:paraId="320EDD42" w14:textId="38109C00" w:rsidR="009C6666" w:rsidRDefault="009E3733" w:rsidP="00C367B5">
            <w:pPr>
              <w:cnfStyle w:val="000000010000" w:firstRow="0" w:lastRow="0" w:firstColumn="0" w:lastColumn="0" w:oddVBand="0" w:evenVBand="0" w:oddHBand="0" w:evenHBand="1" w:firstRowFirstColumn="0" w:firstRowLastColumn="0" w:lastRowFirstColumn="0" w:lastRowLastColumn="0"/>
            </w:pPr>
            <w:r>
              <w:t>Polychlorinated terphenyls</w:t>
            </w:r>
          </w:p>
        </w:tc>
      </w:tr>
      <w:tr w:rsidR="00231A7F" w14:paraId="65439131"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2D73369D" w14:textId="3666D325" w:rsidR="00231A7F" w:rsidRDefault="00231A7F" w:rsidP="00231A7F">
            <w:proofErr w:type="spellStart"/>
            <w:r>
              <w:t>PeCB</w:t>
            </w:r>
            <w:proofErr w:type="spellEnd"/>
          </w:p>
        </w:tc>
        <w:tc>
          <w:tcPr>
            <w:tcW w:w="5954" w:type="dxa"/>
          </w:tcPr>
          <w:p w14:paraId="3802FA28" w14:textId="3FD8B902" w:rsidR="00231A7F" w:rsidRDefault="00231A7F" w:rsidP="00231A7F">
            <w:pPr>
              <w:cnfStyle w:val="000000000000" w:firstRow="0" w:lastRow="0" w:firstColumn="0" w:lastColumn="0" w:oddVBand="0" w:evenVBand="0" w:oddHBand="0" w:evenHBand="0" w:firstRowFirstColumn="0" w:firstRowLastColumn="0" w:lastRowFirstColumn="0" w:lastRowLastColumn="0"/>
            </w:pPr>
            <w:proofErr w:type="spellStart"/>
            <w:r>
              <w:t>Pentachlorobenzene</w:t>
            </w:r>
            <w:proofErr w:type="spellEnd"/>
          </w:p>
        </w:tc>
      </w:tr>
      <w:tr w:rsidR="009C6666" w14:paraId="53F876AD"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7F04408" w14:textId="768E4927" w:rsidR="009C6666" w:rsidRDefault="009E3733" w:rsidP="00C367B5">
            <w:r>
              <w:t>PERC</w:t>
            </w:r>
          </w:p>
        </w:tc>
        <w:tc>
          <w:tcPr>
            <w:tcW w:w="5954" w:type="dxa"/>
          </w:tcPr>
          <w:p w14:paraId="576EE29D" w14:textId="34C41811" w:rsidR="009C6666" w:rsidRDefault="009E3733" w:rsidP="00C367B5">
            <w:pPr>
              <w:cnfStyle w:val="000000010000" w:firstRow="0" w:lastRow="0" w:firstColumn="0" w:lastColumn="0" w:oddVBand="0" w:evenVBand="0" w:oddHBand="0" w:evenHBand="1" w:firstRowFirstColumn="0" w:firstRowLastColumn="0" w:lastRowFirstColumn="0" w:lastRowLastColumn="0"/>
            </w:pPr>
            <w:r>
              <w:t>Perchloroethylene</w:t>
            </w:r>
          </w:p>
        </w:tc>
      </w:tr>
      <w:tr w:rsidR="00231A7F" w14:paraId="66E0C20B"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2BDEAD33" w14:textId="06BA7078" w:rsidR="00231A7F" w:rsidRDefault="00231A7F" w:rsidP="00231A7F">
            <w:r>
              <w:t>PEWS</w:t>
            </w:r>
          </w:p>
        </w:tc>
        <w:tc>
          <w:tcPr>
            <w:tcW w:w="5954" w:type="dxa"/>
          </w:tcPr>
          <w:p w14:paraId="18A757D2" w14:textId="155AD82D" w:rsidR="00231A7F" w:rsidRDefault="00231A7F" w:rsidP="00231A7F">
            <w:pPr>
              <w:cnfStyle w:val="000000000000" w:firstRow="0" w:lastRow="0" w:firstColumn="0" w:lastColumn="0" w:oddVBand="0" w:evenVBand="0" w:oddHBand="0" w:evenHBand="0" w:firstRowFirstColumn="0" w:firstRowLastColumn="0" w:lastRowFirstColumn="0" w:lastRowLastColumn="0"/>
            </w:pPr>
            <w:r>
              <w:t>Prioritisation and Early Warning System</w:t>
            </w:r>
          </w:p>
        </w:tc>
      </w:tr>
      <w:tr w:rsidR="00231A7F" w14:paraId="46BCF26E"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91ABB76" w14:textId="3FE23BC4" w:rsidR="00231A7F" w:rsidRDefault="00231A7F" w:rsidP="00231A7F">
            <w:r>
              <w:t>PFAS</w:t>
            </w:r>
          </w:p>
        </w:tc>
        <w:tc>
          <w:tcPr>
            <w:tcW w:w="5954" w:type="dxa"/>
          </w:tcPr>
          <w:p w14:paraId="419686C4" w14:textId="1EC32936" w:rsidR="00231A7F" w:rsidRDefault="00231A7F" w:rsidP="00231A7F">
            <w:pPr>
              <w:cnfStyle w:val="000000010000" w:firstRow="0" w:lastRow="0" w:firstColumn="0" w:lastColumn="0" w:oddVBand="0" w:evenVBand="0" w:oddHBand="0" w:evenHBand="1" w:firstRowFirstColumn="0" w:firstRowLastColumn="0" w:lastRowFirstColumn="0" w:lastRowLastColumn="0"/>
            </w:pPr>
            <w:r>
              <w:t>Per and poly fluoroalkyl substances</w:t>
            </w:r>
          </w:p>
        </w:tc>
      </w:tr>
      <w:tr w:rsidR="009C6666" w14:paraId="27F516B2"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DEDBC49" w14:textId="648085FE" w:rsidR="009C6666" w:rsidRDefault="009E3733" w:rsidP="00C367B5">
            <w:r>
              <w:t>PFOA</w:t>
            </w:r>
          </w:p>
        </w:tc>
        <w:tc>
          <w:tcPr>
            <w:tcW w:w="5954" w:type="dxa"/>
          </w:tcPr>
          <w:p w14:paraId="245D3CE0" w14:textId="79DF5366" w:rsidR="009C6666" w:rsidRDefault="009E3733" w:rsidP="00C367B5">
            <w:pPr>
              <w:cnfStyle w:val="000000000000" w:firstRow="0" w:lastRow="0" w:firstColumn="0" w:lastColumn="0" w:oddVBand="0" w:evenVBand="0" w:oddHBand="0" w:evenHBand="0" w:firstRowFirstColumn="0" w:firstRowLastColumn="0" w:lastRowFirstColumn="0" w:lastRowLastColumn="0"/>
            </w:pPr>
            <w:r>
              <w:t>Perfluorooctanoic acid</w:t>
            </w:r>
          </w:p>
        </w:tc>
      </w:tr>
      <w:tr w:rsidR="009C6666" w14:paraId="300F4FAD"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07482C9" w14:textId="2C7DF8EB" w:rsidR="009C6666" w:rsidRDefault="009E3733" w:rsidP="00C367B5">
            <w:r>
              <w:t>PFOS</w:t>
            </w:r>
          </w:p>
        </w:tc>
        <w:tc>
          <w:tcPr>
            <w:tcW w:w="5954" w:type="dxa"/>
          </w:tcPr>
          <w:p w14:paraId="10C9FD83" w14:textId="7A4D88E9" w:rsidR="009C6666" w:rsidRDefault="009E3733" w:rsidP="00C367B5">
            <w:pPr>
              <w:cnfStyle w:val="000000010000" w:firstRow="0" w:lastRow="0" w:firstColumn="0" w:lastColumn="0" w:oddVBand="0" w:evenVBand="0" w:oddHBand="0" w:evenHBand="1" w:firstRowFirstColumn="0" w:firstRowLastColumn="0" w:lastRowFirstColumn="0" w:lastRowLastColumn="0"/>
            </w:pPr>
            <w:proofErr w:type="spellStart"/>
            <w:r>
              <w:t>Perfluorooctane</w:t>
            </w:r>
            <w:proofErr w:type="spellEnd"/>
            <w:r>
              <w:t xml:space="preserve"> sulfonate</w:t>
            </w:r>
          </w:p>
        </w:tc>
      </w:tr>
      <w:tr w:rsidR="009C6666" w14:paraId="493FD7C3"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67070F5" w14:textId="00CF47A9" w:rsidR="009C6666" w:rsidRDefault="009E3733" w:rsidP="00C367B5">
            <w:r>
              <w:t>PFOS-F</w:t>
            </w:r>
          </w:p>
        </w:tc>
        <w:tc>
          <w:tcPr>
            <w:tcW w:w="5954" w:type="dxa"/>
          </w:tcPr>
          <w:p w14:paraId="32AA45AD" w14:textId="60D755DA" w:rsidR="009C6666" w:rsidRDefault="009E3733" w:rsidP="00C367B5">
            <w:pPr>
              <w:cnfStyle w:val="000000000000" w:firstRow="0" w:lastRow="0" w:firstColumn="0" w:lastColumn="0" w:oddVBand="0" w:evenVBand="0" w:oddHBand="0" w:evenHBand="0" w:firstRowFirstColumn="0" w:firstRowLastColumn="0" w:lastRowFirstColumn="0" w:lastRowLastColumn="0"/>
            </w:pPr>
            <w:proofErr w:type="spellStart"/>
            <w:r>
              <w:t>Perfluorooctane</w:t>
            </w:r>
            <w:proofErr w:type="spellEnd"/>
            <w:r>
              <w:t xml:space="preserve"> sulfonyl fluoride</w:t>
            </w:r>
          </w:p>
        </w:tc>
      </w:tr>
      <w:tr w:rsidR="00231A7F" w14:paraId="07DFD87F"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042EA88" w14:textId="46356DBB" w:rsidR="00231A7F" w:rsidRDefault="00231A7F" w:rsidP="00231A7F">
            <w:r>
              <w:t>pH</w:t>
            </w:r>
          </w:p>
        </w:tc>
        <w:tc>
          <w:tcPr>
            <w:tcW w:w="5954" w:type="dxa"/>
          </w:tcPr>
          <w:p w14:paraId="522C4855" w14:textId="1D381A63" w:rsidR="00231A7F" w:rsidRDefault="00231A7F" w:rsidP="00231A7F">
            <w:pPr>
              <w:cnfStyle w:val="000000010000" w:firstRow="0" w:lastRow="0" w:firstColumn="0" w:lastColumn="0" w:oddVBand="0" w:evenVBand="0" w:oddHBand="0" w:evenHBand="1" w:firstRowFirstColumn="0" w:firstRowLastColumn="0" w:lastRowFirstColumn="0" w:lastRowLastColumn="0"/>
            </w:pPr>
            <w:r>
              <w:t>Quantitative measure of acidity or basicity on a scale of 0 to 14</w:t>
            </w:r>
          </w:p>
        </w:tc>
      </w:tr>
      <w:tr w:rsidR="009C6666" w14:paraId="2E4A423E"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1452C7B" w14:textId="79758FBA" w:rsidR="009C6666" w:rsidRDefault="009E3733" w:rsidP="00C367B5">
            <w:r>
              <w:lastRenderedPageBreak/>
              <w:t>PHE</w:t>
            </w:r>
          </w:p>
        </w:tc>
        <w:tc>
          <w:tcPr>
            <w:tcW w:w="5954" w:type="dxa"/>
          </w:tcPr>
          <w:p w14:paraId="45C83FF4" w14:textId="754A30E3" w:rsidR="009C6666" w:rsidRDefault="00231A7F" w:rsidP="00C367B5">
            <w:pPr>
              <w:cnfStyle w:val="000000000000" w:firstRow="0" w:lastRow="0" w:firstColumn="0" w:lastColumn="0" w:oddVBand="0" w:evenVBand="0" w:oddHBand="0" w:evenHBand="0" w:firstRowFirstColumn="0" w:firstRowLastColumn="0" w:lastRowFirstColumn="0" w:lastRowLastColumn="0"/>
            </w:pPr>
            <w:r>
              <w:t>Public Health England, an executive agency of the Department of Health and Social Care</w:t>
            </w:r>
          </w:p>
        </w:tc>
      </w:tr>
      <w:tr w:rsidR="009C6666" w14:paraId="7BD2D8A9"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1DC0CC0" w14:textId="3971A104" w:rsidR="009C6666" w:rsidRDefault="009E3733" w:rsidP="00C367B5">
            <w:r>
              <w:t>PI</w:t>
            </w:r>
          </w:p>
        </w:tc>
        <w:tc>
          <w:tcPr>
            <w:tcW w:w="5954" w:type="dxa"/>
          </w:tcPr>
          <w:p w14:paraId="21E225DA" w14:textId="7A309D45" w:rsidR="009C6666" w:rsidRDefault="009E3733" w:rsidP="00C367B5">
            <w:pPr>
              <w:cnfStyle w:val="000000010000" w:firstRow="0" w:lastRow="0" w:firstColumn="0" w:lastColumn="0" w:oddVBand="0" w:evenVBand="0" w:oddHBand="0" w:evenHBand="1" w:firstRowFirstColumn="0" w:firstRowLastColumn="0" w:lastRowFirstColumn="0" w:lastRowLastColumn="0"/>
            </w:pPr>
            <w:r>
              <w:t>Pollution Inventory</w:t>
            </w:r>
          </w:p>
        </w:tc>
      </w:tr>
      <w:tr w:rsidR="009C6666" w14:paraId="1978846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A190209" w14:textId="370FC2E3" w:rsidR="009C6666" w:rsidRDefault="009E3733" w:rsidP="00C367B5">
            <w:r>
              <w:t>PIC</w:t>
            </w:r>
          </w:p>
        </w:tc>
        <w:tc>
          <w:tcPr>
            <w:tcW w:w="5954" w:type="dxa"/>
          </w:tcPr>
          <w:p w14:paraId="6C6FD62E" w14:textId="32697F3A" w:rsidR="009C6666" w:rsidRDefault="009E3733" w:rsidP="00C367B5">
            <w:pPr>
              <w:cnfStyle w:val="000000000000" w:firstRow="0" w:lastRow="0" w:firstColumn="0" w:lastColumn="0" w:oddVBand="0" w:evenVBand="0" w:oddHBand="0" w:evenHBand="0" w:firstRowFirstColumn="0" w:firstRowLastColumn="0" w:lastRowFirstColumn="0" w:lastRowLastColumn="0"/>
            </w:pPr>
            <w:r>
              <w:t>Prior Informed Consent</w:t>
            </w:r>
          </w:p>
        </w:tc>
      </w:tr>
      <w:tr w:rsidR="00231A7F" w14:paraId="667CF52F"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9B96979" w14:textId="5F2FCA49" w:rsidR="00231A7F" w:rsidRDefault="00231A7F" w:rsidP="00231A7F">
            <w:r>
              <w:t>PLA</w:t>
            </w:r>
          </w:p>
        </w:tc>
        <w:tc>
          <w:tcPr>
            <w:tcW w:w="5954" w:type="dxa"/>
          </w:tcPr>
          <w:p w14:paraId="2910042D" w14:textId="5138B495" w:rsidR="00231A7F" w:rsidRDefault="00231A7F" w:rsidP="00231A7F">
            <w:pPr>
              <w:cnfStyle w:val="000000010000" w:firstRow="0" w:lastRow="0" w:firstColumn="0" w:lastColumn="0" w:oddVBand="0" w:evenVBand="0" w:oddHBand="0" w:evenHBand="1" w:firstRowFirstColumn="0" w:firstRowLastColumn="0" w:lastRowFirstColumn="0" w:lastRowLastColumn="0"/>
            </w:pPr>
            <w:r>
              <w:t>Poultry litter ash</w:t>
            </w:r>
          </w:p>
        </w:tc>
      </w:tr>
      <w:tr w:rsidR="009C6666" w14:paraId="1559B7A6"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3F7CD151" w14:textId="4A7054B2" w:rsidR="009C6666" w:rsidRDefault="009E3733" w:rsidP="00C367B5">
            <w:r>
              <w:t>POPs</w:t>
            </w:r>
          </w:p>
        </w:tc>
        <w:tc>
          <w:tcPr>
            <w:tcW w:w="5954" w:type="dxa"/>
          </w:tcPr>
          <w:p w14:paraId="3276DF1A" w14:textId="7C519E81" w:rsidR="009C6666" w:rsidRDefault="009E3733" w:rsidP="00C367B5">
            <w:pPr>
              <w:cnfStyle w:val="000000000000" w:firstRow="0" w:lastRow="0" w:firstColumn="0" w:lastColumn="0" w:oddVBand="0" w:evenVBand="0" w:oddHBand="0" w:evenHBand="0" w:firstRowFirstColumn="0" w:firstRowLastColumn="0" w:lastRowFirstColumn="0" w:lastRowLastColumn="0"/>
            </w:pPr>
            <w:r>
              <w:t>Persistent Organic Pollutants</w:t>
            </w:r>
          </w:p>
        </w:tc>
      </w:tr>
      <w:tr w:rsidR="00A9693A" w14:paraId="1EA65C78"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7ED8B04" w14:textId="09A1BD76" w:rsidR="00A9693A" w:rsidRDefault="00A9693A" w:rsidP="00C367B5">
            <w:r>
              <w:t>POPRC</w:t>
            </w:r>
          </w:p>
        </w:tc>
        <w:tc>
          <w:tcPr>
            <w:tcW w:w="5954" w:type="dxa"/>
          </w:tcPr>
          <w:p w14:paraId="1EFB02C7" w14:textId="713CA2CE" w:rsidR="00A9693A" w:rsidRDefault="00A9693A" w:rsidP="00C367B5">
            <w:pPr>
              <w:cnfStyle w:val="000000010000" w:firstRow="0" w:lastRow="0" w:firstColumn="0" w:lastColumn="0" w:oddVBand="0" w:evenVBand="0" w:oddHBand="0" w:evenHBand="1" w:firstRowFirstColumn="0" w:firstRowLastColumn="0" w:lastRowFirstColumn="0" w:lastRowLastColumn="0"/>
            </w:pPr>
            <w:r>
              <w:t>Persistent Organic Pollutant Review Committee</w:t>
            </w:r>
          </w:p>
        </w:tc>
      </w:tr>
      <w:tr w:rsidR="009C6666" w14:paraId="1A8D923C"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2DE70E8F" w14:textId="2DF91841" w:rsidR="009C6666" w:rsidRDefault="009E3733" w:rsidP="00C367B5">
            <w:r>
              <w:t>PPC</w:t>
            </w:r>
          </w:p>
        </w:tc>
        <w:tc>
          <w:tcPr>
            <w:tcW w:w="5954" w:type="dxa"/>
          </w:tcPr>
          <w:p w14:paraId="142640B8" w14:textId="53D1EF1C" w:rsidR="009C6666" w:rsidRDefault="009E3733" w:rsidP="00C367B5">
            <w:pPr>
              <w:cnfStyle w:val="000000000000" w:firstRow="0" w:lastRow="0" w:firstColumn="0" w:lastColumn="0" w:oddVBand="0" w:evenVBand="0" w:oddHBand="0" w:evenHBand="0" w:firstRowFirstColumn="0" w:firstRowLastColumn="0" w:lastRowFirstColumn="0" w:lastRowLastColumn="0"/>
            </w:pPr>
            <w:r>
              <w:t>Pollution Prevention and Control Regulations</w:t>
            </w:r>
          </w:p>
        </w:tc>
      </w:tr>
      <w:tr w:rsidR="009C6666" w14:paraId="05DCBB72"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42FD4E6" w14:textId="50FAD521" w:rsidR="009C6666" w:rsidRDefault="009E3733" w:rsidP="00C367B5">
            <w:r>
              <w:t>PRTR</w:t>
            </w:r>
          </w:p>
        </w:tc>
        <w:tc>
          <w:tcPr>
            <w:tcW w:w="5954" w:type="dxa"/>
          </w:tcPr>
          <w:p w14:paraId="7A0751DE" w14:textId="2439A0B8" w:rsidR="009C6666" w:rsidRDefault="009E3733" w:rsidP="00C367B5">
            <w:pPr>
              <w:cnfStyle w:val="000000010000" w:firstRow="0" w:lastRow="0" w:firstColumn="0" w:lastColumn="0" w:oddVBand="0" w:evenVBand="0" w:oddHBand="0" w:evenHBand="1" w:firstRowFirstColumn="0" w:firstRowLastColumn="0" w:lastRowFirstColumn="0" w:lastRowLastColumn="0"/>
            </w:pPr>
            <w:r>
              <w:t>Pollutant Release and Transfer Registers</w:t>
            </w:r>
          </w:p>
        </w:tc>
      </w:tr>
      <w:tr w:rsidR="00231A7F" w14:paraId="58FAAF42"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6C1046AE" w14:textId="2A4CBED6" w:rsidR="00231A7F" w:rsidRDefault="00231A7F" w:rsidP="00231A7F">
            <w:r>
              <w:t>PSA</w:t>
            </w:r>
          </w:p>
        </w:tc>
        <w:tc>
          <w:tcPr>
            <w:tcW w:w="5954" w:type="dxa"/>
          </w:tcPr>
          <w:p w14:paraId="47747008" w14:textId="34718B78" w:rsidR="00231A7F" w:rsidRDefault="00231A7F" w:rsidP="00231A7F">
            <w:pPr>
              <w:cnfStyle w:val="000000000000" w:firstRow="0" w:lastRow="0" w:firstColumn="0" w:lastColumn="0" w:oddVBand="0" w:evenVBand="0" w:oddHBand="0" w:evenHBand="0" w:firstRowFirstColumn="0" w:firstRowLastColumn="0" w:lastRowFirstColumn="0" w:lastRowLastColumn="0"/>
            </w:pPr>
            <w:r>
              <w:t>Paper sludge ash</w:t>
            </w:r>
          </w:p>
        </w:tc>
      </w:tr>
      <w:tr w:rsidR="00231A7F" w14:paraId="7A21BB46"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C28C42A" w14:textId="4577AC39" w:rsidR="00231A7F" w:rsidRDefault="00231A7F" w:rsidP="00231A7F">
            <w:r>
              <w:t>PTFE</w:t>
            </w:r>
          </w:p>
        </w:tc>
        <w:tc>
          <w:tcPr>
            <w:tcW w:w="5954" w:type="dxa"/>
          </w:tcPr>
          <w:p w14:paraId="22FA5F2B" w14:textId="5EE080F8" w:rsidR="00231A7F" w:rsidRDefault="00231A7F" w:rsidP="00231A7F">
            <w:pPr>
              <w:cnfStyle w:val="000000010000" w:firstRow="0" w:lastRow="0" w:firstColumn="0" w:lastColumn="0" w:oddVBand="0" w:evenVBand="0" w:oddHBand="0" w:evenHBand="1" w:firstRowFirstColumn="0" w:firstRowLastColumn="0" w:lastRowFirstColumn="0" w:lastRowLastColumn="0"/>
            </w:pPr>
            <w:r>
              <w:t>Polytetrafluoroethylene</w:t>
            </w:r>
          </w:p>
        </w:tc>
      </w:tr>
      <w:tr w:rsidR="009C6666" w14:paraId="418B88B4"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000FB965" w14:textId="6DAE6FBA" w:rsidR="009C6666" w:rsidRDefault="009E3733" w:rsidP="00C367B5">
            <w:r>
              <w:t>PVC</w:t>
            </w:r>
          </w:p>
        </w:tc>
        <w:tc>
          <w:tcPr>
            <w:tcW w:w="5954" w:type="dxa"/>
          </w:tcPr>
          <w:p w14:paraId="7647F4E9" w14:textId="2C31FFCC" w:rsidR="009C6666" w:rsidRDefault="009E3733" w:rsidP="00C367B5">
            <w:pPr>
              <w:cnfStyle w:val="000000000000" w:firstRow="0" w:lastRow="0" w:firstColumn="0" w:lastColumn="0" w:oddVBand="0" w:evenVBand="0" w:oddHBand="0" w:evenHBand="0" w:firstRowFirstColumn="0" w:firstRowLastColumn="0" w:lastRowFirstColumn="0" w:lastRowLastColumn="0"/>
            </w:pPr>
            <w:r>
              <w:t>Polyvinyl chloride</w:t>
            </w:r>
          </w:p>
        </w:tc>
      </w:tr>
      <w:tr w:rsidR="009C6666" w14:paraId="543F8F34"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10844D3" w14:textId="36C72845" w:rsidR="009C6666" w:rsidRDefault="009E3733" w:rsidP="00C367B5">
            <w:r>
              <w:t>REACH</w:t>
            </w:r>
          </w:p>
        </w:tc>
        <w:tc>
          <w:tcPr>
            <w:tcW w:w="5954" w:type="dxa"/>
          </w:tcPr>
          <w:p w14:paraId="5545078D" w14:textId="4B01FB6B" w:rsidR="009C6666" w:rsidRDefault="009E3733" w:rsidP="00C367B5">
            <w:pPr>
              <w:cnfStyle w:val="000000010000" w:firstRow="0" w:lastRow="0" w:firstColumn="0" w:lastColumn="0" w:oddVBand="0" w:evenVBand="0" w:oddHBand="0" w:evenHBand="1" w:firstRowFirstColumn="0" w:firstRowLastColumn="0" w:lastRowFirstColumn="0" w:lastRowLastColumn="0"/>
            </w:pPr>
            <w:r>
              <w:t>Registration, Evaluation, Authorisation of Chemicals</w:t>
            </w:r>
          </w:p>
        </w:tc>
      </w:tr>
      <w:tr w:rsidR="00231A7F" w14:paraId="4C6638C0"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2B33AEE2" w14:textId="7EB06111" w:rsidR="00231A7F" w:rsidRDefault="00231A7F" w:rsidP="00231A7F">
            <w:r>
              <w:t>RoHS</w:t>
            </w:r>
          </w:p>
        </w:tc>
        <w:tc>
          <w:tcPr>
            <w:tcW w:w="5954" w:type="dxa"/>
          </w:tcPr>
          <w:p w14:paraId="78C8DA28" w14:textId="78049643" w:rsidR="00231A7F" w:rsidRDefault="00231A7F" w:rsidP="00231A7F">
            <w:pPr>
              <w:cnfStyle w:val="000000000000" w:firstRow="0" w:lastRow="0" w:firstColumn="0" w:lastColumn="0" w:oddVBand="0" w:evenVBand="0" w:oddHBand="0" w:evenHBand="0" w:firstRowFirstColumn="0" w:firstRowLastColumn="0" w:lastRowFirstColumn="0" w:lastRowLastColumn="0"/>
            </w:pPr>
            <w:r>
              <w:t>Restriction of Hazardous Substances Directive, a European Union directive to restrict substances in electric and electronic equipment</w:t>
            </w:r>
          </w:p>
        </w:tc>
      </w:tr>
      <w:tr w:rsidR="00231A7F" w14:paraId="4665632C"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3829B40" w14:textId="5A047DCE" w:rsidR="00231A7F" w:rsidRDefault="00231A7F" w:rsidP="00231A7F">
            <w:r>
              <w:t>RWW</w:t>
            </w:r>
          </w:p>
        </w:tc>
        <w:tc>
          <w:tcPr>
            <w:tcW w:w="5954" w:type="dxa"/>
          </w:tcPr>
          <w:p w14:paraId="348AA840" w14:textId="77FA6E3E" w:rsidR="00231A7F" w:rsidRDefault="00231A7F" w:rsidP="00231A7F">
            <w:pPr>
              <w:cnfStyle w:val="000000010000" w:firstRow="0" w:lastRow="0" w:firstColumn="0" w:lastColumn="0" w:oddVBand="0" w:evenVBand="0" w:oddHBand="0" w:evenHBand="1" w:firstRowFirstColumn="0" w:firstRowLastColumn="0" w:lastRowFirstColumn="0" w:lastRowLastColumn="0"/>
            </w:pPr>
            <w:r>
              <w:t>Recycled waste wood</w:t>
            </w:r>
          </w:p>
        </w:tc>
      </w:tr>
      <w:tr w:rsidR="009C6666" w14:paraId="6DB592A6"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256595B5" w14:textId="6749E84E" w:rsidR="009C6666" w:rsidRDefault="009E3733" w:rsidP="00C367B5">
            <w:r>
              <w:t>SAICM</w:t>
            </w:r>
          </w:p>
        </w:tc>
        <w:tc>
          <w:tcPr>
            <w:tcW w:w="5954" w:type="dxa"/>
          </w:tcPr>
          <w:p w14:paraId="452D1619" w14:textId="5BBCAB70" w:rsidR="009C6666" w:rsidRDefault="009E3733" w:rsidP="00C367B5">
            <w:pPr>
              <w:cnfStyle w:val="000000000000" w:firstRow="0" w:lastRow="0" w:firstColumn="0" w:lastColumn="0" w:oddVBand="0" w:evenVBand="0" w:oddHBand="0" w:evenHBand="0" w:firstRowFirstColumn="0" w:firstRowLastColumn="0" w:lastRowFirstColumn="0" w:lastRowLastColumn="0"/>
            </w:pPr>
            <w:r>
              <w:t>Strategic Approach to International Chemical Management</w:t>
            </w:r>
          </w:p>
        </w:tc>
      </w:tr>
      <w:tr w:rsidR="009C6666" w14:paraId="112A9287"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9C7D4C7" w14:textId="2EBAFCB2" w:rsidR="009C6666" w:rsidRDefault="009E3733" w:rsidP="00C367B5">
            <w:r>
              <w:t>SCCPs</w:t>
            </w:r>
          </w:p>
        </w:tc>
        <w:tc>
          <w:tcPr>
            <w:tcW w:w="5954" w:type="dxa"/>
          </w:tcPr>
          <w:p w14:paraId="323AB47B" w14:textId="5B54F167" w:rsidR="009C6666" w:rsidRDefault="009E3733" w:rsidP="00C367B5">
            <w:pPr>
              <w:cnfStyle w:val="000000010000" w:firstRow="0" w:lastRow="0" w:firstColumn="0" w:lastColumn="0" w:oddVBand="0" w:evenVBand="0" w:oddHBand="0" w:evenHBand="1" w:firstRowFirstColumn="0" w:firstRowLastColumn="0" w:lastRowFirstColumn="0" w:lastRowLastColumn="0"/>
            </w:pPr>
            <w:r>
              <w:t>Short chain chlorinated paraffins</w:t>
            </w:r>
          </w:p>
        </w:tc>
      </w:tr>
      <w:tr w:rsidR="009C6666" w14:paraId="248813A9"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A859382" w14:textId="36444CDA" w:rsidR="009C6666" w:rsidRDefault="00B65669" w:rsidP="00C367B5">
            <w:r>
              <w:t>SEPA</w:t>
            </w:r>
          </w:p>
        </w:tc>
        <w:tc>
          <w:tcPr>
            <w:tcW w:w="5954" w:type="dxa"/>
          </w:tcPr>
          <w:p w14:paraId="5178DB76" w14:textId="20F421E7" w:rsidR="009C6666" w:rsidRDefault="00231A7F" w:rsidP="00C367B5">
            <w:pPr>
              <w:cnfStyle w:val="000000000000" w:firstRow="0" w:lastRow="0" w:firstColumn="0" w:lastColumn="0" w:oddVBand="0" w:evenVBand="0" w:oddHBand="0" w:evenHBand="0" w:firstRowFirstColumn="0" w:firstRowLastColumn="0" w:lastRowFirstColumn="0" w:lastRowLastColumn="0"/>
            </w:pPr>
            <w:r>
              <w:t xml:space="preserve">Scottish Environment Protection Agency, an executive </w:t>
            </w:r>
            <w:r w:rsidR="008D783C">
              <w:t>agency</w:t>
            </w:r>
            <w:r>
              <w:t xml:space="preserve"> and </w:t>
            </w:r>
            <w:r w:rsidR="008D783C">
              <w:t>the</w:t>
            </w:r>
            <w:r>
              <w:t xml:space="preserve"> environmental regulator of the Scottish Government</w:t>
            </w:r>
          </w:p>
        </w:tc>
      </w:tr>
      <w:tr w:rsidR="00231A7F" w14:paraId="3E52EF6D"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F06347F" w14:textId="406B29CC" w:rsidR="00231A7F" w:rsidRDefault="00231A7F" w:rsidP="00231A7F">
            <w:r>
              <w:t>SIWG</w:t>
            </w:r>
          </w:p>
        </w:tc>
        <w:tc>
          <w:tcPr>
            <w:tcW w:w="5954" w:type="dxa"/>
          </w:tcPr>
          <w:p w14:paraId="5C18CBE5" w14:textId="2C9CE4AA" w:rsidR="00231A7F" w:rsidRDefault="00231A7F" w:rsidP="00231A7F">
            <w:pPr>
              <w:cnfStyle w:val="000000010000" w:firstRow="0" w:lastRow="0" w:firstColumn="0" w:lastColumn="0" w:oddVBand="0" w:evenVBand="0" w:oddHBand="0" w:evenHBand="1" w:firstRowFirstColumn="0" w:firstRowLastColumn="0" w:lastRowFirstColumn="0" w:lastRowLastColumn="0"/>
            </w:pPr>
            <w:r>
              <w:t>Small intersessional working group</w:t>
            </w:r>
          </w:p>
        </w:tc>
      </w:tr>
      <w:tr w:rsidR="009C6666" w14:paraId="33712F30"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1367136A" w14:textId="0DF20F75" w:rsidR="009C6666" w:rsidRDefault="00B65669" w:rsidP="00C367B5">
            <w:r>
              <w:lastRenderedPageBreak/>
              <w:t>SPRI</w:t>
            </w:r>
          </w:p>
        </w:tc>
        <w:tc>
          <w:tcPr>
            <w:tcW w:w="5954" w:type="dxa"/>
          </w:tcPr>
          <w:p w14:paraId="746074E3" w14:textId="1CC189A7" w:rsidR="009C6666" w:rsidRDefault="00B65669" w:rsidP="00C367B5">
            <w:pPr>
              <w:cnfStyle w:val="000000000000" w:firstRow="0" w:lastRow="0" w:firstColumn="0" w:lastColumn="0" w:oddVBand="0" w:evenVBand="0" w:oddHBand="0" w:evenHBand="0" w:firstRowFirstColumn="0" w:firstRowLastColumn="0" w:lastRowFirstColumn="0" w:lastRowLastColumn="0"/>
            </w:pPr>
            <w:r>
              <w:t>Scottish Pollutant Release Inventory</w:t>
            </w:r>
          </w:p>
        </w:tc>
      </w:tr>
      <w:tr w:rsidR="00231A7F" w14:paraId="5F072A21"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344FAD7" w14:textId="157EFB79" w:rsidR="00231A7F" w:rsidRDefault="00231A7F" w:rsidP="00231A7F">
            <w:r>
              <w:t>SVHC</w:t>
            </w:r>
          </w:p>
        </w:tc>
        <w:tc>
          <w:tcPr>
            <w:tcW w:w="5954" w:type="dxa"/>
          </w:tcPr>
          <w:p w14:paraId="7857E55D" w14:textId="0E6AFC25" w:rsidR="00231A7F" w:rsidRDefault="00231A7F" w:rsidP="00231A7F">
            <w:pPr>
              <w:cnfStyle w:val="000000010000" w:firstRow="0" w:lastRow="0" w:firstColumn="0" w:lastColumn="0" w:oddVBand="0" w:evenVBand="0" w:oddHBand="0" w:evenHBand="1" w:firstRowFirstColumn="0" w:firstRowLastColumn="0" w:lastRowFirstColumn="0" w:lastRowLastColumn="0"/>
            </w:pPr>
            <w:r>
              <w:t>Substances of very high concern, a chemical substance proposed that use within the European Union is subject to authorisation under REACH regulations.</w:t>
            </w:r>
          </w:p>
        </w:tc>
      </w:tr>
      <w:tr w:rsidR="00CA0A06" w14:paraId="103BB233"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1FCDEAD" w14:textId="710E7479" w:rsidR="00CA0A06" w:rsidRDefault="00CA0A06" w:rsidP="00C367B5">
            <w:r>
              <w:t>TBBPA</w:t>
            </w:r>
          </w:p>
        </w:tc>
        <w:tc>
          <w:tcPr>
            <w:tcW w:w="5954" w:type="dxa"/>
          </w:tcPr>
          <w:p w14:paraId="0CF78F28" w14:textId="6821134A" w:rsidR="00CA0A06" w:rsidRDefault="00CA0A06" w:rsidP="00C367B5">
            <w:pPr>
              <w:cnfStyle w:val="000000000000" w:firstRow="0" w:lastRow="0" w:firstColumn="0" w:lastColumn="0" w:oddVBand="0" w:evenVBand="0" w:oddHBand="0" w:evenHBand="0" w:firstRowFirstColumn="0" w:firstRowLastColumn="0" w:lastRowFirstColumn="0" w:lastRowLastColumn="0"/>
            </w:pPr>
            <w:proofErr w:type="spellStart"/>
            <w:r>
              <w:t>Tetrabromobisphenol</w:t>
            </w:r>
            <w:proofErr w:type="spellEnd"/>
            <w:r w:rsidR="00231A7F">
              <w:t>-</w:t>
            </w:r>
            <w:r>
              <w:t>A</w:t>
            </w:r>
          </w:p>
        </w:tc>
      </w:tr>
      <w:tr w:rsidR="00B65669" w14:paraId="6CF6E64B"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586DF7D" w14:textId="63E05A95" w:rsidR="00B65669" w:rsidRDefault="00B65669" w:rsidP="00C367B5">
            <w:r>
              <w:t>TCDD</w:t>
            </w:r>
          </w:p>
        </w:tc>
        <w:tc>
          <w:tcPr>
            <w:tcW w:w="5954" w:type="dxa"/>
          </w:tcPr>
          <w:p w14:paraId="22388299" w14:textId="11456F52" w:rsidR="00B65669" w:rsidRDefault="00B65669" w:rsidP="00C367B5">
            <w:pPr>
              <w:cnfStyle w:val="000000010000" w:firstRow="0" w:lastRow="0" w:firstColumn="0" w:lastColumn="0" w:oddVBand="0" w:evenVBand="0" w:oddHBand="0" w:evenHBand="1" w:firstRowFirstColumn="0" w:firstRowLastColumn="0" w:lastRowFirstColumn="0" w:lastRowLastColumn="0"/>
            </w:pPr>
            <w:r>
              <w:t>2,3,7,8-tetrachlorodibenzo-p-dioxin</w:t>
            </w:r>
            <w:r w:rsidR="00675A74">
              <w:t>, the most toxic of all dioxin comp</w:t>
            </w:r>
            <w:r w:rsidR="001C7AB2">
              <w:t>o</w:t>
            </w:r>
            <w:r w:rsidR="00675A74">
              <w:t>unds</w:t>
            </w:r>
          </w:p>
        </w:tc>
      </w:tr>
      <w:tr w:rsidR="00B65669" w14:paraId="02373950"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56EDCCB9" w14:textId="6A916D61" w:rsidR="00B65669" w:rsidRDefault="00B65669" w:rsidP="00C367B5">
            <w:r>
              <w:t>TDI</w:t>
            </w:r>
          </w:p>
        </w:tc>
        <w:tc>
          <w:tcPr>
            <w:tcW w:w="5954" w:type="dxa"/>
          </w:tcPr>
          <w:p w14:paraId="7BD3AA3F" w14:textId="2C9D7FAD" w:rsidR="00B65669" w:rsidRDefault="00231A7F" w:rsidP="00C367B5">
            <w:pPr>
              <w:cnfStyle w:val="000000000000" w:firstRow="0" w:lastRow="0" w:firstColumn="0" w:lastColumn="0" w:oddVBand="0" w:evenVBand="0" w:oddHBand="0" w:evenHBand="0" w:firstRowFirstColumn="0" w:firstRowLastColumn="0" w:lastRowFirstColumn="0" w:lastRowLastColumn="0"/>
            </w:pPr>
            <w:r>
              <w:t>Tolerable</w:t>
            </w:r>
            <w:r w:rsidR="00B65669">
              <w:t xml:space="preserve"> daily intake</w:t>
            </w:r>
          </w:p>
        </w:tc>
      </w:tr>
      <w:tr w:rsidR="00B65669" w14:paraId="1F6B1EAA"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B9E6072" w14:textId="6B131695" w:rsidR="00B65669" w:rsidRDefault="00B65669" w:rsidP="00C367B5">
            <w:r>
              <w:t>TDS</w:t>
            </w:r>
          </w:p>
        </w:tc>
        <w:tc>
          <w:tcPr>
            <w:tcW w:w="5954" w:type="dxa"/>
          </w:tcPr>
          <w:p w14:paraId="25E6B99A" w14:textId="746EABB4" w:rsidR="00B65669" w:rsidRDefault="00B65669" w:rsidP="00C367B5">
            <w:pPr>
              <w:cnfStyle w:val="000000010000" w:firstRow="0" w:lastRow="0" w:firstColumn="0" w:lastColumn="0" w:oddVBand="0" w:evenVBand="0" w:oddHBand="0" w:evenHBand="1" w:firstRowFirstColumn="0" w:firstRowLastColumn="0" w:lastRowFirstColumn="0" w:lastRowLastColumn="0"/>
            </w:pPr>
            <w:r>
              <w:t>Total Diet Study</w:t>
            </w:r>
          </w:p>
        </w:tc>
      </w:tr>
      <w:tr w:rsidR="00B65669" w14:paraId="08B7B687"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6B8431CD" w14:textId="2258718B" w:rsidR="00B65669" w:rsidRDefault="00B65669" w:rsidP="00C367B5">
            <w:r>
              <w:t>TEF</w:t>
            </w:r>
          </w:p>
        </w:tc>
        <w:tc>
          <w:tcPr>
            <w:tcW w:w="5954" w:type="dxa"/>
          </w:tcPr>
          <w:p w14:paraId="497781B4" w14:textId="4480F737" w:rsidR="00B65669" w:rsidRDefault="00B65669" w:rsidP="00242B8F">
            <w:pPr>
              <w:cnfStyle w:val="000000000000" w:firstRow="0" w:lastRow="0" w:firstColumn="0" w:lastColumn="0" w:oddVBand="0" w:evenVBand="0" w:oddHBand="0" w:evenHBand="0" w:firstRowFirstColumn="0" w:firstRowLastColumn="0" w:lastRowFirstColumn="0" w:lastRowLastColumn="0"/>
            </w:pPr>
            <w:r>
              <w:t xml:space="preserve">Toxic </w:t>
            </w:r>
            <w:r w:rsidR="00FA3C0B">
              <w:t>E</w:t>
            </w:r>
            <w:r>
              <w:t xml:space="preserve">quivalency </w:t>
            </w:r>
            <w:r w:rsidR="00FA3C0B">
              <w:t>F</w:t>
            </w:r>
            <w:r>
              <w:t>actor</w:t>
            </w:r>
            <w:r w:rsidR="00FA3C0B">
              <w:t>, a system that expresses the toxicity of Dioxins, Furans and PCBs in terms of the most toxic form of dioxin</w:t>
            </w:r>
            <w:r w:rsidR="00242B8F">
              <w:t xml:space="preserve"> </w:t>
            </w:r>
            <w:r w:rsidR="00FA3C0B">
              <w:t>2,3,7,8-</w:t>
            </w:r>
            <w:r w:rsidR="00242B8F">
              <w:t xml:space="preserve"> </w:t>
            </w:r>
            <w:proofErr w:type="spellStart"/>
            <w:r w:rsidR="00242B8F">
              <w:t>tetrachlorodibenzo</w:t>
            </w:r>
            <w:proofErr w:type="spellEnd"/>
            <w:r w:rsidR="00242B8F">
              <w:t>-p-dioxin</w:t>
            </w:r>
            <w:r w:rsidR="00FA3C0B">
              <w:t xml:space="preserve"> </w:t>
            </w:r>
          </w:p>
        </w:tc>
      </w:tr>
      <w:tr w:rsidR="00B65669" w14:paraId="1D1D15CA"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AE20E3F" w14:textId="0E43FC83" w:rsidR="00B65669" w:rsidRDefault="00B65669" w:rsidP="00C367B5">
            <w:r>
              <w:t>TEQ</w:t>
            </w:r>
          </w:p>
        </w:tc>
        <w:tc>
          <w:tcPr>
            <w:tcW w:w="5954" w:type="dxa"/>
          </w:tcPr>
          <w:p w14:paraId="1D493904" w14:textId="53FA3C1F" w:rsidR="00B65669" w:rsidRDefault="00B65669" w:rsidP="00C367B5">
            <w:pPr>
              <w:cnfStyle w:val="000000010000" w:firstRow="0" w:lastRow="0" w:firstColumn="0" w:lastColumn="0" w:oddVBand="0" w:evenVBand="0" w:oddHBand="0" w:evenHBand="1" w:firstRowFirstColumn="0" w:firstRowLastColumn="0" w:lastRowFirstColumn="0" w:lastRowLastColumn="0"/>
            </w:pPr>
            <w:r>
              <w:t xml:space="preserve">Toxic </w:t>
            </w:r>
            <w:r w:rsidR="00242B8F">
              <w:t>E</w:t>
            </w:r>
            <w:r>
              <w:t xml:space="preserve">quivalent </w:t>
            </w:r>
            <w:r w:rsidR="00242B8F">
              <w:t>Q</w:t>
            </w:r>
            <w:r>
              <w:t>uotient</w:t>
            </w:r>
            <w:r w:rsidR="00242B8F">
              <w:t>, used to express the toxicity of a mixture of dioxins and dioxin-like compounds</w:t>
            </w:r>
          </w:p>
        </w:tc>
      </w:tr>
      <w:tr w:rsidR="00B65669" w14:paraId="3A693B22"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FD996DC" w14:textId="65764ADB" w:rsidR="00B65669" w:rsidRDefault="00B65669" w:rsidP="00C367B5">
            <w:r>
              <w:t>TOMPs</w:t>
            </w:r>
          </w:p>
        </w:tc>
        <w:tc>
          <w:tcPr>
            <w:tcW w:w="5954" w:type="dxa"/>
          </w:tcPr>
          <w:p w14:paraId="597D63C4" w14:textId="22844DA8" w:rsidR="00B65669" w:rsidRDefault="00B65669" w:rsidP="00C367B5">
            <w:pPr>
              <w:cnfStyle w:val="000000000000" w:firstRow="0" w:lastRow="0" w:firstColumn="0" w:lastColumn="0" w:oddVBand="0" w:evenVBand="0" w:oddHBand="0" w:evenHBand="0" w:firstRowFirstColumn="0" w:firstRowLastColumn="0" w:lastRowFirstColumn="0" w:lastRowLastColumn="0"/>
            </w:pPr>
            <w:r>
              <w:t>Toxic Organic Micro-Pollutants</w:t>
            </w:r>
          </w:p>
        </w:tc>
      </w:tr>
      <w:tr w:rsidR="00B65669" w14:paraId="3F9F2A4F"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DD76CB0" w14:textId="21C66701" w:rsidR="00B65669" w:rsidRDefault="00B65669" w:rsidP="00C367B5">
            <w:r>
              <w:t>UK</w:t>
            </w:r>
          </w:p>
        </w:tc>
        <w:tc>
          <w:tcPr>
            <w:tcW w:w="5954" w:type="dxa"/>
          </w:tcPr>
          <w:p w14:paraId="4C71AA4D" w14:textId="7C2F1461" w:rsidR="00B65669" w:rsidRDefault="00B65669" w:rsidP="00C367B5">
            <w:pPr>
              <w:cnfStyle w:val="000000010000" w:firstRow="0" w:lastRow="0" w:firstColumn="0" w:lastColumn="0" w:oddVBand="0" w:evenVBand="0" w:oddHBand="0" w:evenHBand="1" w:firstRowFirstColumn="0" w:firstRowLastColumn="0" w:lastRowFirstColumn="0" w:lastRowLastColumn="0"/>
            </w:pPr>
            <w:r>
              <w:t>United Kingdom</w:t>
            </w:r>
          </w:p>
        </w:tc>
      </w:tr>
      <w:tr w:rsidR="00231A7F" w14:paraId="5342534D" w14:textId="77777777" w:rsidTr="3C0A3149">
        <w:tc>
          <w:tcPr>
            <w:cnfStyle w:val="001000000000" w:firstRow="0" w:lastRow="0" w:firstColumn="1" w:lastColumn="0" w:oddVBand="0" w:evenVBand="0" w:oddHBand="0" w:evenHBand="0" w:firstRowFirstColumn="0" w:firstRowLastColumn="0" w:lastRowFirstColumn="0" w:lastRowLastColumn="0"/>
            <w:tcW w:w="4395" w:type="dxa"/>
          </w:tcPr>
          <w:p w14:paraId="040B575B" w14:textId="29E73D44" w:rsidR="00231A7F" w:rsidRDefault="00231A7F" w:rsidP="00231A7F">
            <w:r>
              <w:t>UKMMAS</w:t>
            </w:r>
          </w:p>
        </w:tc>
        <w:tc>
          <w:tcPr>
            <w:tcW w:w="5954" w:type="dxa"/>
          </w:tcPr>
          <w:p w14:paraId="4222FCA0" w14:textId="373A1B4E" w:rsidR="00231A7F" w:rsidRDefault="00231A7F" w:rsidP="00231A7F">
            <w:pPr>
              <w:cnfStyle w:val="000000000000" w:firstRow="0" w:lastRow="0" w:firstColumn="0" w:lastColumn="0" w:oddVBand="0" w:evenVBand="0" w:oddHBand="0" w:evenHBand="0" w:firstRowFirstColumn="0" w:firstRowLastColumn="0" w:lastRowFirstColumn="0" w:lastRowLastColumn="0"/>
            </w:pPr>
            <w:r>
              <w:t>United Kingdom Marine Monitoring and Assessment Strategy</w:t>
            </w:r>
          </w:p>
        </w:tc>
      </w:tr>
      <w:tr w:rsidR="00B65669" w14:paraId="1A2644D5"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826E679" w14:textId="4E158BDA" w:rsidR="00B65669" w:rsidRDefault="00B65669" w:rsidP="00C367B5">
            <w:r>
              <w:t>UNECE</w:t>
            </w:r>
          </w:p>
        </w:tc>
        <w:tc>
          <w:tcPr>
            <w:tcW w:w="5954" w:type="dxa"/>
          </w:tcPr>
          <w:p w14:paraId="67649EA0" w14:textId="6472DC55" w:rsidR="00B65669" w:rsidRDefault="00B65669" w:rsidP="00C367B5">
            <w:pPr>
              <w:cnfStyle w:val="000000010000" w:firstRow="0" w:lastRow="0" w:firstColumn="0" w:lastColumn="0" w:oddVBand="0" w:evenVBand="0" w:oddHBand="0" w:evenHBand="1" w:firstRowFirstColumn="0" w:firstRowLastColumn="0" w:lastRowFirstColumn="0" w:lastRowLastColumn="0"/>
            </w:pPr>
            <w:r>
              <w:t>United Nations Economic Commission for Europe</w:t>
            </w:r>
          </w:p>
        </w:tc>
      </w:tr>
      <w:tr w:rsidR="00B65669" w14:paraId="6F03C2D3"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492B57A6" w14:textId="46223917" w:rsidR="00B65669" w:rsidRDefault="00B65669" w:rsidP="00C367B5">
            <w:r>
              <w:t>UNEP</w:t>
            </w:r>
          </w:p>
        </w:tc>
        <w:tc>
          <w:tcPr>
            <w:tcW w:w="5954" w:type="dxa"/>
          </w:tcPr>
          <w:p w14:paraId="1ECE64F5" w14:textId="03BA6A21" w:rsidR="00B65669" w:rsidRDefault="00B65669" w:rsidP="00C367B5">
            <w:pPr>
              <w:cnfStyle w:val="000000000000" w:firstRow="0" w:lastRow="0" w:firstColumn="0" w:lastColumn="0" w:oddVBand="0" w:evenVBand="0" w:oddHBand="0" w:evenHBand="0" w:firstRowFirstColumn="0" w:firstRowLastColumn="0" w:lastRowFirstColumn="0" w:lastRowLastColumn="0"/>
            </w:pPr>
            <w:r>
              <w:t>United Nations Environment Programme</w:t>
            </w:r>
          </w:p>
        </w:tc>
      </w:tr>
      <w:tr w:rsidR="00231A7F" w14:paraId="3C947A54" w14:textId="77777777" w:rsidTr="3C0A3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DADAD67" w14:textId="58E7E50E" w:rsidR="00231A7F" w:rsidRDefault="00231A7F" w:rsidP="00231A7F">
            <w:proofErr w:type="spellStart"/>
            <w:r>
              <w:t>uPBT</w:t>
            </w:r>
            <w:proofErr w:type="spellEnd"/>
          </w:p>
        </w:tc>
        <w:tc>
          <w:tcPr>
            <w:tcW w:w="5954" w:type="dxa"/>
          </w:tcPr>
          <w:p w14:paraId="2AE20988" w14:textId="39369BB5" w:rsidR="00231A7F" w:rsidRDefault="00231A7F" w:rsidP="00231A7F">
            <w:pPr>
              <w:cnfStyle w:val="000000010000" w:firstRow="0" w:lastRow="0" w:firstColumn="0" w:lastColumn="0" w:oddVBand="0" w:evenVBand="0" w:oddHBand="0" w:evenHBand="1" w:firstRowFirstColumn="0" w:firstRowLastColumn="0" w:lastRowFirstColumn="0" w:lastRowLastColumn="0"/>
            </w:pPr>
            <w:r>
              <w:t>Ubiquitous, persistent, bio-accumulative and toxic</w:t>
            </w:r>
          </w:p>
        </w:tc>
      </w:tr>
      <w:tr w:rsidR="00B65669" w14:paraId="70BB37D6"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7E55FEDA" w14:textId="2D606EAD" w:rsidR="00B65669" w:rsidRDefault="00B65669" w:rsidP="00C367B5">
            <w:r>
              <w:t>WEEE</w:t>
            </w:r>
          </w:p>
        </w:tc>
        <w:tc>
          <w:tcPr>
            <w:tcW w:w="5954" w:type="dxa"/>
          </w:tcPr>
          <w:p w14:paraId="441EE81B" w14:textId="12355C10" w:rsidR="00B65669" w:rsidRDefault="00B65669" w:rsidP="00C367B5">
            <w:pPr>
              <w:cnfStyle w:val="000000000000" w:firstRow="0" w:lastRow="0" w:firstColumn="0" w:lastColumn="0" w:oddVBand="0" w:evenVBand="0" w:oddHBand="0" w:evenHBand="0" w:firstRowFirstColumn="0" w:firstRowLastColumn="0" w:lastRowFirstColumn="0" w:lastRowLastColumn="0"/>
            </w:pPr>
            <w:r>
              <w:t>Waste Electrical &amp; Electronic Equipment</w:t>
            </w:r>
          </w:p>
        </w:tc>
      </w:tr>
      <w:tr w:rsidR="00B65669" w14:paraId="6DE12B28" w14:textId="77777777" w:rsidTr="033CC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959F963" w14:textId="5D1D2904" w:rsidR="00B65669" w:rsidRDefault="00B65669" w:rsidP="00C367B5">
            <w:r>
              <w:t>WFD</w:t>
            </w:r>
          </w:p>
        </w:tc>
        <w:tc>
          <w:tcPr>
            <w:tcW w:w="5954" w:type="dxa"/>
          </w:tcPr>
          <w:p w14:paraId="6BC1337D" w14:textId="7335FFD5" w:rsidR="00B65669" w:rsidRDefault="00B65669" w:rsidP="00C367B5">
            <w:pPr>
              <w:cnfStyle w:val="000000010000" w:firstRow="0" w:lastRow="0" w:firstColumn="0" w:lastColumn="0" w:oddVBand="0" w:evenVBand="0" w:oddHBand="0" w:evenHBand="1" w:firstRowFirstColumn="0" w:firstRowLastColumn="0" w:lastRowFirstColumn="0" w:lastRowLastColumn="0"/>
            </w:pPr>
            <w:r>
              <w:t>Water Framework Directive</w:t>
            </w:r>
          </w:p>
        </w:tc>
      </w:tr>
      <w:tr w:rsidR="00B65669" w14:paraId="4F40F278" w14:textId="77777777" w:rsidTr="033CC0F5">
        <w:tc>
          <w:tcPr>
            <w:cnfStyle w:val="001000000000" w:firstRow="0" w:lastRow="0" w:firstColumn="1" w:lastColumn="0" w:oddVBand="0" w:evenVBand="0" w:oddHBand="0" w:evenHBand="0" w:firstRowFirstColumn="0" w:firstRowLastColumn="0" w:lastRowFirstColumn="0" w:lastRowLastColumn="0"/>
            <w:tcW w:w="4395" w:type="dxa"/>
          </w:tcPr>
          <w:p w14:paraId="6BF10A66" w14:textId="4A32589C" w:rsidR="00B65669" w:rsidRDefault="00B65669" w:rsidP="00C367B5">
            <w:r>
              <w:t>WHO</w:t>
            </w:r>
          </w:p>
        </w:tc>
        <w:tc>
          <w:tcPr>
            <w:tcW w:w="5954" w:type="dxa"/>
          </w:tcPr>
          <w:p w14:paraId="1928DA07" w14:textId="76D1A05A" w:rsidR="00B65669" w:rsidRDefault="00B65669" w:rsidP="00C367B5">
            <w:pPr>
              <w:cnfStyle w:val="000000000000" w:firstRow="0" w:lastRow="0" w:firstColumn="0" w:lastColumn="0" w:oddVBand="0" w:evenVBand="0" w:oddHBand="0" w:evenHBand="0" w:firstRowFirstColumn="0" w:firstRowLastColumn="0" w:lastRowFirstColumn="0" w:lastRowLastColumn="0"/>
            </w:pPr>
            <w:r>
              <w:t>World Health Organisation</w:t>
            </w:r>
          </w:p>
        </w:tc>
      </w:tr>
    </w:tbl>
    <w:p w14:paraId="035F8214" w14:textId="05E57550" w:rsidR="008B3A27" w:rsidRDefault="008B3A27" w:rsidP="008B3A27">
      <w:pPr>
        <w:pStyle w:val="Heading1"/>
      </w:pPr>
      <w:bookmarkStart w:id="42" w:name="_Toc67030074"/>
      <w:r>
        <w:lastRenderedPageBreak/>
        <w:t>Annex II: List of POPs</w:t>
      </w:r>
      <w:bookmarkEnd w:id="42"/>
      <w:r>
        <w:t xml:space="preserve"> </w:t>
      </w:r>
    </w:p>
    <w:p w14:paraId="753187B1" w14:textId="0D460359" w:rsidR="008B3A27" w:rsidRDefault="15416677" w:rsidP="008B3A27">
      <w:r>
        <w:t>Different POPs have multiple uses and are categorised by the Convention as being either industrial chemicals, pesticides or unintentionally produced. Once identified as meeting the POP criteria, the POP is listed on one three Annexes of the Convention, Annex A, B and/or C. Annex A substances are those which the production, use, stockpiles and waste must be eliminated. To allow suitable alternatives to be sought or developed by industry there are often specific time-limited exemptions, which allows the chemical’s continued specific use.</w:t>
      </w:r>
    </w:p>
    <w:p w14:paraId="7A4B2971" w14:textId="77777777" w:rsidR="008B3A27" w:rsidRDefault="15416677" w:rsidP="008B3A27">
      <w:r>
        <w:t>Annex B substances are</w:t>
      </w:r>
      <w:r w:rsidRPr="6008FBE6">
        <w:rPr>
          <w:u w:val="single"/>
        </w:rPr>
        <w:t xml:space="preserve"> </w:t>
      </w:r>
      <w:r>
        <w:t>also restricted but have acceptable purposes</w:t>
      </w:r>
      <w:r w:rsidRPr="6008FBE6">
        <w:rPr>
          <w:u w:val="single"/>
        </w:rPr>
        <w:t xml:space="preserve"> </w:t>
      </w:r>
      <w:r>
        <w:t xml:space="preserve">without time limit, very often along with specific time-limited exemptions. These acceptable purposes are reviewed by regularly the Convention to ensure they are still valid and there are still no suitable alternatives available.  </w:t>
      </w:r>
    </w:p>
    <w:p w14:paraId="130297A6" w14:textId="77777777" w:rsidR="008B3A27" w:rsidRDefault="15416677" w:rsidP="008B3A27">
      <w:r>
        <w:t>Annex C substances are those chemicals that are unintentionally produced, such as dioxins and furans. The release of these substances must be monitored and reduced as much as possible.</w:t>
      </w:r>
    </w:p>
    <w:p w14:paraId="55D29909" w14:textId="64B8DDFF" w:rsidR="008B3A27" w:rsidRDefault="008B3A27" w:rsidP="0ACF7FF0">
      <w:pPr>
        <w:rPr>
          <w:rFonts w:cs="Arial"/>
          <w:sz w:val="22"/>
        </w:rPr>
      </w:pPr>
    </w:p>
    <w:p w14:paraId="6FC32FEE" w14:textId="2FD9E777" w:rsidR="008B3A27" w:rsidRDefault="05498339" w:rsidP="0ACF7FF0">
      <w:r w:rsidRPr="0ACF7FF0">
        <w:rPr>
          <w:rFonts w:cs="Arial"/>
          <w:b/>
          <w:bCs/>
          <w:sz w:val="22"/>
        </w:rPr>
        <w:t xml:space="preserve">Table 1 The 30 POPs listed </w:t>
      </w:r>
      <w:r w:rsidR="00AE4E7C">
        <w:rPr>
          <w:rFonts w:cs="Arial"/>
          <w:b/>
          <w:bCs/>
          <w:sz w:val="22"/>
        </w:rPr>
        <w:t>i</w:t>
      </w:r>
      <w:r w:rsidRPr="0ACF7FF0">
        <w:rPr>
          <w:rFonts w:cs="Arial"/>
          <w:b/>
          <w:bCs/>
          <w:sz w:val="22"/>
        </w:rPr>
        <w:t>n the Stockholm Convention</w:t>
      </w:r>
      <w:r w:rsidRPr="0ACF7FF0">
        <w:rPr>
          <w:rFonts w:cs="Arial"/>
          <w:sz w:val="22"/>
        </w:rPr>
        <w:t xml:space="preserve"> </w:t>
      </w:r>
    </w:p>
    <w:tbl>
      <w:tblPr>
        <w:tblW w:w="9775" w:type="dxa"/>
        <w:tblInd w:w="-10" w:type="dxa"/>
        <w:tblLayout w:type="fixed"/>
        <w:tblLook w:val="04A0" w:firstRow="1" w:lastRow="0" w:firstColumn="1" w:lastColumn="0" w:noHBand="0" w:noVBand="1"/>
      </w:tblPr>
      <w:tblGrid>
        <w:gridCol w:w="3445"/>
        <w:gridCol w:w="1515"/>
        <w:gridCol w:w="1710"/>
        <w:gridCol w:w="1530"/>
        <w:gridCol w:w="1575"/>
      </w:tblGrid>
      <w:tr w:rsidR="00647600" w14:paraId="5AE3B686"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00B050"/>
          </w:tcPr>
          <w:p w14:paraId="238D4259" w14:textId="00E7626F" w:rsidR="0ACF7FF0" w:rsidRDefault="0ACF7FF0" w:rsidP="0ACF7FF0">
            <w:r w:rsidRPr="0ACF7FF0">
              <w:rPr>
                <w:rFonts w:cs="Arial"/>
                <w:sz w:val="22"/>
              </w:rPr>
              <w:t>POP</w:t>
            </w:r>
          </w:p>
        </w:tc>
        <w:tc>
          <w:tcPr>
            <w:tcW w:w="1515" w:type="dxa"/>
            <w:tcBorders>
              <w:top w:val="single" w:sz="8" w:space="0" w:color="00B050"/>
              <w:left w:val="single" w:sz="8" w:space="0" w:color="00B050"/>
              <w:bottom w:val="single" w:sz="8" w:space="0" w:color="00B050"/>
              <w:right w:val="single" w:sz="8" w:space="0" w:color="00B050"/>
            </w:tcBorders>
            <w:shd w:val="clear" w:color="auto" w:fill="00B050"/>
          </w:tcPr>
          <w:p w14:paraId="42116D06" w14:textId="7FB63CB4" w:rsidR="0ACF7FF0" w:rsidRDefault="0ACF7FF0" w:rsidP="0ACF7FF0">
            <w:r w:rsidRPr="0ACF7FF0">
              <w:rPr>
                <w:rFonts w:cs="Arial"/>
                <w:color w:val="000000" w:themeColor="text1"/>
                <w:sz w:val="22"/>
              </w:rPr>
              <w:t>CAS RN</w:t>
            </w:r>
            <w:r w:rsidRPr="0ACF7FF0">
              <w:rPr>
                <w:rFonts w:cs="Arial"/>
                <w:color w:val="000000" w:themeColor="text1"/>
                <w:sz w:val="22"/>
                <w:vertAlign w:val="superscript"/>
              </w:rPr>
              <w:t>1</w:t>
            </w:r>
            <w:r w:rsidRPr="0ACF7FF0">
              <w:rPr>
                <w:rFonts w:cs="Arial"/>
                <w:color w:val="000000" w:themeColor="text1"/>
                <w:sz w:val="22"/>
              </w:rPr>
              <w:t>.</w:t>
            </w:r>
          </w:p>
        </w:tc>
        <w:tc>
          <w:tcPr>
            <w:tcW w:w="1710" w:type="dxa"/>
            <w:tcBorders>
              <w:top w:val="single" w:sz="8" w:space="0" w:color="00B050"/>
              <w:left w:val="single" w:sz="8" w:space="0" w:color="00B050"/>
              <w:bottom w:val="single" w:sz="8" w:space="0" w:color="00B050"/>
              <w:right w:val="single" w:sz="8" w:space="0" w:color="00B050"/>
            </w:tcBorders>
            <w:shd w:val="clear" w:color="auto" w:fill="00B050"/>
          </w:tcPr>
          <w:p w14:paraId="1E7F229F" w14:textId="7973CDDE" w:rsidR="0ACF7FF0" w:rsidRDefault="0ACF7FF0" w:rsidP="0ACF7FF0">
            <w:r w:rsidRPr="0ACF7FF0">
              <w:rPr>
                <w:rFonts w:cs="Arial"/>
                <w:color w:val="000000" w:themeColor="text1"/>
                <w:sz w:val="22"/>
              </w:rPr>
              <w:t>Category</w:t>
            </w:r>
            <w:r w:rsidRPr="0ACF7FF0">
              <w:rPr>
                <w:rFonts w:cs="Arial"/>
                <w:color w:val="000000" w:themeColor="text1"/>
                <w:sz w:val="22"/>
                <w:vertAlign w:val="superscript"/>
              </w:rPr>
              <w:t>2</w:t>
            </w:r>
          </w:p>
        </w:tc>
        <w:tc>
          <w:tcPr>
            <w:tcW w:w="1530" w:type="dxa"/>
            <w:tcBorders>
              <w:top w:val="single" w:sz="8" w:space="0" w:color="00B050"/>
              <w:left w:val="single" w:sz="8" w:space="0" w:color="00B050"/>
              <w:bottom w:val="single" w:sz="8" w:space="0" w:color="00B050"/>
              <w:right w:val="single" w:sz="8" w:space="0" w:color="00B050"/>
            </w:tcBorders>
            <w:shd w:val="clear" w:color="auto" w:fill="00B050"/>
          </w:tcPr>
          <w:p w14:paraId="71251AA2" w14:textId="2C1F3370" w:rsidR="0ACF7FF0" w:rsidRDefault="0ACF7FF0" w:rsidP="0ACF7FF0">
            <w:r w:rsidRPr="0ACF7FF0">
              <w:rPr>
                <w:rFonts w:cs="Arial"/>
                <w:color w:val="000000" w:themeColor="text1"/>
                <w:sz w:val="22"/>
              </w:rPr>
              <w:t>Year of the COP</w:t>
            </w:r>
            <w:r w:rsidRPr="0ACF7FF0">
              <w:rPr>
                <w:rFonts w:cs="Arial"/>
                <w:color w:val="000000" w:themeColor="text1"/>
                <w:sz w:val="22"/>
                <w:vertAlign w:val="superscript"/>
              </w:rPr>
              <w:t>3</w:t>
            </w:r>
            <w:r w:rsidRPr="0ACF7FF0">
              <w:rPr>
                <w:rFonts w:cs="Arial"/>
                <w:color w:val="000000" w:themeColor="text1"/>
                <w:sz w:val="22"/>
              </w:rPr>
              <w:t xml:space="preserve"> listing</w:t>
            </w:r>
          </w:p>
        </w:tc>
        <w:tc>
          <w:tcPr>
            <w:tcW w:w="1575" w:type="dxa"/>
            <w:tcBorders>
              <w:top w:val="single" w:sz="8" w:space="0" w:color="00B050"/>
              <w:left w:val="single" w:sz="8" w:space="0" w:color="00B050"/>
              <w:bottom w:val="single" w:sz="8" w:space="0" w:color="00B050"/>
              <w:right w:val="single" w:sz="8" w:space="0" w:color="00B050"/>
            </w:tcBorders>
            <w:shd w:val="clear" w:color="auto" w:fill="00B050"/>
          </w:tcPr>
          <w:p w14:paraId="66C26B48" w14:textId="582C7A41" w:rsidR="0ACF7FF0" w:rsidRDefault="0ACF7FF0" w:rsidP="0ACF7FF0">
            <w:r w:rsidRPr="0ACF7FF0">
              <w:rPr>
                <w:rFonts w:cs="Arial"/>
                <w:color w:val="000000" w:themeColor="text1"/>
                <w:sz w:val="22"/>
              </w:rPr>
              <w:t>Annex</w:t>
            </w:r>
            <w:r w:rsidRPr="0ACF7FF0">
              <w:rPr>
                <w:rFonts w:cs="Arial"/>
                <w:color w:val="000000" w:themeColor="text1"/>
                <w:sz w:val="22"/>
                <w:vertAlign w:val="superscript"/>
              </w:rPr>
              <w:t>4</w:t>
            </w:r>
          </w:p>
        </w:tc>
      </w:tr>
      <w:tr w:rsidR="00647600" w14:paraId="25479B19"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5F9386C1" w14:textId="4720E7AE" w:rsidR="0ACF7FF0" w:rsidRDefault="0ACF7FF0" w:rsidP="0ACF7FF0">
            <w:r w:rsidRPr="0ACF7FF0">
              <w:rPr>
                <w:rFonts w:cs="Arial"/>
                <w:color w:val="000000" w:themeColor="text1"/>
                <w:sz w:val="22"/>
              </w:rPr>
              <w:t>Aldrin</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CC73033" w14:textId="00E3E466" w:rsidR="0ACF7FF0" w:rsidRDefault="0ACF7FF0" w:rsidP="0ACF7FF0">
            <w:r w:rsidRPr="0ACF7FF0">
              <w:rPr>
                <w:rFonts w:cs="Arial"/>
                <w:color w:val="000000" w:themeColor="text1"/>
                <w:sz w:val="22"/>
              </w:rPr>
              <w:t>309-00-2</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94B9D77" w14:textId="285274BD"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9B71BF1" w14:textId="3B6C4E28"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E54CA0F" w14:textId="3D5381E2" w:rsidR="0ACF7FF0" w:rsidRDefault="0ACF7FF0" w:rsidP="0ACF7FF0">
            <w:r w:rsidRPr="0ACF7FF0">
              <w:rPr>
                <w:rFonts w:cs="Arial"/>
                <w:color w:val="000000" w:themeColor="text1"/>
                <w:sz w:val="22"/>
              </w:rPr>
              <w:t>A</w:t>
            </w:r>
          </w:p>
        </w:tc>
      </w:tr>
      <w:tr w:rsidR="00647600" w14:paraId="2BDB17A9"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20DD2D9" w14:textId="313B0195" w:rsidR="0ACF7FF0" w:rsidRDefault="0ACF7FF0" w:rsidP="0ACF7FF0">
            <w:r w:rsidRPr="0ACF7FF0">
              <w:rPr>
                <w:rFonts w:cs="Arial"/>
                <w:color w:val="000000" w:themeColor="text1"/>
                <w:sz w:val="22"/>
              </w:rPr>
              <w:t>Chlordane</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3CE12D4" w14:textId="57104680" w:rsidR="0ACF7FF0" w:rsidRDefault="0ACF7FF0" w:rsidP="0ACF7FF0">
            <w:r w:rsidRPr="0ACF7FF0">
              <w:rPr>
                <w:rFonts w:cs="Arial"/>
                <w:color w:val="000000" w:themeColor="text1"/>
                <w:sz w:val="22"/>
              </w:rPr>
              <w:t>57-74-9</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9E76B9F" w14:textId="3C18375B"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64BEB9B" w14:textId="282CE137"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B033D73" w14:textId="05DCEE47" w:rsidR="0ACF7FF0" w:rsidRDefault="0ACF7FF0" w:rsidP="0ACF7FF0">
            <w:r w:rsidRPr="0ACF7FF0">
              <w:rPr>
                <w:rFonts w:cs="Arial"/>
                <w:color w:val="000000" w:themeColor="text1"/>
                <w:sz w:val="22"/>
              </w:rPr>
              <w:t>A</w:t>
            </w:r>
          </w:p>
        </w:tc>
      </w:tr>
      <w:tr w:rsidR="00647600" w14:paraId="1DB5E227"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F0358C0" w14:textId="79D21641" w:rsidR="0ACF7FF0" w:rsidRDefault="0ACF7FF0" w:rsidP="0ACF7FF0">
            <w:r w:rsidRPr="0ACF7FF0">
              <w:rPr>
                <w:rFonts w:cs="Arial"/>
                <w:color w:val="000000" w:themeColor="text1"/>
                <w:sz w:val="22"/>
              </w:rPr>
              <w:t>Chlordecone</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778584C" w14:textId="1BC02A31" w:rsidR="0ACF7FF0" w:rsidRDefault="0ACF7FF0" w:rsidP="0ACF7FF0">
            <w:r w:rsidRPr="0ACF7FF0">
              <w:rPr>
                <w:rFonts w:cs="Arial"/>
                <w:color w:val="000000" w:themeColor="text1"/>
                <w:sz w:val="22"/>
              </w:rPr>
              <w:t>143-50-0</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057A0C4" w14:textId="6DDB42DD"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FD102DC" w14:textId="6BFE0180"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FA6CEFC" w14:textId="12A5F930" w:rsidR="0ACF7FF0" w:rsidRDefault="0ACF7FF0" w:rsidP="0ACF7FF0">
            <w:r w:rsidRPr="0ACF7FF0">
              <w:rPr>
                <w:rFonts w:cs="Arial"/>
                <w:color w:val="000000" w:themeColor="text1"/>
                <w:sz w:val="22"/>
              </w:rPr>
              <w:t>A</w:t>
            </w:r>
          </w:p>
        </w:tc>
      </w:tr>
      <w:tr w:rsidR="00647600" w14:paraId="03BED16C"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4C52867B" w14:textId="4154F229" w:rsidR="0ACF7FF0" w:rsidRDefault="0ACF7FF0" w:rsidP="0ACF7FF0">
            <w:proofErr w:type="spellStart"/>
            <w:r w:rsidRPr="0ACF7FF0">
              <w:rPr>
                <w:rFonts w:cs="Arial"/>
                <w:color w:val="000000" w:themeColor="text1"/>
                <w:sz w:val="22"/>
              </w:rPr>
              <w:t>Decabromodiphenyl</w:t>
            </w:r>
            <w:proofErr w:type="spellEnd"/>
            <w:r w:rsidRPr="0ACF7FF0">
              <w:rPr>
                <w:rFonts w:cs="Arial"/>
                <w:color w:val="000000" w:themeColor="text1"/>
                <w:sz w:val="22"/>
              </w:rPr>
              <w:t xml:space="preserve"> ether (commercial mixture, c-</w:t>
            </w:r>
            <w:proofErr w:type="spellStart"/>
            <w:r w:rsidRPr="0ACF7FF0">
              <w:rPr>
                <w:rFonts w:cs="Arial"/>
                <w:color w:val="000000" w:themeColor="text1"/>
                <w:sz w:val="22"/>
              </w:rPr>
              <w:t>decaBDE</w:t>
            </w:r>
            <w:proofErr w:type="spellEnd"/>
            <w:r w:rsidRPr="0ACF7FF0">
              <w:rPr>
                <w:rFonts w:cs="Arial"/>
                <w:color w:val="000000" w:themeColor="text1"/>
                <w:sz w:val="22"/>
              </w:rPr>
              <w:t>)</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1D1B8D3" w14:textId="5A654F4A" w:rsidR="0ACF7FF0" w:rsidRDefault="0ACF7FF0" w:rsidP="0ACF7FF0">
            <w:r w:rsidRPr="0ACF7FF0">
              <w:rPr>
                <w:rFonts w:cs="Arial"/>
                <w:color w:val="000000" w:themeColor="text1"/>
                <w:sz w:val="22"/>
              </w:rPr>
              <w:t>1163-19-5</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5687CBA" w14:textId="715BB325"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D43F9E1" w14:textId="1E1087B8" w:rsidR="0ACF7FF0" w:rsidRDefault="0ACF7FF0" w:rsidP="0ACF7FF0">
            <w:r w:rsidRPr="0ACF7FF0">
              <w:rPr>
                <w:rFonts w:cs="Arial"/>
                <w:color w:val="000000" w:themeColor="text1"/>
                <w:sz w:val="22"/>
              </w:rPr>
              <w:t>2017</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32AAB12" w14:textId="37F30ADE" w:rsidR="0ACF7FF0" w:rsidRDefault="0ACF7FF0" w:rsidP="0ACF7FF0">
            <w:r w:rsidRPr="0ACF7FF0">
              <w:rPr>
                <w:rFonts w:cs="Arial"/>
                <w:color w:val="000000" w:themeColor="text1"/>
                <w:sz w:val="22"/>
              </w:rPr>
              <w:t>A</w:t>
            </w:r>
          </w:p>
        </w:tc>
      </w:tr>
      <w:tr w:rsidR="00647600" w14:paraId="3F7A0243"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327CEEDC" w14:textId="5C1E1E9A" w:rsidR="0ACF7FF0" w:rsidRDefault="0ACF7FF0" w:rsidP="0ACF7FF0">
            <w:r w:rsidRPr="0ACF7FF0">
              <w:rPr>
                <w:rFonts w:cs="Arial"/>
                <w:color w:val="000000" w:themeColor="text1"/>
                <w:sz w:val="22"/>
              </w:rPr>
              <w:t>Dichlorodiphenyltrichloroethane (DDT)</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4E5E067" w14:textId="5EAD73BC" w:rsidR="0ACF7FF0" w:rsidRDefault="0ACF7FF0" w:rsidP="0ACF7FF0">
            <w:r w:rsidRPr="0ACF7FF0">
              <w:rPr>
                <w:rFonts w:cs="Arial"/>
                <w:color w:val="000000" w:themeColor="text1"/>
                <w:sz w:val="22"/>
              </w:rPr>
              <w:t>50-29-3</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DD318C7" w14:textId="114253CD"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50E56A" w14:textId="0E289C07"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0743375" w14:textId="73887E9E" w:rsidR="0ACF7FF0" w:rsidRDefault="0ACF7FF0" w:rsidP="0ACF7FF0">
            <w:r w:rsidRPr="0ACF7FF0">
              <w:rPr>
                <w:rFonts w:cs="Arial"/>
                <w:color w:val="000000" w:themeColor="text1"/>
                <w:sz w:val="22"/>
              </w:rPr>
              <w:t>B</w:t>
            </w:r>
          </w:p>
        </w:tc>
      </w:tr>
      <w:tr w:rsidR="00647600" w14:paraId="4A683DED"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3EED5C3" w14:textId="7EC430BE" w:rsidR="0ACF7FF0" w:rsidRDefault="0ACF7FF0" w:rsidP="0ACF7FF0">
            <w:r w:rsidRPr="0ACF7FF0">
              <w:rPr>
                <w:rFonts w:cs="Arial"/>
                <w:color w:val="000000" w:themeColor="text1"/>
                <w:sz w:val="22"/>
              </w:rPr>
              <w:t>Dicofol</w:t>
            </w:r>
            <w:r w:rsidRPr="0ACF7FF0">
              <w:rPr>
                <w:rFonts w:cs="Arial"/>
                <w:color w:val="000000" w:themeColor="text1"/>
                <w:sz w:val="22"/>
                <w:vertAlign w:val="superscript"/>
              </w:rPr>
              <w:t>6</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E779F4F" w14:textId="4B5CD4F5" w:rsidR="0ACF7FF0" w:rsidRDefault="0ACF7FF0" w:rsidP="0ACF7FF0">
            <w:r w:rsidRPr="0ACF7FF0">
              <w:rPr>
                <w:rFonts w:cs="Arial"/>
                <w:sz w:val="22"/>
              </w:rPr>
              <w:t xml:space="preserve"> </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0633BD2" w14:textId="2BB159C6"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D0C0C0D" w14:textId="3ADCD684" w:rsidR="0ACF7FF0" w:rsidRDefault="0ACF7FF0" w:rsidP="0ACF7FF0">
            <w:r w:rsidRPr="0ACF7FF0">
              <w:rPr>
                <w:rFonts w:cs="Arial"/>
                <w:color w:val="000000" w:themeColor="text1"/>
                <w:sz w:val="22"/>
              </w:rPr>
              <w:t>2019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FF1A4A9" w14:textId="227AB976" w:rsidR="0ACF7FF0" w:rsidRDefault="0ACF7FF0" w:rsidP="0ACF7FF0">
            <w:r w:rsidRPr="0ACF7FF0">
              <w:rPr>
                <w:rFonts w:cs="Arial"/>
                <w:color w:val="000000" w:themeColor="text1"/>
                <w:sz w:val="22"/>
              </w:rPr>
              <w:t>A</w:t>
            </w:r>
          </w:p>
        </w:tc>
      </w:tr>
      <w:tr w:rsidR="00647600" w14:paraId="64564122"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5BB232A1" w14:textId="68B5677D" w:rsidR="0ACF7FF0" w:rsidRDefault="0ACF7FF0" w:rsidP="0ACF7FF0">
            <w:r w:rsidRPr="0ACF7FF0">
              <w:rPr>
                <w:rFonts w:cs="Arial"/>
                <w:color w:val="000000" w:themeColor="text1"/>
                <w:sz w:val="22"/>
              </w:rPr>
              <w:t>Dieldrin</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4086DB7" w14:textId="07955DB4" w:rsidR="0ACF7FF0" w:rsidRDefault="0ACF7FF0" w:rsidP="0ACF7FF0">
            <w:r w:rsidRPr="0ACF7FF0">
              <w:rPr>
                <w:rFonts w:cs="Arial"/>
                <w:color w:val="000000" w:themeColor="text1"/>
                <w:sz w:val="22"/>
              </w:rPr>
              <w:t>60-57-1</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2910204" w14:textId="497D92DB"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0E767CF" w14:textId="19ED3E92"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D098A64" w14:textId="53D7EDF6" w:rsidR="0ACF7FF0" w:rsidRDefault="0ACF7FF0" w:rsidP="0ACF7FF0">
            <w:r w:rsidRPr="0ACF7FF0">
              <w:rPr>
                <w:rFonts w:cs="Arial"/>
                <w:color w:val="000000" w:themeColor="text1"/>
                <w:sz w:val="22"/>
              </w:rPr>
              <w:t>A</w:t>
            </w:r>
          </w:p>
        </w:tc>
      </w:tr>
      <w:tr w:rsidR="00647600" w14:paraId="3949E52F"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19F3CA8" w14:textId="6364CD34" w:rsidR="0ACF7FF0" w:rsidRDefault="0ACF7FF0" w:rsidP="0ACF7FF0">
            <w:r w:rsidRPr="0ACF7FF0">
              <w:rPr>
                <w:rFonts w:cs="Arial"/>
                <w:color w:val="000000" w:themeColor="text1"/>
                <w:sz w:val="22"/>
              </w:rPr>
              <w:t>Endrin</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ED46603" w14:textId="4E45C76A" w:rsidR="0ACF7FF0" w:rsidRDefault="0ACF7FF0" w:rsidP="0ACF7FF0">
            <w:r w:rsidRPr="0ACF7FF0">
              <w:rPr>
                <w:rFonts w:cs="Arial"/>
                <w:color w:val="000000" w:themeColor="text1"/>
                <w:sz w:val="22"/>
              </w:rPr>
              <w:t>72-20-8</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D7A434C" w14:textId="2005D7DE"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3534CD6" w14:textId="190A9CB8"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27E03AF" w14:textId="43181906" w:rsidR="0ACF7FF0" w:rsidRDefault="0ACF7FF0" w:rsidP="0ACF7FF0">
            <w:r w:rsidRPr="0ACF7FF0">
              <w:rPr>
                <w:rFonts w:cs="Arial"/>
                <w:color w:val="000000" w:themeColor="text1"/>
                <w:sz w:val="22"/>
              </w:rPr>
              <w:t>A</w:t>
            </w:r>
          </w:p>
        </w:tc>
      </w:tr>
      <w:tr w:rsidR="00647600" w14:paraId="0FC6BFA6"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3A4B4FA" w14:textId="3EBACE14" w:rsidR="0ACF7FF0" w:rsidRDefault="0ACF7FF0" w:rsidP="0ACF7FF0">
            <w:r w:rsidRPr="0ACF7FF0">
              <w:rPr>
                <w:rFonts w:cs="Arial"/>
                <w:color w:val="000000" w:themeColor="text1"/>
                <w:sz w:val="22"/>
              </w:rPr>
              <w:lastRenderedPageBreak/>
              <w:t>Heptachlor</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7576559" w14:textId="19431D17" w:rsidR="0ACF7FF0" w:rsidRDefault="0ACF7FF0" w:rsidP="0ACF7FF0">
            <w:r w:rsidRPr="0ACF7FF0">
              <w:rPr>
                <w:rFonts w:cs="Arial"/>
                <w:color w:val="000000" w:themeColor="text1"/>
                <w:sz w:val="22"/>
              </w:rPr>
              <w:t>76-44-8</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5256501" w14:textId="71537EB9"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A08D80" w14:textId="11A7AB18"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83C7183" w14:textId="6C823AE4" w:rsidR="0ACF7FF0" w:rsidRDefault="0ACF7FF0" w:rsidP="0ACF7FF0">
            <w:r w:rsidRPr="0ACF7FF0">
              <w:rPr>
                <w:rFonts w:cs="Arial"/>
                <w:color w:val="000000" w:themeColor="text1"/>
                <w:sz w:val="22"/>
              </w:rPr>
              <w:t>A</w:t>
            </w:r>
          </w:p>
        </w:tc>
      </w:tr>
      <w:tr w:rsidR="00647600" w14:paraId="2D7BFE38"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6A4751B" w14:textId="08FE9B8A" w:rsidR="0ACF7FF0" w:rsidRDefault="0ACF7FF0" w:rsidP="0ACF7FF0">
            <w:r w:rsidRPr="0ACF7FF0">
              <w:rPr>
                <w:rFonts w:cs="Arial"/>
                <w:color w:val="000000" w:themeColor="text1"/>
                <w:sz w:val="22"/>
              </w:rPr>
              <w:t>Hexabromobiphenyl</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44CCE92" w14:textId="6B53F425" w:rsidR="0ACF7FF0" w:rsidRDefault="0ACF7FF0" w:rsidP="0ACF7FF0">
            <w:r w:rsidRPr="0ACF7FF0">
              <w:rPr>
                <w:rFonts w:cs="Arial"/>
                <w:color w:val="000000" w:themeColor="text1"/>
                <w:sz w:val="22"/>
              </w:rPr>
              <w:t>36355-01-8</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3D475BE" w14:textId="5063C523"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3F102D9" w14:textId="36320126"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858A0FF" w14:textId="5F1FF3E0" w:rsidR="0ACF7FF0" w:rsidRDefault="0ACF7FF0" w:rsidP="0ACF7FF0">
            <w:r w:rsidRPr="0ACF7FF0">
              <w:rPr>
                <w:rFonts w:cs="Arial"/>
                <w:color w:val="000000" w:themeColor="text1"/>
                <w:sz w:val="22"/>
              </w:rPr>
              <w:t>A</w:t>
            </w:r>
          </w:p>
        </w:tc>
      </w:tr>
      <w:tr w:rsidR="00647600" w14:paraId="3FF7F43B"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10AB2BE" w14:textId="1683947A" w:rsidR="0ACF7FF0" w:rsidRDefault="0ACF7FF0" w:rsidP="0ACF7FF0">
            <w:r w:rsidRPr="0ACF7FF0">
              <w:rPr>
                <w:rFonts w:cs="Arial"/>
                <w:color w:val="000000" w:themeColor="text1"/>
                <w:sz w:val="22"/>
              </w:rPr>
              <w:t>Hexabromocyclododecane (HBCDD)</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D205646" w14:textId="56DD13C6" w:rsidR="0ACF7FF0" w:rsidRDefault="0ACF7FF0" w:rsidP="0ACF7FF0">
            <w:r w:rsidRPr="0ACF7FF0">
              <w:rPr>
                <w:rFonts w:cs="Arial"/>
                <w:color w:val="000000" w:themeColor="text1"/>
                <w:sz w:val="22"/>
              </w:rPr>
              <w:t>25637-99-4; 3194-55-6</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2FB5FDD" w14:textId="02A84E45"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D105ABA" w14:textId="0C307FC9" w:rsidR="0ACF7FF0" w:rsidRDefault="0ACF7FF0" w:rsidP="0ACF7FF0">
            <w:r w:rsidRPr="0ACF7FF0">
              <w:rPr>
                <w:rFonts w:cs="Arial"/>
                <w:color w:val="000000" w:themeColor="text1"/>
                <w:sz w:val="22"/>
              </w:rPr>
              <w:t>2013</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C049F13" w14:textId="26FD4611" w:rsidR="0ACF7FF0" w:rsidRDefault="0ACF7FF0" w:rsidP="0ACF7FF0">
            <w:r w:rsidRPr="0ACF7FF0">
              <w:rPr>
                <w:rFonts w:cs="Arial"/>
                <w:color w:val="000000" w:themeColor="text1"/>
                <w:sz w:val="22"/>
              </w:rPr>
              <w:t>A</w:t>
            </w:r>
          </w:p>
        </w:tc>
      </w:tr>
      <w:tr w:rsidR="00647600" w14:paraId="618697E6"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4ED08D84" w14:textId="721EF464" w:rsidR="0ACF7FF0" w:rsidRDefault="0ACF7FF0" w:rsidP="0ACF7FF0">
            <w:r w:rsidRPr="0ACF7FF0">
              <w:rPr>
                <w:rFonts w:cs="Arial"/>
                <w:color w:val="000000" w:themeColor="text1"/>
                <w:sz w:val="22"/>
              </w:rPr>
              <w:t xml:space="preserve">Hexa- and </w:t>
            </w:r>
            <w:proofErr w:type="spellStart"/>
            <w:r w:rsidRPr="0ACF7FF0">
              <w:rPr>
                <w:rFonts w:cs="Arial"/>
                <w:color w:val="000000" w:themeColor="text1"/>
                <w:sz w:val="22"/>
              </w:rPr>
              <w:t>hepta</w:t>
            </w:r>
            <w:proofErr w:type="spellEnd"/>
            <w:r w:rsidRPr="0ACF7FF0">
              <w:rPr>
                <w:rFonts w:cs="Arial"/>
                <w:color w:val="000000" w:themeColor="text1"/>
                <w:sz w:val="22"/>
              </w:rPr>
              <w:t xml:space="preserve">- </w:t>
            </w:r>
            <w:proofErr w:type="spellStart"/>
            <w:r w:rsidRPr="0ACF7FF0">
              <w:rPr>
                <w:rFonts w:cs="Arial"/>
                <w:color w:val="000000" w:themeColor="text1"/>
                <w:sz w:val="22"/>
              </w:rPr>
              <w:t>bromodiphenyl</w:t>
            </w:r>
            <w:proofErr w:type="spellEnd"/>
            <w:r w:rsidRPr="0ACF7FF0">
              <w:rPr>
                <w:rFonts w:cs="Arial"/>
                <w:color w:val="000000" w:themeColor="text1"/>
                <w:sz w:val="22"/>
              </w:rPr>
              <w:t xml:space="preserve"> ether (commercial </w:t>
            </w:r>
            <w:proofErr w:type="spellStart"/>
            <w:r w:rsidRPr="0ACF7FF0">
              <w:rPr>
                <w:rFonts w:cs="Arial"/>
                <w:color w:val="000000" w:themeColor="text1"/>
                <w:sz w:val="22"/>
              </w:rPr>
              <w:t>octabromodiphenyl</w:t>
            </w:r>
            <w:proofErr w:type="spellEnd"/>
            <w:r w:rsidRPr="0ACF7FF0">
              <w:rPr>
                <w:rFonts w:cs="Arial"/>
                <w:color w:val="000000" w:themeColor="text1"/>
                <w:sz w:val="22"/>
              </w:rPr>
              <w:t xml:space="preserve"> ether) (</w:t>
            </w:r>
            <w:proofErr w:type="spellStart"/>
            <w:r w:rsidRPr="0ACF7FF0">
              <w:rPr>
                <w:rFonts w:cs="Arial"/>
                <w:color w:val="000000" w:themeColor="text1"/>
                <w:sz w:val="22"/>
              </w:rPr>
              <w:t>hexaBDE</w:t>
            </w:r>
            <w:proofErr w:type="spellEnd"/>
            <w:r w:rsidRPr="0ACF7FF0">
              <w:rPr>
                <w:rFonts w:cs="Arial"/>
                <w:color w:val="000000" w:themeColor="text1"/>
                <w:sz w:val="22"/>
              </w:rPr>
              <w:t xml:space="preserve"> and </w:t>
            </w:r>
            <w:proofErr w:type="spellStart"/>
            <w:r w:rsidRPr="0ACF7FF0">
              <w:rPr>
                <w:rFonts w:cs="Arial"/>
                <w:color w:val="000000" w:themeColor="text1"/>
                <w:sz w:val="22"/>
              </w:rPr>
              <w:t>heptaBDE</w:t>
            </w:r>
            <w:proofErr w:type="spellEnd"/>
            <w:r w:rsidRPr="0ACF7FF0">
              <w:rPr>
                <w:rFonts w:cs="Arial"/>
                <w:color w:val="000000" w:themeColor="text1"/>
                <w:sz w:val="22"/>
              </w:rPr>
              <w:t>)</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69D5DB2" w14:textId="143B174A" w:rsidR="0ACF7FF0" w:rsidRDefault="0ACF7FF0" w:rsidP="0ACF7FF0">
            <w:r w:rsidRPr="0ACF7FF0">
              <w:rPr>
                <w:rFonts w:cs="Arial"/>
                <w:color w:val="000000" w:themeColor="text1"/>
                <w:sz w:val="22"/>
              </w:rPr>
              <w:t>68631-49-2; 207122-15-4; 446255-22-7; 207122-16-5</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9FB0780" w14:textId="56CBC245"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DC6C5B8" w14:textId="617E682F"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A20E40A" w14:textId="6926AE46" w:rsidR="0ACF7FF0" w:rsidRDefault="0ACF7FF0" w:rsidP="0ACF7FF0">
            <w:r w:rsidRPr="0ACF7FF0">
              <w:rPr>
                <w:rFonts w:cs="Arial"/>
                <w:color w:val="000000" w:themeColor="text1"/>
                <w:sz w:val="22"/>
              </w:rPr>
              <w:t>A</w:t>
            </w:r>
          </w:p>
        </w:tc>
      </w:tr>
      <w:tr w:rsidR="00647600" w14:paraId="7912714E"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0A81D960" w14:textId="798689E4" w:rsidR="0ACF7FF0" w:rsidRDefault="0ACF7FF0" w:rsidP="0ACF7FF0">
            <w:r w:rsidRPr="0ACF7FF0">
              <w:rPr>
                <w:rFonts w:cs="Arial"/>
                <w:color w:val="000000" w:themeColor="text1"/>
                <w:sz w:val="22"/>
              </w:rPr>
              <w:t>Hexachlorobenzene (HCB)</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79799D0" w14:textId="76D21C67" w:rsidR="0ACF7FF0" w:rsidRDefault="0ACF7FF0" w:rsidP="0ACF7FF0">
            <w:r w:rsidRPr="0ACF7FF0">
              <w:rPr>
                <w:rFonts w:cs="Arial"/>
                <w:color w:val="000000" w:themeColor="text1"/>
                <w:sz w:val="22"/>
              </w:rPr>
              <w:t>118-74-1</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8A515CA" w14:textId="7A217339" w:rsidR="0ACF7FF0" w:rsidRDefault="0ACF7FF0" w:rsidP="0ACF7FF0">
            <w:r w:rsidRPr="0ACF7FF0">
              <w:rPr>
                <w:rFonts w:cs="Arial"/>
                <w:color w:val="000000" w:themeColor="text1"/>
                <w:sz w:val="22"/>
              </w:rPr>
              <w:t>P, 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DC3D037" w14:textId="689E8DA2"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5CDB22" w14:textId="31ADADD2" w:rsidR="0ACF7FF0" w:rsidRDefault="0ACF7FF0" w:rsidP="0ACF7FF0">
            <w:r w:rsidRPr="0ACF7FF0">
              <w:rPr>
                <w:rFonts w:cs="Arial"/>
                <w:color w:val="000000" w:themeColor="text1"/>
                <w:sz w:val="22"/>
              </w:rPr>
              <w:t>A, C</w:t>
            </w:r>
          </w:p>
        </w:tc>
      </w:tr>
      <w:tr w:rsidR="00647600" w14:paraId="665592FD"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54513E2F" w14:textId="044D93ED" w:rsidR="0ACF7FF0" w:rsidRDefault="0ACF7FF0" w:rsidP="0ACF7FF0">
            <w:r w:rsidRPr="0ACF7FF0">
              <w:rPr>
                <w:rFonts w:cs="Arial"/>
                <w:color w:val="000000" w:themeColor="text1"/>
                <w:sz w:val="22"/>
              </w:rPr>
              <w:t>Hexachlorobutadiene (HCBD)</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12463C0" w14:textId="41122BF8" w:rsidR="0ACF7FF0" w:rsidRDefault="0ACF7FF0" w:rsidP="0ACF7FF0">
            <w:r w:rsidRPr="0ACF7FF0">
              <w:rPr>
                <w:rFonts w:cs="Arial"/>
                <w:color w:val="000000" w:themeColor="text1"/>
                <w:sz w:val="22"/>
              </w:rPr>
              <w:t>87-68-3</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F93437C" w14:textId="78B79452"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5189B3B" w14:textId="6387105E" w:rsidR="0ACF7FF0" w:rsidRDefault="0ACF7FF0" w:rsidP="0ACF7FF0">
            <w:r w:rsidRPr="0ACF7FF0">
              <w:rPr>
                <w:rFonts w:cs="Arial"/>
                <w:color w:val="000000" w:themeColor="text1"/>
                <w:sz w:val="22"/>
              </w:rPr>
              <w:t>2015, 2017</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8816BEC" w14:textId="40B4CAF0" w:rsidR="0ACF7FF0" w:rsidRDefault="0ACF7FF0" w:rsidP="0ACF7FF0">
            <w:r w:rsidRPr="0ACF7FF0">
              <w:rPr>
                <w:rFonts w:cs="Arial"/>
                <w:color w:val="000000" w:themeColor="text1"/>
                <w:sz w:val="22"/>
              </w:rPr>
              <w:t>A, C</w:t>
            </w:r>
          </w:p>
        </w:tc>
      </w:tr>
      <w:tr w:rsidR="00647600" w14:paraId="490199AC"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08AA97AD" w14:textId="5C923E04" w:rsidR="0ACF7FF0" w:rsidRDefault="0ACF7FF0" w:rsidP="0ACF7FF0">
            <w:r w:rsidRPr="0ACF7FF0">
              <w:rPr>
                <w:rFonts w:cs="Arial"/>
                <w:color w:val="000000" w:themeColor="text1"/>
                <w:sz w:val="22"/>
              </w:rPr>
              <w:t>Alpha hexachlorocyclohexane (alpha-HCH)</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7738A73" w14:textId="7726407D" w:rsidR="0ACF7FF0" w:rsidRDefault="0ACF7FF0" w:rsidP="0ACF7FF0">
            <w:r w:rsidRPr="0ACF7FF0">
              <w:rPr>
                <w:rFonts w:cs="Arial"/>
                <w:color w:val="000000" w:themeColor="text1"/>
                <w:sz w:val="22"/>
              </w:rPr>
              <w:t>319-84-6</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630FB0B" w14:textId="5EE36D2D"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CE3D096" w14:textId="7BCD1EBD"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9C80F40" w14:textId="00C018DF" w:rsidR="0ACF7FF0" w:rsidRDefault="0ACF7FF0" w:rsidP="0ACF7FF0">
            <w:r w:rsidRPr="0ACF7FF0">
              <w:rPr>
                <w:rFonts w:cs="Arial"/>
                <w:color w:val="000000" w:themeColor="text1"/>
                <w:sz w:val="22"/>
              </w:rPr>
              <w:t>A</w:t>
            </w:r>
          </w:p>
        </w:tc>
      </w:tr>
      <w:tr w:rsidR="00647600" w14:paraId="3B585828"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013AAE5B" w14:textId="15868B37" w:rsidR="0ACF7FF0" w:rsidRDefault="0ACF7FF0" w:rsidP="0ACF7FF0">
            <w:r w:rsidRPr="0ACF7FF0">
              <w:rPr>
                <w:rFonts w:cs="Arial"/>
                <w:color w:val="000000" w:themeColor="text1"/>
                <w:sz w:val="22"/>
              </w:rPr>
              <w:t>Beta hexachlorocyclohexane (beta-HCH)</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0DD360E" w14:textId="5467CB37" w:rsidR="0ACF7FF0" w:rsidRDefault="0ACF7FF0" w:rsidP="0ACF7FF0">
            <w:r w:rsidRPr="0ACF7FF0">
              <w:rPr>
                <w:rFonts w:cs="Arial"/>
                <w:color w:val="000000" w:themeColor="text1"/>
                <w:sz w:val="22"/>
              </w:rPr>
              <w:t>319-85-7</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7D9F9A8" w14:textId="4FD06862"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5954732" w14:textId="62901F24"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55698FB" w14:textId="3A98D751" w:rsidR="0ACF7FF0" w:rsidRDefault="0ACF7FF0" w:rsidP="0ACF7FF0">
            <w:r w:rsidRPr="0ACF7FF0">
              <w:rPr>
                <w:rFonts w:cs="Arial"/>
                <w:color w:val="000000" w:themeColor="text1"/>
                <w:sz w:val="22"/>
              </w:rPr>
              <w:t>A</w:t>
            </w:r>
          </w:p>
        </w:tc>
      </w:tr>
      <w:tr w:rsidR="00647600" w14:paraId="463A4B69"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341F5D9" w14:textId="3AB8E49C" w:rsidR="0ACF7FF0" w:rsidRDefault="0ACF7FF0" w:rsidP="0ACF7FF0">
            <w:r w:rsidRPr="0ACF7FF0">
              <w:rPr>
                <w:rFonts w:cs="Arial"/>
                <w:color w:val="000000" w:themeColor="text1"/>
                <w:sz w:val="22"/>
              </w:rPr>
              <w:t>Lindane (gamma hexachlorocyclohexane; (gamma-HCH)</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950E71B" w14:textId="71340E0D" w:rsidR="0ACF7FF0" w:rsidRDefault="0ACF7FF0" w:rsidP="0ACF7FF0">
            <w:r w:rsidRPr="0ACF7FF0">
              <w:rPr>
                <w:rFonts w:cs="Arial"/>
                <w:color w:val="000000" w:themeColor="text1"/>
                <w:sz w:val="22"/>
              </w:rPr>
              <w:t>58-89-9</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3813925" w14:textId="7FB096A1"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6539636" w14:textId="00AD29B8"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2E9F27F" w14:textId="795942A3" w:rsidR="0ACF7FF0" w:rsidRDefault="0ACF7FF0" w:rsidP="0ACF7FF0">
            <w:r w:rsidRPr="0ACF7FF0">
              <w:rPr>
                <w:rFonts w:cs="Arial"/>
                <w:color w:val="000000" w:themeColor="text1"/>
                <w:sz w:val="22"/>
              </w:rPr>
              <w:t>A</w:t>
            </w:r>
          </w:p>
        </w:tc>
      </w:tr>
      <w:tr w:rsidR="00647600" w14:paraId="34ACEB94"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03F68FA" w14:textId="5FB3EAB1" w:rsidR="0ACF7FF0" w:rsidRDefault="0ACF7FF0" w:rsidP="0ACF7FF0">
            <w:proofErr w:type="spellStart"/>
            <w:r w:rsidRPr="0ACF7FF0">
              <w:rPr>
                <w:rFonts w:cs="Arial"/>
                <w:color w:val="000000" w:themeColor="text1"/>
                <w:sz w:val="22"/>
              </w:rPr>
              <w:t>Mirex</w:t>
            </w:r>
            <w:proofErr w:type="spellEnd"/>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DDEF467" w14:textId="2A958369" w:rsidR="0ACF7FF0" w:rsidRDefault="0ACF7FF0" w:rsidP="0ACF7FF0">
            <w:r w:rsidRPr="0ACF7FF0">
              <w:rPr>
                <w:rFonts w:cs="Arial"/>
                <w:color w:val="000000" w:themeColor="text1"/>
                <w:sz w:val="22"/>
              </w:rPr>
              <w:t>2385-85-5</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97BAAAB" w14:textId="74E1393F"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039A355" w14:textId="3360547F"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B81716B" w14:textId="3668C6C4" w:rsidR="0ACF7FF0" w:rsidRDefault="0ACF7FF0" w:rsidP="0ACF7FF0">
            <w:r w:rsidRPr="0ACF7FF0">
              <w:rPr>
                <w:rFonts w:cs="Arial"/>
                <w:color w:val="000000" w:themeColor="text1"/>
                <w:sz w:val="22"/>
              </w:rPr>
              <w:t>A</w:t>
            </w:r>
          </w:p>
        </w:tc>
      </w:tr>
      <w:tr w:rsidR="00647600" w14:paraId="6C419E3D"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C4BCE1E" w14:textId="1E24B054" w:rsidR="0ACF7FF0" w:rsidRDefault="0ACF7FF0" w:rsidP="0ACF7FF0">
            <w:proofErr w:type="spellStart"/>
            <w:r w:rsidRPr="0ACF7FF0">
              <w:rPr>
                <w:rFonts w:cs="Arial"/>
                <w:color w:val="000000" w:themeColor="text1"/>
                <w:sz w:val="22"/>
              </w:rPr>
              <w:t>Pentachlorobenzene</w:t>
            </w:r>
            <w:proofErr w:type="spellEnd"/>
            <w:r w:rsidRPr="0ACF7FF0">
              <w:rPr>
                <w:rFonts w:cs="Arial"/>
                <w:color w:val="000000" w:themeColor="text1"/>
                <w:sz w:val="22"/>
              </w:rPr>
              <w:t xml:space="preserve"> (</w:t>
            </w:r>
            <w:proofErr w:type="spellStart"/>
            <w:r w:rsidRPr="0ACF7FF0">
              <w:rPr>
                <w:rFonts w:cs="Arial"/>
                <w:color w:val="000000" w:themeColor="text1"/>
                <w:sz w:val="22"/>
              </w:rPr>
              <w:t>PeCB</w:t>
            </w:r>
            <w:proofErr w:type="spellEnd"/>
            <w:r w:rsidRPr="0ACF7FF0">
              <w:rPr>
                <w:rFonts w:cs="Arial"/>
                <w:color w:val="000000" w:themeColor="text1"/>
                <w:sz w:val="22"/>
              </w:rPr>
              <w:t xml:space="preserve">; </w:t>
            </w:r>
            <w:proofErr w:type="spellStart"/>
            <w:r w:rsidRPr="0ACF7FF0">
              <w:rPr>
                <w:rFonts w:cs="Arial"/>
                <w:color w:val="000000" w:themeColor="text1"/>
                <w:sz w:val="22"/>
              </w:rPr>
              <w:t>PCBz</w:t>
            </w:r>
            <w:proofErr w:type="spellEnd"/>
            <w:r w:rsidRPr="0ACF7FF0">
              <w:rPr>
                <w:rFonts w:cs="Arial"/>
                <w:color w:val="000000" w:themeColor="text1"/>
                <w:sz w:val="22"/>
              </w:rPr>
              <w:t>))</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3846F4D" w14:textId="722D4AD1" w:rsidR="0ACF7FF0" w:rsidRDefault="0ACF7FF0" w:rsidP="0ACF7FF0">
            <w:r w:rsidRPr="0ACF7FF0">
              <w:rPr>
                <w:rFonts w:cs="Arial"/>
                <w:color w:val="000000" w:themeColor="text1"/>
                <w:sz w:val="22"/>
              </w:rPr>
              <w:t>608-93-5</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D24026D" w14:textId="46475377" w:rsidR="0ACF7FF0" w:rsidRDefault="0ACF7FF0" w:rsidP="0ACF7FF0">
            <w:r w:rsidRPr="0ACF7FF0">
              <w:rPr>
                <w:rFonts w:cs="Arial"/>
                <w:color w:val="000000" w:themeColor="text1"/>
                <w:sz w:val="22"/>
              </w:rPr>
              <w:t>P, I, U</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1B55CBF" w14:textId="39DFA265"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514A21B" w14:textId="3DD7676B" w:rsidR="0ACF7FF0" w:rsidRDefault="0ACF7FF0" w:rsidP="0ACF7FF0">
            <w:r w:rsidRPr="0ACF7FF0">
              <w:rPr>
                <w:rFonts w:cs="Arial"/>
                <w:color w:val="000000" w:themeColor="text1"/>
                <w:sz w:val="22"/>
              </w:rPr>
              <w:t>A, C</w:t>
            </w:r>
          </w:p>
        </w:tc>
      </w:tr>
      <w:tr w:rsidR="00647600" w14:paraId="52B41B15"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6D75254" w14:textId="49C42906" w:rsidR="0ACF7FF0" w:rsidRDefault="0ACF7FF0" w:rsidP="0ACF7FF0">
            <w:r w:rsidRPr="0ACF7FF0">
              <w:rPr>
                <w:rFonts w:cs="Arial"/>
                <w:color w:val="000000" w:themeColor="text1"/>
                <w:sz w:val="22"/>
              </w:rPr>
              <w:t>Pentachlorophenol (PCP) and its salts and esters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EA14407" w14:textId="5FFCE29F" w:rsidR="0ACF7FF0" w:rsidRDefault="0ACF7FF0" w:rsidP="0ACF7FF0">
            <w:r w:rsidRPr="0ACF7FF0">
              <w:rPr>
                <w:rFonts w:cs="Arial"/>
                <w:color w:val="000000" w:themeColor="text1"/>
                <w:sz w:val="22"/>
              </w:rPr>
              <w:t>87-86-5; 131-52-2; 27735-64-4; 3772-94-9; 1825-21-4</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94DB0EA" w14:textId="709EAD73"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E387B2D" w14:textId="26E67EAF" w:rsidR="0ACF7FF0" w:rsidRDefault="0ACF7FF0" w:rsidP="0ACF7FF0">
            <w:r w:rsidRPr="0ACF7FF0">
              <w:rPr>
                <w:rFonts w:cs="Arial"/>
                <w:color w:val="000000" w:themeColor="text1"/>
                <w:sz w:val="22"/>
              </w:rPr>
              <w:t>2015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E92C3E9" w14:textId="1B7F9A0A" w:rsidR="0ACF7FF0" w:rsidRDefault="0ACF7FF0" w:rsidP="0ACF7FF0">
            <w:r w:rsidRPr="0ACF7FF0">
              <w:rPr>
                <w:rFonts w:cs="Arial"/>
                <w:color w:val="000000" w:themeColor="text1"/>
                <w:sz w:val="22"/>
              </w:rPr>
              <w:t>A</w:t>
            </w:r>
          </w:p>
        </w:tc>
      </w:tr>
      <w:tr w:rsidR="00647600" w14:paraId="68424DAD"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2B490CA" w14:textId="2AF99C70" w:rsidR="0ACF7FF0" w:rsidRDefault="0ACF7FF0" w:rsidP="0ACF7FF0">
            <w:proofErr w:type="spellStart"/>
            <w:r w:rsidRPr="0ACF7FF0">
              <w:rPr>
                <w:rFonts w:cs="Arial"/>
                <w:color w:val="000000" w:themeColor="text1"/>
                <w:sz w:val="22"/>
              </w:rPr>
              <w:t>Perfluorooctane</w:t>
            </w:r>
            <w:proofErr w:type="spellEnd"/>
            <w:r w:rsidRPr="0ACF7FF0">
              <w:rPr>
                <w:rFonts w:cs="Arial"/>
                <w:color w:val="000000" w:themeColor="text1"/>
                <w:sz w:val="22"/>
              </w:rPr>
              <w:t xml:space="preserve"> sulfonic acid (PFOS), its salts and </w:t>
            </w:r>
            <w:proofErr w:type="spellStart"/>
            <w:r w:rsidRPr="0ACF7FF0">
              <w:rPr>
                <w:rFonts w:cs="Arial"/>
                <w:color w:val="000000" w:themeColor="text1"/>
                <w:sz w:val="22"/>
              </w:rPr>
              <w:t>perfluorooctane</w:t>
            </w:r>
            <w:proofErr w:type="spellEnd"/>
            <w:r w:rsidRPr="0ACF7FF0">
              <w:rPr>
                <w:rFonts w:cs="Arial"/>
                <w:color w:val="000000" w:themeColor="text1"/>
                <w:sz w:val="22"/>
              </w:rPr>
              <w:t xml:space="preserve"> sulfonyl fluoride (PFOS-F)</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320384F" w14:textId="0DB8B123" w:rsidR="0ACF7FF0" w:rsidRDefault="0ACF7FF0" w:rsidP="0ACF7FF0">
            <w:r w:rsidRPr="0ACF7FF0">
              <w:rPr>
                <w:rFonts w:cs="Arial"/>
                <w:color w:val="000000" w:themeColor="text1"/>
                <w:sz w:val="22"/>
              </w:rPr>
              <w:t>1763-23-1; 307-35-7</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0EE7AEB" w14:textId="31A93ED8" w:rsidR="0ACF7FF0" w:rsidRDefault="0ACF7FF0" w:rsidP="0ACF7FF0">
            <w:r w:rsidRPr="0ACF7FF0">
              <w:rPr>
                <w:rFonts w:cs="Arial"/>
                <w:color w:val="000000" w:themeColor="text1"/>
                <w:sz w:val="22"/>
              </w:rPr>
              <w:t>I, 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453B522" w14:textId="58A02E1C"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E71FAAF" w14:textId="7166731F" w:rsidR="0ACF7FF0" w:rsidRDefault="0ACF7FF0" w:rsidP="0ACF7FF0">
            <w:r w:rsidRPr="0ACF7FF0">
              <w:rPr>
                <w:rFonts w:cs="Arial"/>
                <w:color w:val="000000" w:themeColor="text1"/>
                <w:sz w:val="22"/>
              </w:rPr>
              <w:t>B</w:t>
            </w:r>
          </w:p>
        </w:tc>
      </w:tr>
      <w:tr w:rsidR="00647600" w14:paraId="0FC9616B"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E58A0F3" w14:textId="3FCD612D" w:rsidR="0ACF7FF0" w:rsidRDefault="0ACF7FF0" w:rsidP="0ACF7FF0">
            <w:proofErr w:type="spellStart"/>
            <w:r w:rsidRPr="0ACF7FF0">
              <w:rPr>
                <w:rFonts w:cs="Arial"/>
                <w:color w:val="000000" w:themeColor="text1"/>
                <w:sz w:val="22"/>
              </w:rPr>
              <w:lastRenderedPageBreak/>
              <w:t>Pentadecafluorooctanoic</w:t>
            </w:r>
            <w:proofErr w:type="spellEnd"/>
            <w:r w:rsidRPr="0ACF7FF0">
              <w:rPr>
                <w:rFonts w:cs="Arial"/>
                <w:color w:val="000000" w:themeColor="text1"/>
                <w:sz w:val="22"/>
              </w:rPr>
              <w:t xml:space="preserve"> acid, its salts and PFOA-related compounds</w:t>
            </w:r>
            <w:r w:rsidRPr="0ACF7FF0">
              <w:rPr>
                <w:rFonts w:cs="Arial"/>
                <w:color w:val="000000" w:themeColor="text1"/>
                <w:sz w:val="22"/>
                <w:vertAlign w:val="superscript"/>
              </w:rPr>
              <w:t>6</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16BB779" w14:textId="09A7329B" w:rsidR="0ACF7FF0" w:rsidRDefault="0ACF7FF0" w:rsidP="0ACF7FF0">
            <w:r w:rsidRPr="0ACF7FF0">
              <w:rPr>
                <w:rFonts w:cs="Arial"/>
                <w:color w:val="000000" w:themeColor="text1"/>
                <w:sz w:val="22"/>
              </w:rPr>
              <w:t>335-67-1</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684C306" w14:textId="78D33D2E"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0790E93" w14:textId="78D0E64F" w:rsidR="0ACF7FF0" w:rsidRDefault="0ACF7FF0" w:rsidP="0ACF7FF0">
            <w:r w:rsidRPr="0ACF7FF0">
              <w:rPr>
                <w:rFonts w:cs="Arial"/>
                <w:color w:val="000000" w:themeColor="text1"/>
                <w:sz w:val="22"/>
              </w:rPr>
              <w:t>2019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73694BF" w14:textId="3DDB7A51" w:rsidR="0ACF7FF0" w:rsidRDefault="0ACF7FF0" w:rsidP="0ACF7FF0">
            <w:r w:rsidRPr="0ACF7FF0">
              <w:rPr>
                <w:rFonts w:cs="Arial"/>
                <w:color w:val="000000" w:themeColor="text1"/>
                <w:sz w:val="22"/>
              </w:rPr>
              <w:t>A</w:t>
            </w:r>
          </w:p>
        </w:tc>
      </w:tr>
      <w:tr w:rsidR="00647600" w14:paraId="705C2E2F"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D44D76F" w14:textId="65DC1526" w:rsidR="0ACF7FF0" w:rsidRDefault="0ACF7FF0" w:rsidP="0ACF7FF0">
            <w:r w:rsidRPr="0ACF7FF0">
              <w:rPr>
                <w:rFonts w:cs="Arial"/>
                <w:color w:val="000000" w:themeColor="text1"/>
                <w:sz w:val="22"/>
              </w:rPr>
              <w:t>Polychlorinated biphenyls (PCBs)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C128E97" w14:textId="392C0641" w:rsidR="0ACF7FF0" w:rsidRDefault="0ACF7FF0" w:rsidP="0ACF7FF0">
            <w:r w:rsidRPr="0ACF7FF0">
              <w:rPr>
                <w:rFonts w:cs="Arial"/>
                <w:color w:val="000000" w:themeColor="text1"/>
                <w:sz w:val="22"/>
              </w:rPr>
              <w:t>various</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F0E2DF2" w14:textId="3771BCDB" w:rsidR="0ACF7FF0" w:rsidRDefault="0ACF7FF0" w:rsidP="0ACF7FF0">
            <w:r w:rsidRPr="0ACF7FF0">
              <w:rPr>
                <w:rFonts w:cs="Arial"/>
                <w:color w:val="000000" w:themeColor="text1"/>
                <w:sz w:val="22"/>
              </w:rPr>
              <w:t>I, U</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0E9383E" w14:textId="01A1386C"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32C6F1B" w14:textId="3F04E36D" w:rsidR="0ACF7FF0" w:rsidRDefault="0ACF7FF0" w:rsidP="0ACF7FF0">
            <w:r w:rsidRPr="0ACF7FF0">
              <w:rPr>
                <w:rFonts w:cs="Arial"/>
                <w:color w:val="000000" w:themeColor="text1"/>
                <w:sz w:val="22"/>
              </w:rPr>
              <w:t>A, C</w:t>
            </w:r>
          </w:p>
        </w:tc>
      </w:tr>
      <w:tr w:rsidR="00647600" w14:paraId="7514AA15"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BD9859C" w14:textId="20EE614C" w:rsidR="0ACF7FF0" w:rsidRDefault="0ACF7FF0" w:rsidP="0ACF7FF0">
            <w:r w:rsidRPr="0ACF7FF0">
              <w:rPr>
                <w:rFonts w:cs="Arial"/>
                <w:color w:val="000000" w:themeColor="text1"/>
                <w:sz w:val="22"/>
              </w:rPr>
              <w:t>Polychlorinated dibenzo-p-dioxins (PCDD) (dioxins)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9C6D1CA" w14:textId="2EDD56D5" w:rsidR="0ACF7FF0" w:rsidRDefault="0ACF7FF0" w:rsidP="0ACF7FF0">
            <w:r w:rsidRPr="0ACF7FF0">
              <w:rPr>
                <w:rFonts w:cs="Arial"/>
                <w:color w:val="000000" w:themeColor="text1"/>
                <w:sz w:val="22"/>
              </w:rPr>
              <w:t>various</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836062D" w14:textId="5E842F3E" w:rsidR="0ACF7FF0" w:rsidRDefault="0ACF7FF0" w:rsidP="0ACF7FF0">
            <w:r w:rsidRPr="0ACF7FF0">
              <w:rPr>
                <w:rFonts w:cs="Arial"/>
                <w:color w:val="000000" w:themeColor="text1"/>
                <w:sz w:val="22"/>
              </w:rPr>
              <w:t>U</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AB15F00" w14:textId="631F7124"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AC1FC39" w14:textId="23FA18B4" w:rsidR="0ACF7FF0" w:rsidRDefault="0ACF7FF0" w:rsidP="0ACF7FF0">
            <w:r w:rsidRPr="0ACF7FF0">
              <w:rPr>
                <w:rFonts w:cs="Arial"/>
                <w:color w:val="000000" w:themeColor="text1"/>
                <w:sz w:val="22"/>
              </w:rPr>
              <w:t>C</w:t>
            </w:r>
          </w:p>
        </w:tc>
      </w:tr>
      <w:tr w:rsidR="00647600" w14:paraId="44E5B883"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4DE9BF30" w14:textId="4D38F439" w:rsidR="0ACF7FF0" w:rsidRDefault="0ACF7FF0" w:rsidP="0ACF7FF0">
            <w:r w:rsidRPr="0ACF7FF0">
              <w:rPr>
                <w:rFonts w:cs="Arial"/>
                <w:color w:val="000000" w:themeColor="text1"/>
                <w:sz w:val="22"/>
              </w:rPr>
              <w:t>Polychlorinated dibenzofurans (PCDF) (furans)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47DCF6C" w14:textId="18B9FE8A" w:rsidR="0ACF7FF0" w:rsidRDefault="0ACF7FF0" w:rsidP="0ACF7FF0">
            <w:r w:rsidRPr="0ACF7FF0">
              <w:rPr>
                <w:rFonts w:cs="Arial"/>
                <w:color w:val="000000" w:themeColor="text1"/>
                <w:sz w:val="22"/>
              </w:rPr>
              <w:t>various</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0DD7312" w14:textId="6DD6F55B" w:rsidR="0ACF7FF0" w:rsidRDefault="0ACF7FF0" w:rsidP="0ACF7FF0">
            <w:r w:rsidRPr="0ACF7FF0">
              <w:rPr>
                <w:rFonts w:cs="Arial"/>
                <w:color w:val="000000" w:themeColor="text1"/>
                <w:sz w:val="22"/>
              </w:rPr>
              <w:t>U</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2F3EE92" w14:textId="18538462"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DEF3ECB" w14:textId="1C6EE6FF" w:rsidR="0ACF7FF0" w:rsidRDefault="0ACF7FF0" w:rsidP="0ACF7FF0">
            <w:r w:rsidRPr="0ACF7FF0">
              <w:rPr>
                <w:rFonts w:cs="Arial"/>
                <w:color w:val="000000" w:themeColor="text1"/>
                <w:sz w:val="22"/>
              </w:rPr>
              <w:t>C</w:t>
            </w:r>
          </w:p>
        </w:tc>
      </w:tr>
      <w:tr w:rsidR="00647600" w14:paraId="39C3E610"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73FDAD1B" w14:textId="4743703E" w:rsidR="0ACF7FF0" w:rsidRDefault="0ACF7FF0" w:rsidP="0ACF7FF0">
            <w:r w:rsidRPr="0ACF7FF0">
              <w:rPr>
                <w:rFonts w:cs="Arial"/>
                <w:color w:val="000000" w:themeColor="text1"/>
                <w:sz w:val="22"/>
              </w:rPr>
              <w:t xml:space="preserve">Polychlorinated </w:t>
            </w:r>
            <w:proofErr w:type="spellStart"/>
            <w:r w:rsidRPr="0ACF7FF0">
              <w:rPr>
                <w:rFonts w:cs="Arial"/>
                <w:color w:val="000000" w:themeColor="text1"/>
                <w:sz w:val="22"/>
              </w:rPr>
              <w:t>naphthalenes</w:t>
            </w:r>
            <w:proofErr w:type="spellEnd"/>
            <w:r w:rsidRPr="0ACF7FF0">
              <w:rPr>
                <w:rFonts w:cs="Arial"/>
                <w:color w:val="000000" w:themeColor="text1"/>
                <w:sz w:val="22"/>
              </w:rPr>
              <w:t xml:space="preserve"> (PCNs)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BF85012" w14:textId="2A27B898" w:rsidR="0ACF7FF0" w:rsidRDefault="0ACF7FF0" w:rsidP="0ACF7FF0">
            <w:r w:rsidRPr="0ACF7FF0">
              <w:rPr>
                <w:rFonts w:cs="Arial"/>
                <w:color w:val="000000" w:themeColor="text1"/>
                <w:sz w:val="22"/>
              </w:rPr>
              <w:t>70776-03-3</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AD862BD" w14:textId="141BCC98" w:rsidR="0ACF7FF0" w:rsidRDefault="0ACF7FF0" w:rsidP="0ACF7FF0">
            <w:r w:rsidRPr="0ACF7FF0">
              <w:rPr>
                <w:rFonts w:cs="Arial"/>
                <w:color w:val="000000" w:themeColor="text1"/>
                <w:sz w:val="22"/>
              </w:rPr>
              <w:t>I, U</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78791FA" w14:textId="280CF98D" w:rsidR="0ACF7FF0" w:rsidRDefault="0ACF7FF0" w:rsidP="0ACF7FF0">
            <w:r w:rsidRPr="0ACF7FF0">
              <w:rPr>
                <w:rFonts w:cs="Arial"/>
                <w:color w:val="000000" w:themeColor="text1"/>
                <w:sz w:val="22"/>
              </w:rPr>
              <w:t>2015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8C40A80" w14:textId="4AC1B42A" w:rsidR="0ACF7FF0" w:rsidRDefault="0ACF7FF0" w:rsidP="0ACF7FF0">
            <w:r w:rsidRPr="0ACF7FF0">
              <w:rPr>
                <w:rFonts w:cs="Arial"/>
                <w:color w:val="000000" w:themeColor="text1"/>
                <w:sz w:val="22"/>
              </w:rPr>
              <w:t>A, C</w:t>
            </w:r>
          </w:p>
        </w:tc>
      </w:tr>
      <w:tr w:rsidR="00647600" w14:paraId="634C0D3D"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EDA02B0" w14:textId="7F56115A" w:rsidR="0ACF7FF0" w:rsidRDefault="0ACF7FF0" w:rsidP="0ACF7FF0">
            <w:r w:rsidRPr="0ACF7FF0">
              <w:rPr>
                <w:rFonts w:cs="Arial"/>
                <w:color w:val="000000" w:themeColor="text1"/>
                <w:sz w:val="22"/>
              </w:rPr>
              <w:t>Short-chain chlorinated paraffins (SCCPs)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F242422" w14:textId="5E18FEF6" w:rsidR="0ACF7FF0" w:rsidRDefault="0ACF7FF0" w:rsidP="0ACF7FF0">
            <w:r w:rsidRPr="0ACF7FF0">
              <w:rPr>
                <w:rFonts w:cs="Arial"/>
                <w:color w:val="000000" w:themeColor="text1"/>
                <w:sz w:val="22"/>
              </w:rPr>
              <w:t>85535-84-8</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597DFFD" w14:textId="05E700F2"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2B7390D" w14:textId="63374B07" w:rsidR="0ACF7FF0" w:rsidRDefault="0ACF7FF0" w:rsidP="0ACF7FF0">
            <w:r w:rsidRPr="0ACF7FF0">
              <w:rPr>
                <w:rFonts w:cs="Arial"/>
                <w:color w:val="000000" w:themeColor="text1"/>
                <w:sz w:val="22"/>
              </w:rPr>
              <w:t>2017</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ECB82E2" w14:textId="77FCFB96" w:rsidR="0ACF7FF0" w:rsidRDefault="0ACF7FF0" w:rsidP="0ACF7FF0">
            <w:r w:rsidRPr="0ACF7FF0">
              <w:rPr>
                <w:rFonts w:cs="Arial"/>
                <w:color w:val="000000" w:themeColor="text1"/>
                <w:sz w:val="22"/>
              </w:rPr>
              <w:t>A</w:t>
            </w:r>
          </w:p>
        </w:tc>
      </w:tr>
      <w:tr w:rsidR="00647600" w14:paraId="6E30FA69"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5050A8F0" w14:textId="7B37EA39" w:rsidR="0ACF7FF0" w:rsidRDefault="0ACF7FF0" w:rsidP="0ACF7FF0">
            <w:r w:rsidRPr="0ACF7FF0">
              <w:rPr>
                <w:rFonts w:cs="Arial"/>
                <w:color w:val="000000" w:themeColor="text1"/>
                <w:sz w:val="22"/>
              </w:rPr>
              <w:t xml:space="preserve">Technical </w:t>
            </w:r>
            <w:proofErr w:type="spellStart"/>
            <w:r w:rsidRPr="0ACF7FF0">
              <w:rPr>
                <w:rFonts w:cs="Arial"/>
                <w:color w:val="000000" w:themeColor="text1"/>
                <w:sz w:val="22"/>
              </w:rPr>
              <w:t>endosulfan</w:t>
            </w:r>
            <w:proofErr w:type="spellEnd"/>
            <w:r w:rsidRPr="0ACF7FF0">
              <w:rPr>
                <w:rFonts w:cs="Arial"/>
                <w:color w:val="000000" w:themeColor="text1"/>
                <w:sz w:val="22"/>
              </w:rPr>
              <w:t xml:space="preserve"> and its related isomers</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7366E48" w14:textId="5A5B465C" w:rsidR="0ACF7FF0" w:rsidRDefault="0ACF7FF0" w:rsidP="0ACF7FF0">
            <w:r w:rsidRPr="0ACF7FF0">
              <w:rPr>
                <w:rFonts w:cs="Arial"/>
                <w:color w:val="000000" w:themeColor="text1"/>
                <w:sz w:val="22"/>
              </w:rPr>
              <w:t>115-29-7; 959-98-8; 33213-65-9</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2421A7F" w14:textId="194F8EEE"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5D6199F" w14:textId="7229B0BE" w:rsidR="0ACF7FF0" w:rsidRDefault="0ACF7FF0" w:rsidP="0ACF7FF0">
            <w:r w:rsidRPr="0ACF7FF0">
              <w:rPr>
                <w:rFonts w:cs="Arial"/>
                <w:color w:val="000000" w:themeColor="text1"/>
                <w:sz w:val="22"/>
              </w:rPr>
              <w:t>2011</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4342721" w14:textId="4BD73C88" w:rsidR="0ACF7FF0" w:rsidRDefault="0ACF7FF0" w:rsidP="0ACF7FF0">
            <w:r w:rsidRPr="0ACF7FF0">
              <w:rPr>
                <w:rFonts w:cs="Arial"/>
                <w:color w:val="000000" w:themeColor="text1"/>
                <w:sz w:val="22"/>
              </w:rPr>
              <w:t>A</w:t>
            </w:r>
          </w:p>
        </w:tc>
      </w:tr>
      <w:tr w:rsidR="00647600" w14:paraId="4C22C383"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22600183" w14:textId="2934EF1F" w:rsidR="0ACF7FF0" w:rsidRDefault="0ACF7FF0" w:rsidP="0ACF7FF0">
            <w:r w:rsidRPr="0ACF7FF0">
              <w:rPr>
                <w:rFonts w:cs="Arial"/>
                <w:color w:val="000000" w:themeColor="text1"/>
                <w:sz w:val="22"/>
              </w:rPr>
              <w:t>Tetra- and penta-</w:t>
            </w:r>
            <w:proofErr w:type="spellStart"/>
            <w:r w:rsidRPr="0ACF7FF0">
              <w:rPr>
                <w:rFonts w:cs="Arial"/>
                <w:color w:val="000000" w:themeColor="text1"/>
                <w:sz w:val="22"/>
              </w:rPr>
              <w:t>bromodiphenyl</w:t>
            </w:r>
            <w:proofErr w:type="spellEnd"/>
            <w:r w:rsidRPr="0ACF7FF0">
              <w:rPr>
                <w:rFonts w:cs="Arial"/>
                <w:color w:val="000000" w:themeColor="text1"/>
                <w:sz w:val="22"/>
              </w:rPr>
              <w:t xml:space="preserve"> ether (commercial </w:t>
            </w:r>
            <w:proofErr w:type="spellStart"/>
            <w:r w:rsidRPr="0ACF7FF0">
              <w:rPr>
                <w:rFonts w:cs="Arial"/>
                <w:color w:val="000000" w:themeColor="text1"/>
                <w:sz w:val="22"/>
              </w:rPr>
              <w:t>pentabromodiphenyl</w:t>
            </w:r>
            <w:proofErr w:type="spellEnd"/>
            <w:r w:rsidRPr="0ACF7FF0">
              <w:rPr>
                <w:rFonts w:cs="Arial"/>
                <w:color w:val="000000" w:themeColor="text1"/>
                <w:sz w:val="22"/>
              </w:rPr>
              <w:t xml:space="preserve"> ether)</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252B564" w14:textId="2149D3CE" w:rsidR="0ACF7FF0" w:rsidRDefault="0ACF7FF0" w:rsidP="0ACF7FF0">
            <w:r w:rsidRPr="0ACF7FF0">
              <w:rPr>
                <w:rFonts w:cs="Arial"/>
                <w:color w:val="000000" w:themeColor="text1"/>
                <w:sz w:val="22"/>
              </w:rPr>
              <w:t>5436-43-1; 60348-60-9</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3A54F04" w14:textId="60011085" w:rsidR="0ACF7FF0" w:rsidRDefault="0ACF7FF0" w:rsidP="0ACF7FF0">
            <w:r w:rsidRPr="0ACF7FF0">
              <w:rPr>
                <w:rFonts w:cs="Arial"/>
                <w:color w:val="000000" w:themeColor="text1"/>
                <w:sz w:val="22"/>
              </w:rPr>
              <w:t>I</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26F71B9" w14:textId="407F4560" w:rsidR="0ACF7FF0" w:rsidRDefault="0ACF7FF0" w:rsidP="0ACF7FF0">
            <w:r w:rsidRPr="0ACF7FF0">
              <w:rPr>
                <w:rFonts w:cs="Arial"/>
                <w:color w:val="000000" w:themeColor="text1"/>
                <w:sz w:val="22"/>
              </w:rPr>
              <w:t>2009</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D2B52B2" w14:textId="429DA9A2" w:rsidR="0ACF7FF0" w:rsidRDefault="0ACF7FF0" w:rsidP="0ACF7FF0">
            <w:r w:rsidRPr="0ACF7FF0">
              <w:rPr>
                <w:rFonts w:cs="Arial"/>
                <w:color w:val="000000" w:themeColor="text1"/>
                <w:sz w:val="22"/>
              </w:rPr>
              <w:t>A</w:t>
            </w:r>
          </w:p>
        </w:tc>
      </w:tr>
      <w:tr w:rsidR="00647600" w14:paraId="6D02A29E" w14:textId="77777777" w:rsidTr="00AE4E7C">
        <w:tc>
          <w:tcPr>
            <w:tcW w:w="3445" w:type="dxa"/>
            <w:tcBorders>
              <w:top w:val="single" w:sz="8" w:space="0" w:color="00B050"/>
              <w:left w:val="single" w:sz="8" w:space="0" w:color="00B050"/>
              <w:bottom w:val="single" w:sz="8" w:space="0" w:color="00B050"/>
              <w:right w:val="single" w:sz="8" w:space="0" w:color="00B050"/>
            </w:tcBorders>
            <w:shd w:val="clear" w:color="auto" w:fill="CBE9D3"/>
          </w:tcPr>
          <w:p w14:paraId="15A7D0E9" w14:textId="09B25544" w:rsidR="0ACF7FF0" w:rsidRDefault="0ACF7FF0" w:rsidP="0ACF7FF0">
            <w:proofErr w:type="spellStart"/>
            <w:r w:rsidRPr="0ACF7FF0">
              <w:rPr>
                <w:rFonts w:cs="Arial"/>
                <w:color w:val="000000" w:themeColor="text1"/>
                <w:sz w:val="22"/>
              </w:rPr>
              <w:t>Toxaphene</w:t>
            </w:r>
            <w:proofErr w:type="spellEnd"/>
            <w:r w:rsidRPr="0ACF7FF0">
              <w:rPr>
                <w:rFonts w:cs="Arial"/>
                <w:color w:val="000000" w:themeColor="text1"/>
                <w:sz w:val="22"/>
              </w:rPr>
              <w:t xml:space="preserve"> (</w:t>
            </w:r>
            <w:proofErr w:type="spellStart"/>
            <w:r w:rsidRPr="0ACF7FF0">
              <w:rPr>
                <w:rFonts w:cs="Arial"/>
                <w:color w:val="000000" w:themeColor="text1"/>
                <w:sz w:val="22"/>
              </w:rPr>
              <w:t>camphechlor</w:t>
            </w:r>
            <w:proofErr w:type="spellEnd"/>
            <w:r w:rsidRPr="0ACF7FF0">
              <w:rPr>
                <w:rFonts w:cs="Arial"/>
                <w:color w:val="000000" w:themeColor="text1"/>
                <w:sz w:val="22"/>
              </w:rPr>
              <w:t>)</w:t>
            </w:r>
          </w:p>
        </w:tc>
        <w:tc>
          <w:tcPr>
            <w:tcW w:w="151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F5AE5FA" w14:textId="0FD2F5B1" w:rsidR="0ACF7FF0" w:rsidRDefault="0ACF7FF0" w:rsidP="0ACF7FF0">
            <w:r w:rsidRPr="0ACF7FF0">
              <w:rPr>
                <w:rFonts w:cs="Arial"/>
                <w:color w:val="000000" w:themeColor="text1"/>
                <w:sz w:val="22"/>
              </w:rPr>
              <w:t>8001-35-2</w:t>
            </w:r>
          </w:p>
        </w:tc>
        <w:tc>
          <w:tcPr>
            <w:tcW w:w="171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823CF65" w14:textId="1D13115A" w:rsidR="0ACF7FF0" w:rsidRDefault="0ACF7FF0" w:rsidP="0ACF7FF0">
            <w:r w:rsidRPr="0ACF7FF0">
              <w:rPr>
                <w:rFonts w:cs="Arial"/>
                <w:color w:val="000000" w:themeColor="text1"/>
                <w:sz w:val="22"/>
              </w:rPr>
              <w:t>P</w:t>
            </w:r>
          </w:p>
        </w:tc>
        <w:tc>
          <w:tcPr>
            <w:tcW w:w="1530"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E6E2631" w14:textId="6E0DB7B8" w:rsidR="0ACF7FF0" w:rsidRDefault="0ACF7FF0" w:rsidP="0ACF7FF0">
            <w:r w:rsidRPr="0ACF7FF0">
              <w:rPr>
                <w:rFonts w:cs="Arial"/>
                <w:color w:val="000000" w:themeColor="text1"/>
                <w:sz w:val="22"/>
              </w:rPr>
              <w:t>2004</w:t>
            </w:r>
            <w:r w:rsidRPr="0ACF7FF0">
              <w:rPr>
                <w:rFonts w:cs="Arial"/>
                <w:color w:val="000000" w:themeColor="text1"/>
                <w:sz w:val="22"/>
                <w:vertAlign w:val="superscript"/>
              </w:rPr>
              <w:t>5</w:t>
            </w:r>
          </w:p>
        </w:tc>
        <w:tc>
          <w:tcPr>
            <w:tcW w:w="1575"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62DFE55" w14:textId="27E4888E" w:rsidR="0ACF7FF0" w:rsidRDefault="0ACF7FF0" w:rsidP="0ACF7FF0">
            <w:r w:rsidRPr="0ACF7FF0">
              <w:rPr>
                <w:rFonts w:cs="Arial"/>
                <w:color w:val="000000" w:themeColor="text1"/>
                <w:sz w:val="22"/>
              </w:rPr>
              <w:t>A</w:t>
            </w:r>
          </w:p>
        </w:tc>
      </w:tr>
    </w:tbl>
    <w:p w14:paraId="57A5053B" w14:textId="3E5CBFC5" w:rsidR="008B3A27" w:rsidRDefault="05498339" w:rsidP="0ACF7FF0">
      <w:r w:rsidRPr="0ACF7FF0">
        <w:rPr>
          <w:rFonts w:cs="Arial"/>
          <w:sz w:val="22"/>
          <w:vertAlign w:val="superscript"/>
        </w:rPr>
        <w:t>1</w:t>
      </w:r>
      <w:r w:rsidRPr="0ACF7FF0">
        <w:rPr>
          <w:rFonts w:cs="Arial"/>
          <w:sz w:val="22"/>
        </w:rPr>
        <w:t>CAS RN: CAS Registration Number</w:t>
      </w:r>
    </w:p>
    <w:p w14:paraId="54B3AEF1" w14:textId="1AB3CC52" w:rsidR="008B3A27" w:rsidRDefault="05498339" w:rsidP="0ACF7FF0">
      <w:r w:rsidRPr="0ACF7FF0">
        <w:rPr>
          <w:rFonts w:cs="Arial"/>
          <w:sz w:val="22"/>
          <w:vertAlign w:val="superscript"/>
        </w:rPr>
        <w:t>2</w:t>
      </w:r>
      <w:r w:rsidRPr="0ACF7FF0">
        <w:rPr>
          <w:rFonts w:cs="Arial"/>
          <w:sz w:val="22"/>
        </w:rPr>
        <w:t>Category: P: Pesticide; I: Industrial chemical; U: Unintentionally produced</w:t>
      </w:r>
    </w:p>
    <w:p w14:paraId="26441EE2" w14:textId="7572ED30" w:rsidR="008B3A27" w:rsidRDefault="05498339" w:rsidP="0ACF7FF0">
      <w:r w:rsidRPr="0ACF7FF0">
        <w:rPr>
          <w:rFonts w:cs="Arial"/>
          <w:sz w:val="22"/>
          <w:vertAlign w:val="superscript"/>
        </w:rPr>
        <w:t>3</w:t>
      </w:r>
      <w:r w:rsidRPr="0ACF7FF0">
        <w:rPr>
          <w:rFonts w:cs="Arial"/>
          <w:sz w:val="22"/>
        </w:rPr>
        <w:t>COP: Conference of the Parties</w:t>
      </w:r>
    </w:p>
    <w:p w14:paraId="7972349E" w14:textId="0BEB8947" w:rsidR="008B3A27" w:rsidRDefault="05498339" w:rsidP="0ACF7FF0">
      <w:r w:rsidRPr="0ACF7FF0">
        <w:rPr>
          <w:rFonts w:cs="Arial"/>
          <w:sz w:val="22"/>
          <w:vertAlign w:val="superscript"/>
        </w:rPr>
        <w:t>4</w:t>
      </w:r>
      <w:r w:rsidRPr="0ACF7FF0">
        <w:rPr>
          <w:rFonts w:cs="Arial"/>
          <w:sz w:val="22"/>
        </w:rPr>
        <w:t>Annex: A: Elimination; B: Restriction; C: Unintentionally produced</w:t>
      </w:r>
    </w:p>
    <w:p w14:paraId="06C2FDBD" w14:textId="6358432C" w:rsidR="008B3A27" w:rsidRDefault="05498339" w:rsidP="0ACF7FF0">
      <w:r w:rsidRPr="0ACF7FF0">
        <w:rPr>
          <w:rFonts w:cs="Arial"/>
          <w:sz w:val="22"/>
          <w:vertAlign w:val="superscript"/>
        </w:rPr>
        <w:t>5</w:t>
      </w:r>
      <w:r w:rsidRPr="0ACF7FF0">
        <w:rPr>
          <w:rFonts w:cs="Arial"/>
          <w:sz w:val="22"/>
        </w:rPr>
        <w:t xml:space="preserve">The Stockholm Convention entered into force in 2004, and there were initially twelve substances listed as POPs, these were referred to as the “dirty dozen”. The new listings are not usually enforced until approximately 18 months following the </w:t>
      </w:r>
      <w:proofErr w:type="gramStart"/>
      <w:r w:rsidRPr="0ACF7FF0">
        <w:rPr>
          <w:rFonts w:cs="Arial"/>
          <w:sz w:val="22"/>
        </w:rPr>
        <w:t>COP,</w:t>
      </w:r>
      <w:proofErr w:type="gramEnd"/>
      <w:r w:rsidRPr="0ACF7FF0">
        <w:rPr>
          <w:rFonts w:cs="Arial"/>
          <w:sz w:val="22"/>
        </w:rPr>
        <w:t xml:space="preserve"> therefore these dates are the date a decision was made, and not the formal listing. </w:t>
      </w:r>
    </w:p>
    <w:p w14:paraId="4ED22480" w14:textId="3E09CDA7" w:rsidR="008B3A27" w:rsidRDefault="05498339" w:rsidP="008B3A27">
      <w:r w:rsidRPr="0ACF7FF0">
        <w:rPr>
          <w:rFonts w:cs="Arial"/>
          <w:sz w:val="22"/>
          <w:vertAlign w:val="superscript"/>
        </w:rPr>
        <w:t xml:space="preserve">6 </w:t>
      </w:r>
      <w:r w:rsidRPr="0ACF7FF0">
        <w:rPr>
          <w:rFonts w:cs="Arial"/>
          <w:sz w:val="22"/>
        </w:rPr>
        <w:t>Added at the ninth COP (COP9) therefore the chemical has been listed for completeness but has not be considered fully in this update.</w:t>
      </w:r>
    </w:p>
    <w:p w14:paraId="760E1742" w14:textId="0835FEDB" w:rsidR="000069F8" w:rsidRDefault="000069F8" w:rsidP="008B3A27">
      <w:pPr>
        <w:pStyle w:val="Heading1"/>
      </w:pPr>
      <w:bookmarkStart w:id="43" w:name="_Toc67030075"/>
      <w:r>
        <w:lastRenderedPageBreak/>
        <w:t>Annex III: Summary of future actions</w:t>
      </w:r>
      <w:bookmarkEnd w:id="43"/>
    </w:p>
    <w:p w14:paraId="0CB5F027" w14:textId="77777777" w:rsidR="000069F8" w:rsidRDefault="000069F8" w:rsidP="000069F8"/>
    <w:tbl>
      <w:tblPr>
        <w:tblW w:w="9498" w:type="dxa"/>
        <w:tblInd w:w="557" w:type="dxa"/>
        <w:tblLayout w:type="fixed"/>
        <w:tblLook w:val="04A0" w:firstRow="1" w:lastRow="0" w:firstColumn="1" w:lastColumn="0" w:noHBand="0" w:noVBand="1"/>
      </w:tblPr>
      <w:tblGrid>
        <w:gridCol w:w="851"/>
        <w:gridCol w:w="3827"/>
        <w:gridCol w:w="851"/>
        <w:gridCol w:w="2268"/>
        <w:gridCol w:w="1701"/>
      </w:tblGrid>
      <w:tr w:rsidR="000C3EA7" w:rsidRPr="00E34D9B" w14:paraId="5AF524B6"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00B050"/>
          </w:tcPr>
          <w:p w14:paraId="27C87E57" w14:textId="77777777" w:rsidR="000C3EA7" w:rsidRDefault="000C3EA7" w:rsidP="006B4C30"/>
        </w:tc>
        <w:tc>
          <w:tcPr>
            <w:tcW w:w="3827" w:type="dxa"/>
            <w:tcBorders>
              <w:top w:val="single" w:sz="8" w:space="0" w:color="00B050"/>
              <w:left w:val="single" w:sz="8" w:space="0" w:color="00B050"/>
              <w:bottom w:val="single" w:sz="8" w:space="0" w:color="00B050"/>
              <w:right w:val="single" w:sz="8" w:space="0" w:color="00B050"/>
            </w:tcBorders>
            <w:shd w:val="clear" w:color="auto" w:fill="00B050"/>
          </w:tcPr>
          <w:p w14:paraId="3ACAC130" w14:textId="77777777" w:rsidR="000C3EA7" w:rsidRPr="00E34D9B" w:rsidRDefault="000C3EA7" w:rsidP="006B4C30">
            <w:r>
              <w:t>Action</w:t>
            </w:r>
          </w:p>
        </w:tc>
        <w:tc>
          <w:tcPr>
            <w:tcW w:w="851" w:type="dxa"/>
            <w:tcBorders>
              <w:top w:val="single" w:sz="8" w:space="0" w:color="00B050"/>
              <w:left w:val="single" w:sz="8" w:space="0" w:color="00B050"/>
              <w:bottom w:val="single" w:sz="8" w:space="0" w:color="00B050"/>
              <w:right w:val="single" w:sz="8" w:space="0" w:color="00B050"/>
            </w:tcBorders>
            <w:shd w:val="clear" w:color="auto" w:fill="00B050"/>
          </w:tcPr>
          <w:p w14:paraId="0F62310C" w14:textId="77777777" w:rsidR="000C3EA7" w:rsidRPr="00E34D9B" w:rsidRDefault="000C3EA7" w:rsidP="006B4C30">
            <w:r>
              <w:t>Page No.</w:t>
            </w:r>
          </w:p>
        </w:tc>
        <w:tc>
          <w:tcPr>
            <w:tcW w:w="2268" w:type="dxa"/>
            <w:tcBorders>
              <w:top w:val="single" w:sz="8" w:space="0" w:color="00B050"/>
              <w:left w:val="single" w:sz="8" w:space="0" w:color="00B050"/>
              <w:bottom w:val="single" w:sz="8" w:space="0" w:color="00B050"/>
              <w:right w:val="single" w:sz="8" w:space="0" w:color="00B050"/>
            </w:tcBorders>
            <w:shd w:val="clear" w:color="auto" w:fill="00B050"/>
          </w:tcPr>
          <w:p w14:paraId="45004E55" w14:textId="77777777" w:rsidR="000C3EA7" w:rsidRPr="00E34D9B" w:rsidRDefault="000C3EA7" w:rsidP="006B4C30">
            <w:r>
              <w:t>Actor</w:t>
            </w:r>
          </w:p>
        </w:tc>
        <w:tc>
          <w:tcPr>
            <w:tcW w:w="1701" w:type="dxa"/>
            <w:tcBorders>
              <w:top w:val="single" w:sz="8" w:space="0" w:color="00B050"/>
              <w:left w:val="single" w:sz="8" w:space="0" w:color="00B050"/>
              <w:bottom w:val="single" w:sz="8" w:space="0" w:color="00B050"/>
              <w:right w:val="single" w:sz="8" w:space="0" w:color="00B050"/>
            </w:tcBorders>
            <w:shd w:val="clear" w:color="auto" w:fill="00B050"/>
          </w:tcPr>
          <w:p w14:paraId="37C9FCD4" w14:textId="77777777" w:rsidR="000C3EA7" w:rsidRPr="00E34D9B" w:rsidRDefault="000C3EA7" w:rsidP="006B4C30">
            <w:r>
              <w:t>Timing</w:t>
            </w:r>
          </w:p>
        </w:tc>
      </w:tr>
      <w:tr w:rsidR="000C3EA7" w:rsidRPr="00E34D9B" w14:paraId="5B599226"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365A7CD3" w14:textId="6C67BBA0" w:rsidR="000C3EA7" w:rsidRDefault="00B4200C" w:rsidP="009B5B68">
            <w:r>
              <w:t>1</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0B5E5BBD" w14:textId="31C2FA4E" w:rsidR="000C3EA7" w:rsidRDefault="000C3EA7" w:rsidP="009B5B68">
            <w:r>
              <w:t>Review ongoing need for specific exemptions for existing and newly listed POPs</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DF22BA7" w14:textId="15229563" w:rsidR="000C3EA7" w:rsidRDefault="00A01682" w:rsidP="009B5B68">
            <w:r>
              <w:t>11</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E817A87" w14:textId="1D8AC6D7" w:rsidR="000C3EA7" w:rsidRDefault="000C3EA7" w:rsidP="009B5B68">
            <w:r>
              <w:t>UK Government</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846488A" w14:textId="35C27560" w:rsidR="000C3EA7" w:rsidRDefault="000C3EA7" w:rsidP="009B5B68">
            <w:r>
              <w:t>2021-2022</w:t>
            </w:r>
          </w:p>
        </w:tc>
      </w:tr>
      <w:tr w:rsidR="000C3EA7" w:rsidRPr="00E34D9B" w14:paraId="36C67E65"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7CDC006B" w14:textId="6295D180" w:rsidR="000C3EA7" w:rsidRDefault="00B4200C" w:rsidP="009B5B68">
            <w:r>
              <w:t>2</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13AA6232" w14:textId="4E15C52F" w:rsidR="000C3EA7" w:rsidRDefault="000C3EA7" w:rsidP="009B5B68">
            <w:r>
              <w:t>Investigate the availability, reliability and feasibility of current and emerging analytical techniques for measuring chlorinated paraffins in the environment</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A85E678" w14:textId="6AC9AF29" w:rsidR="000C3EA7" w:rsidRDefault="00A01682" w:rsidP="009B5B68">
            <w:r>
              <w:t>16</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DE735F3" w14:textId="37240D81" w:rsidR="000C3EA7" w:rsidRDefault="000C3EA7" w:rsidP="009B5B68">
            <w:r>
              <w:t>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A0D997F" w14:textId="2144E1C6" w:rsidR="000C3EA7" w:rsidRDefault="000C3EA7" w:rsidP="009B5B68">
            <w:r>
              <w:t>2021-2022</w:t>
            </w:r>
          </w:p>
        </w:tc>
      </w:tr>
      <w:tr w:rsidR="000C3EA7" w:rsidRPr="00E34D9B" w14:paraId="25404A2A"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5BF9296E" w14:textId="2892F664" w:rsidR="000C3EA7" w:rsidRDefault="00B4200C" w:rsidP="00E41EBB">
            <w:r>
              <w:t>3</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6836355C" w14:textId="21A414AB" w:rsidR="000C3EA7" w:rsidRDefault="000C3EA7" w:rsidP="00E41EBB">
            <w:r>
              <w:t>Further review the need for the addition of HCBD to the UK emissions inventory</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2AA0B87" w14:textId="3513BE94" w:rsidR="000C3EA7" w:rsidRDefault="00A01682" w:rsidP="00E41EBB">
            <w:r>
              <w:t>2</w:t>
            </w:r>
            <w:r w:rsidR="00581056">
              <w:t>8</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088EC3F" w14:textId="76F776E4" w:rsidR="000C3EA7" w:rsidRDefault="000C3EA7" w:rsidP="00E41EBB">
            <w:r>
              <w:t>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FDBFB31" w14:textId="0E98FFD1" w:rsidR="000C3EA7" w:rsidRDefault="000C3EA7" w:rsidP="00E41EBB">
            <w:r>
              <w:t>2021-2022</w:t>
            </w:r>
          </w:p>
        </w:tc>
      </w:tr>
      <w:tr w:rsidR="000C3EA7" w:rsidRPr="00E34D9B" w14:paraId="28E6076D"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170A1C77" w14:textId="29031A78" w:rsidR="000C3EA7" w:rsidRDefault="00B4200C" w:rsidP="00E41EBB">
            <w:r>
              <w:t>4</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098E2FD7" w14:textId="2C046796" w:rsidR="000C3EA7" w:rsidRPr="00E34D9B" w:rsidRDefault="000C3EA7" w:rsidP="00E41EBB">
            <w:r>
              <w:t xml:space="preserve">In partnership with the Soft Furnishing Working Group develop guidance for waste handlers on </w:t>
            </w:r>
            <w:proofErr w:type="spellStart"/>
            <w:r>
              <w:t>decaBDE</w:t>
            </w:r>
            <w:proofErr w:type="spellEnd"/>
            <w:r>
              <w:t xml:space="preserve"> and HBCDD in soft furnishings</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CDF6CA" w14:textId="1ACD9CA3" w:rsidR="000C3EA7" w:rsidRPr="00E34D9B" w:rsidRDefault="00A01682" w:rsidP="00E41EBB">
            <w:r>
              <w:t>2</w:t>
            </w:r>
            <w:r w:rsidR="00581056">
              <w:t>7</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817941" w14:textId="77777777" w:rsidR="000C3EA7" w:rsidRPr="00E34D9B" w:rsidRDefault="000C3EA7" w:rsidP="00E41EBB">
            <w:r>
              <w:t>Competent authorities</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8156C3C" w14:textId="1B90362C" w:rsidR="000C3EA7" w:rsidRPr="00E34D9B" w:rsidRDefault="000C3EA7" w:rsidP="00E41EBB">
            <w:r>
              <w:t>2021-2022</w:t>
            </w:r>
          </w:p>
        </w:tc>
      </w:tr>
      <w:tr w:rsidR="000C3EA7" w:rsidRPr="00E34D9B" w14:paraId="53781D07"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34CA1E41" w14:textId="771B33A6" w:rsidR="000C3EA7" w:rsidRDefault="00B4200C" w:rsidP="00E41EBB">
            <w:r>
              <w:t>5</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1BB79AF8" w14:textId="58F62A74" w:rsidR="000C3EA7" w:rsidRPr="00E34D9B" w:rsidRDefault="000C3EA7" w:rsidP="00E41EBB">
            <w:r>
              <w:t>End-of-life vehicles – assess industry project on POPs</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DC0E2AC" w14:textId="640D9125" w:rsidR="000C3EA7" w:rsidRPr="00E34D9B" w:rsidRDefault="00A01682" w:rsidP="00E41EBB">
            <w:r>
              <w:t>2</w:t>
            </w:r>
            <w:r w:rsidR="00581056">
              <w:t>8</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BC4E4BC" w14:textId="77777777" w:rsidR="000C3EA7" w:rsidRPr="00E34D9B" w:rsidRDefault="000C3EA7" w:rsidP="00E41EBB">
            <w:r>
              <w:t>Defra/ Environment Agency</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B87CAB3" w14:textId="77777777" w:rsidR="000C3EA7" w:rsidRPr="00E34D9B" w:rsidRDefault="000C3EA7" w:rsidP="00E41EBB">
            <w:r>
              <w:t>2022-23</w:t>
            </w:r>
          </w:p>
        </w:tc>
      </w:tr>
      <w:tr w:rsidR="000C3EA7" w:rsidRPr="00E34D9B" w14:paraId="3AD025D9"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06A0A572" w14:textId="69996123" w:rsidR="000C3EA7" w:rsidRDefault="00B4200C" w:rsidP="00E41EBB">
            <w:r>
              <w:t>6</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41FE73E1" w14:textId="77777777" w:rsidR="000C3EA7" w:rsidRPr="00E34D9B" w:rsidRDefault="000C3EA7" w:rsidP="00E41EBB">
            <w:r>
              <w:t>Complete consideration of the proposal to list MCCPs (within a specified range) to the Stockholm Convention</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9B04C83" w14:textId="729CAA98" w:rsidR="000C3EA7" w:rsidRPr="00E34D9B" w:rsidRDefault="00A01682" w:rsidP="00E41EBB">
            <w:r>
              <w:t>2</w:t>
            </w:r>
            <w:r w:rsidR="0045435F">
              <w:t>8</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B742C42" w14:textId="77777777" w:rsidR="000C3EA7" w:rsidRPr="00E34D9B" w:rsidRDefault="000C3EA7" w:rsidP="00E41EBB">
            <w:r>
              <w:t>UK government</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12D2C4AF" w14:textId="77777777" w:rsidR="000C3EA7" w:rsidRPr="00E34D9B" w:rsidRDefault="000C3EA7" w:rsidP="00E41EBB">
            <w:r>
              <w:t>April 2021</w:t>
            </w:r>
          </w:p>
        </w:tc>
      </w:tr>
      <w:tr w:rsidR="000C3EA7" w:rsidRPr="00E34D9B" w14:paraId="51F1DC66"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747B2B3A" w14:textId="3C30630B" w:rsidR="000C3EA7" w:rsidRDefault="00B4200C" w:rsidP="00E41EBB">
            <w:r>
              <w:t>7</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5E48B91E" w14:textId="23D17707" w:rsidR="000C3EA7" w:rsidRPr="00E34D9B" w:rsidRDefault="000C3EA7" w:rsidP="00E41EBB">
            <w:r>
              <w:t xml:space="preserve">Effective removal of PFOA-containing fire-fighting foam from stockpiles and waste. To satisfy the specific exemptions for the PFOA POPs listing. </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6F29216" w14:textId="317E82ED" w:rsidR="000C3EA7" w:rsidRPr="00E34D9B" w:rsidRDefault="00A01682" w:rsidP="00E41EBB">
            <w:r>
              <w:t>28</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2DB15D5" w14:textId="77777777" w:rsidR="000C3EA7" w:rsidRPr="00E34D9B" w:rsidRDefault="000C3EA7" w:rsidP="00E41EBB">
            <w:r>
              <w:t>Competent Authorities</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9E15CED" w14:textId="77777777" w:rsidR="000C3EA7" w:rsidRDefault="000C3EA7" w:rsidP="00E41EBB">
            <w:r>
              <w:t>2021-2023</w:t>
            </w:r>
          </w:p>
          <w:p w14:paraId="05B6D40E" w14:textId="77777777" w:rsidR="000C3EA7" w:rsidRPr="00E34D9B" w:rsidRDefault="000C3EA7" w:rsidP="00E41EBB">
            <w:r>
              <w:t>2021-2025</w:t>
            </w:r>
          </w:p>
        </w:tc>
      </w:tr>
      <w:tr w:rsidR="000C3EA7" w:rsidRPr="00E34D9B" w14:paraId="3783FEB7"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069F8896" w14:textId="275462FB" w:rsidR="000C3EA7" w:rsidRDefault="00B4200C" w:rsidP="00E41EBB">
            <w:r>
              <w:lastRenderedPageBreak/>
              <w:t>8</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46A1218D" w14:textId="5C54207D" w:rsidR="000C3EA7" w:rsidRPr="00E34D9B" w:rsidRDefault="000C3EA7" w:rsidP="00E41EBB">
            <w:r>
              <w:t>Assess levels of PFAS (including PFOS and PFOA) in the environment</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E90F8AA" w14:textId="41F353F3" w:rsidR="000C3EA7" w:rsidRPr="00E34D9B" w:rsidRDefault="00A01682" w:rsidP="00E41EBB">
            <w:r>
              <w:t>2</w:t>
            </w:r>
            <w:r w:rsidR="0045435F">
              <w:t>9</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2EE7090" w14:textId="25788461" w:rsidR="000C3EA7" w:rsidRPr="00E34D9B" w:rsidRDefault="000C3EA7" w:rsidP="00E41EBB">
            <w:r>
              <w:t>Environment Agency</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0611589" w14:textId="77777777" w:rsidR="000C3EA7" w:rsidRPr="00E34D9B" w:rsidRDefault="000C3EA7" w:rsidP="00E41EBB">
            <w:r>
              <w:t>2022</w:t>
            </w:r>
          </w:p>
        </w:tc>
      </w:tr>
      <w:tr w:rsidR="000C3EA7" w:rsidRPr="00E34D9B" w14:paraId="61BF584A"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7C5DC1C1" w14:textId="6B6603AF" w:rsidR="000C3EA7" w:rsidRDefault="00B4200C" w:rsidP="00E41EBB">
            <w:r>
              <w:t>9</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5DCF7311" w14:textId="323D2CF5" w:rsidR="000C3EA7" w:rsidRPr="00E34D9B" w:rsidRDefault="000C3EA7" w:rsidP="00E41EBB">
            <w:r>
              <w:t xml:space="preserve">Remove all equipment from use in the UK with PCB contaminant levels above legal limits </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A7E430A" w14:textId="078C6BAB" w:rsidR="000C3EA7" w:rsidRPr="00E34D9B" w:rsidRDefault="0045435F" w:rsidP="00E41EBB">
            <w:r>
              <w:t>31</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8DEDE1A" w14:textId="4AFE1E91" w:rsidR="000C3EA7" w:rsidRPr="00E34D9B" w:rsidRDefault="0047625C" w:rsidP="00E41EBB">
            <w:r>
              <w:t>Owners of relevant eq</w:t>
            </w:r>
            <w:r w:rsidR="00F17D57">
              <w:t xml:space="preserve">uipment supported by the </w:t>
            </w:r>
            <w:r w:rsidR="000C3EA7">
              <w:t>Competent Authorities</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8FB74DE" w14:textId="77777777" w:rsidR="000C3EA7" w:rsidRPr="00E34D9B" w:rsidRDefault="000C3EA7" w:rsidP="00E41EBB">
            <w:r>
              <w:t>By end of 2025</w:t>
            </w:r>
          </w:p>
        </w:tc>
      </w:tr>
      <w:tr w:rsidR="000C3EA7" w:rsidRPr="00E34D9B" w14:paraId="17B60B3E"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3599B499" w14:textId="43A83BDF" w:rsidR="000C3EA7" w:rsidRDefault="00B4200C" w:rsidP="00E41EBB">
            <w:r>
              <w:t>10</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04AB019A" w14:textId="76C787B8" w:rsidR="000C3EA7" w:rsidRPr="00E34D9B" w:rsidRDefault="000C3EA7" w:rsidP="00E41EBB">
            <w:r>
              <w:t>Further assessment of PBDEs in non-plastic articles</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F6927F2" w14:textId="173ED6A2" w:rsidR="000C3EA7" w:rsidRPr="00E34D9B" w:rsidRDefault="000C3EA7" w:rsidP="00E41EBB">
            <w:r>
              <w:t>3</w:t>
            </w:r>
            <w:r w:rsidR="0045435F">
              <w:t>4</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02E2ED3" w14:textId="77777777" w:rsidR="000C3EA7" w:rsidRPr="00E34D9B" w:rsidRDefault="000C3EA7" w:rsidP="00E41EBB">
            <w:r>
              <w:t>Defra/ Environment Agency</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36C75288" w14:textId="600C0383" w:rsidR="000C3EA7" w:rsidRPr="00E34D9B" w:rsidRDefault="001C0B5E" w:rsidP="00E41EBB">
            <w:r>
              <w:t>Ongoing</w:t>
            </w:r>
          </w:p>
        </w:tc>
      </w:tr>
      <w:tr w:rsidR="000C3EA7" w:rsidRPr="00E34D9B" w14:paraId="2C7FFCD8"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6B81AE33" w14:textId="008CFBB1" w:rsidR="000C3EA7" w:rsidRDefault="00B4200C" w:rsidP="00E41EBB">
            <w:r>
              <w:t>11</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3DDA0937" w14:textId="53045055" w:rsidR="000C3EA7" w:rsidRPr="00E34D9B" w:rsidRDefault="000C3EA7" w:rsidP="00E41EBB">
            <w:r>
              <w:t>Complete second phase of the landfill leachate project, sampling and interpretation.</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0A04597" w14:textId="0273BC98" w:rsidR="000C3EA7" w:rsidRPr="00E34D9B" w:rsidRDefault="000C3EA7" w:rsidP="00E41EBB">
            <w:r>
              <w:t>3</w:t>
            </w:r>
            <w:r w:rsidR="00D64716">
              <w:t>7</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F9A9E0D" w14:textId="77777777" w:rsidR="000C3EA7" w:rsidRPr="00E34D9B" w:rsidRDefault="000C3EA7" w:rsidP="00E41EBB">
            <w:r>
              <w:t>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9AE3DA6" w14:textId="343E6E17" w:rsidR="000C3EA7" w:rsidRPr="00E34D9B" w:rsidRDefault="0051538F" w:rsidP="00E41EBB">
            <w:r>
              <w:t>March 2022</w:t>
            </w:r>
          </w:p>
        </w:tc>
      </w:tr>
      <w:tr w:rsidR="00B4200C" w:rsidRPr="00E34D9B" w14:paraId="22700AB7"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5D6E53C5" w14:textId="6ECFDD00" w:rsidR="00B4200C" w:rsidRDefault="00B4200C" w:rsidP="00B4200C">
            <w:r>
              <w:t>12</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6C9083A1" w14:textId="545594F2" w:rsidR="00B4200C" w:rsidRDefault="00B4200C" w:rsidP="00B4200C">
            <w:r>
              <w:t>Development and maintenance of multimedia emissions inventory for new and existing POPs</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F16BA3C" w14:textId="7C5ECA1F" w:rsidR="00B4200C" w:rsidRDefault="00C3766C" w:rsidP="00B4200C">
            <w:r>
              <w:t>42</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5F38EA7" w14:textId="167429EB" w:rsidR="00B4200C" w:rsidRDefault="00B4200C" w:rsidP="00B4200C">
            <w:r>
              <w:t>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BB46414" w14:textId="0178E548" w:rsidR="00B4200C" w:rsidRPr="00E34D9B" w:rsidRDefault="00B4200C" w:rsidP="00B4200C">
            <w:r>
              <w:t>On-going</w:t>
            </w:r>
          </w:p>
        </w:tc>
      </w:tr>
      <w:tr w:rsidR="000C3EA7" w:rsidRPr="00E34D9B" w14:paraId="50FBBDE8"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0E2816F4" w14:textId="202D2FBC" w:rsidR="000C3EA7" w:rsidRDefault="00B4200C" w:rsidP="00E41EBB">
            <w:r>
              <w:t>13</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4513C7E8" w14:textId="35C3C402" w:rsidR="000C3EA7" w:rsidRPr="00E34D9B" w:rsidRDefault="000C3EA7" w:rsidP="00E41EBB">
            <w:r>
              <w:t>Review, verify and improve the POPs waste tool</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22E8D62A" w14:textId="647D8A08" w:rsidR="000C3EA7" w:rsidRPr="00E34D9B" w:rsidRDefault="00B4200C" w:rsidP="00E41EBB">
            <w:r>
              <w:t>4</w:t>
            </w:r>
            <w:r w:rsidR="00C3766C">
              <w:t>2</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96CDCA7" w14:textId="77777777" w:rsidR="000C3EA7" w:rsidRPr="00E34D9B" w:rsidRDefault="000C3EA7" w:rsidP="00E41EBB">
            <w:r>
              <w:t>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4059D2E0" w14:textId="6C19E8BE" w:rsidR="000C3EA7" w:rsidRPr="00E34D9B" w:rsidRDefault="0051538F" w:rsidP="00E41EBB">
            <w:r>
              <w:t>May 2022</w:t>
            </w:r>
          </w:p>
        </w:tc>
      </w:tr>
      <w:tr w:rsidR="00B4200C" w:rsidRPr="00E34D9B" w14:paraId="74C28932"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6D6E34F0" w14:textId="7041E743" w:rsidR="00B4200C" w:rsidRDefault="00B4200C" w:rsidP="00B4200C">
            <w:r>
              <w:t>14</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37F1CDE7" w14:textId="7BE576DC" w:rsidR="00B4200C" w:rsidRDefault="00B4200C" w:rsidP="00B4200C">
            <w:r>
              <w:t>Further development and maintenance of TOMPs Monitoring network (Air)</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5274F45A" w14:textId="115C7D1B" w:rsidR="00B4200C" w:rsidRDefault="00B4200C" w:rsidP="00B4200C">
            <w:r>
              <w:t>4</w:t>
            </w:r>
            <w:r w:rsidR="00C3766C">
              <w:t>3</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BCF0DF0" w14:textId="05F94584" w:rsidR="00B4200C" w:rsidRDefault="00B4200C" w:rsidP="00B4200C">
            <w:r>
              <w:t>Environment Agency/Defra</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0156A9F3" w14:textId="46EC9EA3" w:rsidR="00B4200C" w:rsidRPr="00E34D9B" w:rsidRDefault="00B4200C" w:rsidP="00B4200C">
            <w:r>
              <w:t>On-going</w:t>
            </w:r>
          </w:p>
        </w:tc>
      </w:tr>
      <w:tr w:rsidR="000C3EA7" w:rsidRPr="00E34D9B" w14:paraId="202F6E26" w14:textId="77777777" w:rsidTr="000C3EA7">
        <w:tc>
          <w:tcPr>
            <w:tcW w:w="851" w:type="dxa"/>
            <w:tcBorders>
              <w:top w:val="single" w:sz="8" w:space="0" w:color="00B050"/>
              <w:left w:val="single" w:sz="8" w:space="0" w:color="00B050"/>
              <w:bottom w:val="single" w:sz="8" w:space="0" w:color="00B050"/>
              <w:right w:val="single" w:sz="8" w:space="0" w:color="00B050"/>
            </w:tcBorders>
            <w:shd w:val="clear" w:color="auto" w:fill="CBE9D3"/>
          </w:tcPr>
          <w:p w14:paraId="26050A7C" w14:textId="5D377D98" w:rsidR="000C3EA7" w:rsidRDefault="000C3EA7" w:rsidP="00E41EBB">
            <w:r>
              <w:t>15</w:t>
            </w:r>
          </w:p>
        </w:tc>
        <w:tc>
          <w:tcPr>
            <w:tcW w:w="3827" w:type="dxa"/>
            <w:tcBorders>
              <w:top w:val="single" w:sz="8" w:space="0" w:color="00B050"/>
              <w:left w:val="single" w:sz="8" w:space="0" w:color="00B050"/>
              <w:bottom w:val="single" w:sz="8" w:space="0" w:color="00B050"/>
              <w:right w:val="single" w:sz="8" w:space="0" w:color="00B050"/>
            </w:tcBorders>
            <w:shd w:val="clear" w:color="auto" w:fill="CBE9D3"/>
          </w:tcPr>
          <w:p w14:paraId="64B141A6" w14:textId="77777777" w:rsidR="000C3EA7" w:rsidRPr="00E34D9B" w:rsidRDefault="000C3EA7" w:rsidP="00E41EBB">
            <w:r>
              <w:t>Compliance activities on PFOA and PBDEs in water</w:t>
            </w:r>
          </w:p>
        </w:tc>
        <w:tc>
          <w:tcPr>
            <w:tcW w:w="85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F306B5F" w14:textId="17CD7CF2" w:rsidR="000C3EA7" w:rsidRPr="00E34D9B" w:rsidRDefault="00B4200C" w:rsidP="00E41EBB">
            <w:r>
              <w:t>4</w:t>
            </w:r>
            <w:r w:rsidR="00C3766C">
              <w:t>5</w:t>
            </w:r>
          </w:p>
        </w:tc>
        <w:tc>
          <w:tcPr>
            <w:tcW w:w="2268"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7F941531" w14:textId="77777777" w:rsidR="000C3EA7" w:rsidRPr="00E34D9B" w:rsidRDefault="000C3EA7" w:rsidP="00E41EBB">
            <w:r>
              <w:t>Environment Agency</w:t>
            </w:r>
          </w:p>
        </w:tc>
        <w:tc>
          <w:tcPr>
            <w:tcW w:w="1701" w:type="dxa"/>
            <w:tcBorders>
              <w:top w:val="single" w:sz="8" w:space="0" w:color="00B050"/>
              <w:left w:val="single" w:sz="8" w:space="0" w:color="00B050"/>
              <w:bottom w:val="single" w:sz="8" w:space="0" w:color="00B050"/>
              <w:right w:val="single" w:sz="8" w:space="0" w:color="00B050"/>
            </w:tcBorders>
            <w:shd w:val="clear" w:color="auto" w:fill="FFFFFF" w:themeFill="background1"/>
          </w:tcPr>
          <w:p w14:paraId="6EFDF867" w14:textId="1E2E34AE" w:rsidR="000C3EA7" w:rsidRPr="00E34D9B" w:rsidRDefault="001C0B5E" w:rsidP="00E41EBB">
            <w:r>
              <w:t>Ongoing</w:t>
            </w:r>
          </w:p>
        </w:tc>
      </w:tr>
    </w:tbl>
    <w:p w14:paraId="7FC9AC35" w14:textId="1F1977AF" w:rsidR="000069F8" w:rsidRPr="008B3A27" w:rsidRDefault="000069F8" w:rsidP="000069F8"/>
    <w:p w14:paraId="2F1140A1" w14:textId="77777777" w:rsidR="00980F80" w:rsidRDefault="00980F80">
      <w:pPr>
        <w:spacing w:before="0" w:after="0" w:line="240" w:lineRule="auto"/>
      </w:pPr>
      <w:r>
        <w:br w:type="page"/>
      </w:r>
    </w:p>
    <w:p w14:paraId="25DB8017" w14:textId="7F385330" w:rsidR="008B3A27" w:rsidRPr="008B3A27" w:rsidRDefault="008B3A27" w:rsidP="008B3A27">
      <w:pPr>
        <w:pStyle w:val="Heading1"/>
      </w:pPr>
      <w:bookmarkStart w:id="44" w:name="_Toc67030076"/>
      <w:r>
        <w:lastRenderedPageBreak/>
        <w:t>Annex I</w:t>
      </w:r>
      <w:r w:rsidR="000069F8">
        <w:t>V</w:t>
      </w:r>
      <w:r>
        <w:t>: References</w:t>
      </w:r>
      <w:bookmarkEnd w:id="44"/>
      <w:r>
        <w:t xml:space="preserve"> </w:t>
      </w:r>
    </w:p>
    <w:p w14:paraId="39C78EF9" w14:textId="7C16B37B" w:rsidR="007E0154" w:rsidRDefault="007E0154" w:rsidP="007E0154">
      <w:pPr>
        <w:pStyle w:val="FootnoteText"/>
        <w:rPr>
          <w:rStyle w:val="Hyperlink"/>
          <w:rFonts w:asciiTheme="majorHAnsi" w:hAnsiTheme="majorHAnsi" w:cstheme="majorHAnsi"/>
          <w:sz w:val="24"/>
          <w:szCs w:val="24"/>
        </w:rPr>
      </w:pPr>
      <w:r w:rsidRPr="00FC1A53">
        <w:rPr>
          <w:rFonts w:asciiTheme="majorHAnsi" w:hAnsiTheme="majorHAnsi" w:cstheme="majorHAnsi"/>
          <w:sz w:val="24"/>
          <w:szCs w:val="24"/>
        </w:rPr>
        <w:t xml:space="preserve">Arcadis </w:t>
      </w:r>
      <w:r w:rsidR="00606135">
        <w:rPr>
          <w:rFonts w:asciiTheme="majorHAnsi" w:hAnsiTheme="majorHAnsi" w:cstheme="majorHAnsi"/>
          <w:sz w:val="24"/>
          <w:szCs w:val="24"/>
        </w:rPr>
        <w:t>(</w:t>
      </w:r>
      <w:r w:rsidRPr="00FC1A53">
        <w:rPr>
          <w:rFonts w:asciiTheme="majorHAnsi" w:hAnsiTheme="majorHAnsi" w:cstheme="majorHAnsi"/>
          <w:sz w:val="24"/>
          <w:szCs w:val="24"/>
        </w:rPr>
        <w:t>2019</w:t>
      </w:r>
      <w:r w:rsidR="00303E32">
        <w:rPr>
          <w:rFonts w:asciiTheme="majorHAnsi" w:hAnsiTheme="majorHAnsi" w:cstheme="majorHAnsi"/>
          <w:sz w:val="24"/>
          <w:szCs w:val="24"/>
        </w:rPr>
        <w:t>)</w:t>
      </w:r>
      <w:r w:rsidR="00303E32" w:rsidRPr="00FC1A53" w:rsidDel="000D3A0F">
        <w:rPr>
          <w:rFonts w:asciiTheme="majorHAnsi" w:hAnsiTheme="majorHAnsi" w:cstheme="majorHAnsi"/>
          <w:sz w:val="24"/>
          <w:szCs w:val="24"/>
        </w:rPr>
        <w:t>.</w:t>
      </w:r>
      <w:r w:rsidRPr="00FC1A53">
        <w:rPr>
          <w:rFonts w:asciiTheme="majorHAnsi" w:hAnsiTheme="majorHAnsi" w:cstheme="majorHAnsi"/>
          <w:sz w:val="24"/>
          <w:szCs w:val="24"/>
        </w:rPr>
        <w:t xml:space="preserve"> </w:t>
      </w:r>
      <w:r w:rsidRPr="00FC1A53">
        <w:rPr>
          <w:rFonts w:asciiTheme="majorHAnsi" w:hAnsiTheme="majorHAnsi" w:cstheme="majorHAnsi"/>
          <w:color w:val="000000"/>
          <w:sz w:val="24"/>
          <w:szCs w:val="24"/>
        </w:rPr>
        <w:t>Landfill Leachate Survey for Persistent Organic Pollutants (POPs), Prepared for Department for Environment Food &amp; Rural Affairs (</w:t>
      </w:r>
      <w:r w:rsidR="007822A8">
        <w:rPr>
          <w:rFonts w:asciiTheme="majorHAnsi" w:hAnsiTheme="majorHAnsi" w:cstheme="majorHAnsi"/>
          <w:color w:val="000000"/>
          <w:sz w:val="24"/>
          <w:szCs w:val="24"/>
        </w:rPr>
        <w:t>Defra</w:t>
      </w:r>
      <w:r w:rsidRPr="00FC1A53">
        <w:rPr>
          <w:rFonts w:asciiTheme="majorHAnsi" w:hAnsiTheme="majorHAnsi" w:cstheme="majorHAnsi"/>
          <w:color w:val="000000"/>
          <w:sz w:val="24"/>
          <w:szCs w:val="24"/>
        </w:rPr>
        <w:t xml:space="preserve">), CB0495. Online at: </w:t>
      </w:r>
      <w:r w:rsidRPr="00FC1A53">
        <w:rPr>
          <w:rFonts w:asciiTheme="majorHAnsi" w:hAnsiTheme="majorHAnsi" w:cstheme="majorHAnsi"/>
          <w:sz w:val="22"/>
          <w:szCs w:val="22"/>
        </w:rPr>
        <w:t xml:space="preserve"> </w:t>
      </w:r>
      <w:hyperlink r:id="rId32" w:history="1">
        <w:r w:rsidR="00EC36C1" w:rsidRPr="00FC1A53">
          <w:rPr>
            <w:rStyle w:val="Hyperlink"/>
            <w:rFonts w:asciiTheme="majorHAnsi" w:hAnsiTheme="majorHAnsi" w:cstheme="majorHAnsi"/>
            <w:sz w:val="24"/>
            <w:szCs w:val="24"/>
          </w:rPr>
          <w:t>http://randd.defra.gov.uk/Default.aspx?Menu=Menu&amp;Module=More&amp;Location=None&amp;ProjectID=20057</w:t>
        </w:r>
      </w:hyperlink>
    </w:p>
    <w:p w14:paraId="7F492746" w14:textId="1930F5B1" w:rsidR="00262A34" w:rsidRDefault="00303E32" w:rsidP="00303E32">
      <w:pPr>
        <w:rPr>
          <w:rStyle w:val="Hyperlink"/>
          <w:rFonts w:asciiTheme="majorHAnsi" w:hAnsiTheme="majorHAnsi" w:cstheme="majorHAnsi"/>
          <w:szCs w:val="24"/>
        </w:rPr>
      </w:pPr>
      <w:proofErr w:type="spellStart"/>
      <w:r w:rsidRPr="00303E32">
        <w:rPr>
          <w:rStyle w:val="Hyperlink"/>
          <w:rFonts w:asciiTheme="majorHAnsi" w:hAnsiTheme="majorHAnsi" w:cstheme="majorHAnsi"/>
          <w:color w:val="auto"/>
          <w:szCs w:val="24"/>
          <w:u w:val="none"/>
        </w:rPr>
        <w:t>BiPRO</w:t>
      </w:r>
      <w:proofErr w:type="spellEnd"/>
      <w:r w:rsidRPr="00303E32">
        <w:rPr>
          <w:rStyle w:val="Hyperlink"/>
          <w:rFonts w:asciiTheme="majorHAnsi" w:hAnsiTheme="majorHAnsi" w:cstheme="majorHAnsi"/>
          <w:color w:val="auto"/>
          <w:szCs w:val="24"/>
          <w:u w:val="none"/>
        </w:rPr>
        <w:t xml:space="preserve"> (2015). </w:t>
      </w:r>
      <w:r w:rsidR="009E30EC" w:rsidRPr="00303E32">
        <w:rPr>
          <w:rStyle w:val="Hyperlink"/>
          <w:rFonts w:asciiTheme="majorHAnsi" w:hAnsiTheme="majorHAnsi" w:cstheme="majorHAnsi"/>
          <w:color w:val="auto"/>
          <w:szCs w:val="24"/>
          <w:u w:val="none"/>
        </w:rPr>
        <w:t xml:space="preserve">Identification of potentially POP-containing Wastes and </w:t>
      </w:r>
      <w:proofErr w:type="spellStart"/>
      <w:r w:rsidR="009E30EC" w:rsidRPr="00303E32">
        <w:rPr>
          <w:rStyle w:val="Hyperlink"/>
          <w:rFonts w:asciiTheme="majorHAnsi" w:hAnsiTheme="majorHAnsi" w:cstheme="majorHAnsi"/>
          <w:color w:val="auto"/>
          <w:szCs w:val="24"/>
          <w:u w:val="none"/>
        </w:rPr>
        <w:t>Recyclates</w:t>
      </w:r>
      <w:proofErr w:type="spellEnd"/>
      <w:r w:rsidR="009E30EC" w:rsidRPr="00303E32">
        <w:rPr>
          <w:rStyle w:val="Hyperlink"/>
          <w:rFonts w:asciiTheme="majorHAnsi" w:hAnsiTheme="majorHAnsi" w:cstheme="majorHAnsi"/>
          <w:color w:val="auto"/>
          <w:szCs w:val="24"/>
          <w:u w:val="none"/>
        </w:rPr>
        <w:t xml:space="preserve"> – Derivation of Limit Values. 35/2015. Available online: </w:t>
      </w:r>
      <w:hyperlink r:id="rId33" w:history="1">
        <w:r w:rsidR="009E30EC" w:rsidRPr="00B6489A">
          <w:rPr>
            <w:rStyle w:val="Hyperlink"/>
            <w:rFonts w:asciiTheme="majorHAnsi" w:hAnsiTheme="majorHAnsi" w:cstheme="majorHAnsi"/>
            <w:szCs w:val="24"/>
          </w:rPr>
          <w:t>https://www.umweltbundesamt.de/sites/default/files/medien/378/publikationen/texte_35_2015_identification_of_potentially_pop-containing_wastes.pdf</w:t>
        </w:r>
      </w:hyperlink>
    </w:p>
    <w:p w14:paraId="708612D1" w14:textId="4BB38CAE" w:rsidR="00F7472F" w:rsidRDefault="00483518" w:rsidP="00262A34">
      <w:pPr>
        <w:rPr>
          <w:rStyle w:val="Hyperlink"/>
        </w:rPr>
      </w:pPr>
      <w:r w:rsidRPr="00FC1A53">
        <w:t>CEFIC (2004)</w:t>
      </w:r>
      <w:r w:rsidR="009A3521">
        <w:t>.</w:t>
      </w:r>
      <w:r w:rsidRPr="00FC1A53">
        <w:t xml:space="preserve"> Hexachlorobutadiene – Sources, environmental fate and risk characterisation. Science dossier. Available online:</w:t>
      </w:r>
      <w:r w:rsidR="00F7472F">
        <w:t xml:space="preserve"> </w:t>
      </w:r>
      <w:hyperlink r:id="rId34" w:history="1">
        <w:r w:rsidR="00F7472F" w:rsidRPr="00B6489A">
          <w:rPr>
            <w:rStyle w:val="Hyperlink"/>
          </w:rPr>
          <w:t>https://www.eurochlor.org/wp-content/uploads/2019/04/sd/sd5-hexachlorobutadiene-final.pdf</w:t>
        </w:r>
      </w:hyperlink>
    </w:p>
    <w:p w14:paraId="571A0AFE" w14:textId="3C445A9E" w:rsidR="00606135" w:rsidRDefault="00606135" w:rsidP="00262A34">
      <w:pPr>
        <w:rPr>
          <w:rStyle w:val="Hyperlink"/>
        </w:rPr>
      </w:pPr>
      <w:r w:rsidRPr="00303E32">
        <w:t>Defra (2020). Methods for the pre-treatment and destruction of persistent organic pollutants. Defra-Evidence Statement 11. Available online:</w:t>
      </w:r>
      <w:r>
        <w:rPr>
          <w:rStyle w:val="Hyperlink"/>
        </w:rPr>
        <w:t xml:space="preserve"> </w:t>
      </w:r>
      <w:hyperlink r:id="rId35" w:history="1">
        <w:r w:rsidR="00966DD8" w:rsidRPr="00B6489A">
          <w:rPr>
            <w:rStyle w:val="Hyperlink"/>
          </w:rPr>
          <w:t>http://sciencesearch.defra.gov.uk/Document.aspx?Document=14870_ES11_DestructionofPOPs_FINAL.PDF</w:t>
        </w:r>
      </w:hyperlink>
    </w:p>
    <w:p w14:paraId="0C7DD7DF" w14:textId="39EDF697" w:rsidR="0060797D" w:rsidRDefault="0060797D" w:rsidP="0060797D">
      <w:pPr>
        <w:rPr>
          <w:shd w:val="clear" w:color="auto" w:fill="FFFFFF"/>
        </w:rPr>
      </w:pPr>
      <w:r w:rsidRPr="00570BB9">
        <w:rPr>
          <w:rStyle w:val="Hyperlink"/>
          <w:rFonts w:asciiTheme="majorHAnsi" w:hAnsiTheme="majorHAnsi" w:cstheme="majorHAnsi"/>
          <w:color w:val="auto"/>
          <w:szCs w:val="24"/>
          <w:u w:val="none"/>
        </w:rPr>
        <w:t xml:space="preserve">Defra </w:t>
      </w:r>
      <w:r w:rsidR="007822A8">
        <w:rPr>
          <w:rStyle w:val="Hyperlink"/>
          <w:rFonts w:asciiTheme="majorHAnsi" w:hAnsiTheme="majorHAnsi" w:cstheme="majorHAnsi"/>
          <w:color w:val="auto"/>
          <w:szCs w:val="24"/>
          <w:u w:val="none"/>
        </w:rPr>
        <w:t>(</w:t>
      </w:r>
      <w:r w:rsidRPr="00570BB9">
        <w:rPr>
          <w:rStyle w:val="Hyperlink"/>
          <w:rFonts w:asciiTheme="majorHAnsi" w:hAnsiTheme="majorHAnsi" w:cstheme="majorHAnsi"/>
          <w:color w:val="auto"/>
          <w:szCs w:val="24"/>
          <w:u w:val="none"/>
        </w:rPr>
        <w:t>2021</w:t>
      </w:r>
      <w:r w:rsidR="007822A8">
        <w:rPr>
          <w:rStyle w:val="Hyperlink"/>
          <w:rFonts w:asciiTheme="majorHAnsi" w:hAnsiTheme="majorHAnsi" w:cstheme="majorHAnsi"/>
          <w:color w:val="auto"/>
          <w:szCs w:val="24"/>
          <w:u w:val="none"/>
        </w:rPr>
        <w:t>)</w:t>
      </w:r>
      <w:r w:rsidRPr="00570BB9">
        <w:rPr>
          <w:rStyle w:val="Hyperlink"/>
          <w:rFonts w:asciiTheme="majorHAnsi" w:hAnsiTheme="majorHAnsi" w:cstheme="majorHAnsi"/>
          <w:color w:val="auto"/>
          <w:szCs w:val="24"/>
          <w:u w:val="none"/>
        </w:rPr>
        <w:t xml:space="preserve">. </w:t>
      </w:r>
      <w:r w:rsidRPr="00262A34">
        <w:rPr>
          <w:shd w:val="clear" w:color="auto" w:fill="FFFFFF"/>
        </w:rPr>
        <w:t>Draft</w:t>
      </w:r>
      <w:r>
        <w:rPr>
          <w:shd w:val="clear" w:color="auto" w:fill="FFFFFF"/>
        </w:rPr>
        <w:t xml:space="preserve"> proposal to list chlorinated paraffins with carbon chain lengths in the range C14-17 and chlorination levels ≥45% chlorine by weight as a persistent organic pollutant (POP). Available online: </w:t>
      </w:r>
      <w:hyperlink r:id="rId36" w:history="1">
        <w:r w:rsidR="00F420CE" w:rsidRPr="00B6489A">
          <w:rPr>
            <w:rStyle w:val="Hyperlink"/>
            <w:shd w:val="clear" w:color="auto" w:fill="FFFFFF"/>
          </w:rPr>
          <w:t>https://www.gov.uk/government/publications/chlorinated-paraffins-with-carbon-chain-lengths-in-the-range-c14-17</w:t>
        </w:r>
      </w:hyperlink>
    </w:p>
    <w:p w14:paraId="60FDFAF9" w14:textId="3D3B9BB6" w:rsidR="00200977" w:rsidRDefault="00200977" w:rsidP="00570BB9">
      <w:pPr>
        <w:rPr>
          <w:rStyle w:val="Hyperlink"/>
          <w:rFonts w:asciiTheme="majorHAnsi" w:hAnsiTheme="majorHAnsi" w:cstheme="majorHAnsi"/>
          <w:color w:val="auto"/>
          <w:szCs w:val="24"/>
        </w:rPr>
      </w:pPr>
      <w:r>
        <w:rPr>
          <w:rStyle w:val="normaltextrun"/>
          <w:rFonts w:cs="Arial"/>
          <w:color w:val="000000"/>
          <w:shd w:val="clear" w:color="auto" w:fill="FFFFFF"/>
        </w:rPr>
        <w:t>Environment Agency (2007)</w:t>
      </w:r>
      <w:r w:rsidR="007822A8">
        <w:rPr>
          <w:rStyle w:val="normaltextrun"/>
          <w:rFonts w:cs="Arial"/>
          <w:color w:val="000000"/>
          <w:shd w:val="clear" w:color="auto" w:fill="FFFFFF"/>
        </w:rPr>
        <w:t>.</w:t>
      </w:r>
      <w:r>
        <w:rPr>
          <w:rStyle w:val="normaltextrun"/>
          <w:rFonts w:cs="Arial"/>
          <w:color w:val="000000"/>
          <w:shd w:val="clear" w:color="auto" w:fill="FFFFFF"/>
        </w:rPr>
        <w:t> Investigation of PFOS and other perfluorochemicals in groundwater and surface water in England and Wales. Environment Agency, unpublished</w:t>
      </w:r>
    </w:p>
    <w:p w14:paraId="1FE9B568" w14:textId="6F46E5DC" w:rsidR="005B7A6B" w:rsidRPr="00FC1A53" w:rsidRDefault="005B7A6B" w:rsidP="007E0154">
      <w:pPr>
        <w:pStyle w:val="FootnoteText"/>
        <w:rPr>
          <w:rStyle w:val="Hyperlink"/>
          <w:rFonts w:asciiTheme="majorHAnsi" w:hAnsiTheme="majorHAnsi" w:cstheme="majorHAnsi"/>
          <w:sz w:val="24"/>
          <w:szCs w:val="24"/>
        </w:rPr>
      </w:pPr>
      <w:r w:rsidRPr="00570BB9">
        <w:rPr>
          <w:rStyle w:val="Hyperlink"/>
          <w:rFonts w:asciiTheme="majorHAnsi" w:hAnsiTheme="majorHAnsi" w:cstheme="majorHAnsi"/>
          <w:color w:val="auto"/>
          <w:sz w:val="24"/>
          <w:szCs w:val="24"/>
          <w:u w:val="none"/>
        </w:rPr>
        <w:t xml:space="preserve">Environment Agency </w:t>
      </w:r>
      <w:r w:rsidR="009F17D8">
        <w:rPr>
          <w:rStyle w:val="Hyperlink"/>
          <w:rFonts w:asciiTheme="majorHAnsi" w:hAnsiTheme="majorHAnsi" w:cstheme="majorHAnsi"/>
          <w:color w:val="auto"/>
          <w:sz w:val="24"/>
          <w:szCs w:val="24"/>
          <w:u w:val="none"/>
        </w:rPr>
        <w:t>(</w:t>
      </w:r>
      <w:r w:rsidRPr="00570BB9">
        <w:rPr>
          <w:rStyle w:val="Hyperlink"/>
          <w:rFonts w:asciiTheme="majorHAnsi" w:hAnsiTheme="majorHAnsi" w:cstheme="majorHAnsi"/>
          <w:color w:val="auto"/>
          <w:sz w:val="24"/>
          <w:szCs w:val="24"/>
          <w:u w:val="none"/>
        </w:rPr>
        <w:t>2020</w:t>
      </w:r>
      <w:r w:rsidR="009F17D8">
        <w:rPr>
          <w:rStyle w:val="Hyperlink"/>
          <w:rFonts w:asciiTheme="majorHAnsi" w:hAnsiTheme="majorHAnsi" w:cstheme="majorHAnsi"/>
          <w:color w:val="auto"/>
          <w:sz w:val="24"/>
          <w:szCs w:val="24"/>
          <w:u w:val="none"/>
        </w:rPr>
        <w:t>a).</w:t>
      </w:r>
      <w:r w:rsidRPr="00570BB9">
        <w:rPr>
          <w:rStyle w:val="Hyperlink"/>
          <w:rFonts w:asciiTheme="majorHAnsi" w:hAnsiTheme="majorHAnsi" w:cstheme="majorHAnsi"/>
          <w:color w:val="auto"/>
          <w:sz w:val="24"/>
          <w:szCs w:val="24"/>
          <w:u w:val="none"/>
        </w:rPr>
        <w:t xml:space="preserve"> Environment Agency strategy for safe and sustainable sludge use. Available online:</w:t>
      </w:r>
      <w:r w:rsidRPr="00FC1A53">
        <w:rPr>
          <w:rStyle w:val="Hyperlink"/>
          <w:rFonts w:asciiTheme="majorHAnsi" w:hAnsiTheme="majorHAnsi" w:cstheme="majorHAnsi"/>
          <w:color w:val="auto"/>
          <w:sz w:val="24"/>
          <w:szCs w:val="24"/>
        </w:rPr>
        <w:t xml:space="preserve"> </w:t>
      </w:r>
      <w:hyperlink r:id="rId37" w:history="1">
        <w:r w:rsidRPr="00FC1A53">
          <w:rPr>
            <w:rStyle w:val="Hyperlink"/>
            <w:rFonts w:asciiTheme="majorHAnsi" w:hAnsiTheme="majorHAnsi" w:cstheme="majorHAnsi"/>
            <w:sz w:val="24"/>
            <w:szCs w:val="24"/>
          </w:rPr>
          <w:t>https://www.gov.uk/government/publications/environment-agency-strategy-for-safe-and-sustainable-sludge-use/environment-agency-strategy-for-safe-and-sustainable-sludge-use</w:t>
        </w:r>
      </w:hyperlink>
      <w:r w:rsidRPr="00FC1A53">
        <w:rPr>
          <w:rStyle w:val="Hyperlink"/>
          <w:rFonts w:asciiTheme="majorHAnsi" w:hAnsiTheme="majorHAnsi" w:cstheme="majorHAnsi"/>
          <w:sz w:val="24"/>
          <w:szCs w:val="24"/>
        </w:rPr>
        <w:t xml:space="preserve"> </w:t>
      </w:r>
    </w:p>
    <w:p w14:paraId="4B99D291" w14:textId="5A393172" w:rsidR="00A851E1" w:rsidRPr="00FC1A53" w:rsidRDefault="00A851E1" w:rsidP="007E0154">
      <w:pPr>
        <w:pStyle w:val="FootnoteText"/>
        <w:rPr>
          <w:rStyle w:val="Hyperlink"/>
          <w:rFonts w:asciiTheme="majorHAnsi" w:hAnsiTheme="majorHAnsi" w:cstheme="majorHAnsi"/>
          <w:sz w:val="24"/>
          <w:szCs w:val="24"/>
        </w:rPr>
      </w:pPr>
      <w:r w:rsidRPr="00570BB9">
        <w:rPr>
          <w:rStyle w:val="Hyperlink"/>
          <w:rFonts w:asciiTheme="majorHAnsi" w:hAnsiTheme="majorHAnsi" w:cstheme="majorHAnsi"/>
          <w:color w:val="auto"/>
          <w:sz w:val="24"/>
          <w:szCs w:val="24"/>
          <w:u w:val="none"/>
        </w:rPr>
        <w:t xml:space="preserve">Environment Agency </w:t>
      </w:r>
      <w:r w:rsidR="009F17D8">
        <w:rPr>
          <w:rStyle w:val="Hyperlink"/>
          <w:rFonts w:asciiTheme="majorHAnsi" w:hAnsiTheme="majorHAnsi" w:cstheme="majorHAnsi"/>
          <w:color w:val="auto"/>
          <w:sz w:val="24"/>
          <w:szCs w:val="24"/>
          <w:u w:val="none"/>
        </w:rPr>
        <w:t>(</w:t>
      </w:r>
      <w:r w:rsidRPr="00570BB9">
        <w:rPr>
          <w:rStyle w:val="Hyperlink"/>
          <w:rFonts w:asciiTheme="majorHAnsi" w:hAnsiTheme="majorHAnsi" w:cstheme="majorHAnsi"/>
          <w:color w:val="auto"/>
          <w:sz w:val="24"/>
          <w:szCs w:val="24"/>
          <w:u w:val="none"/>
        </w:rPr>
        <w:t>2020</w:t>
      </w:r>
      <w:r w:rsidR="009F17D8">
        <w:rPr>
          <w:rStyle w:val="Hyperlink"/>
          <w:rFonts w:asciiTheme="majorHAnsi" w:hAnsiTheme="majorHAnsi" w:cstheme="majorHAnsi"/>
          <w:color w:val="auto"/>
          <w:sz w:val="24"/>
          <w:szCs w:val="24"/>
          <w:u w:val="none"/>
        </w:rPr>
        <w:t>b).</w:t>
      </w:r>
      <w:r w:rsidRPr="00570BB9">
        <w:rPr>
          <w:rStyle w:val="Hyperlink"/>
          <w:rFonts w:asciiTheme="majorHAnsi" w:hAnsiTheme="majorHAnsi" w:cstheme="majorHAnsi"/>
          <w:color w:val="auto"/>
          <w:sz w:val="24"/>
          <w:szCs w:val="24"/>
          <w:u w:val="none"/>
        </w:rPr>
        <w:t xml:space="preserve"> Challenges and Choices 2020, links document. Available online at</w:t>
      </w:r>
      <w:r w:rsidRPr="00570BB9">
        <w:rPr>
          <w:rStyle w:val="Hyperlink"/>
          <w:rFonts w:asciiTheme="majorHAnsi" w:hAnsiTheme="majorHAnsi" w:cstheme="majorHAnsi"/>
          <w:sz w:val="24"/>
          <w:szCs w:val="24"/>
          <w:u w:val="none"/>
        </w:rPr>
        <w:t>:</w:t>
      </w:r>
      <w:r w:rsidRPr="00FC1A53">
        <w:rPr>
          <w:rStyle w:val="Hyperlink"/>
          <w:rFonts w:asciiTheme="majorHAnsi" w:hAnsiTheme="majorHAnsi" w:cstheme="majorHAnsi"/>
          <w:sz w:val="24"/>
          <w:szCs w:val="24"/>
        </w:rPr>
        <w:t xml:space="preserve"> </w:t>
      </w:r>
      <w:hyperlink r:id="rId38" w:history="1">
        <w:r w:rsidRPr="00FC1A53">
          <w:rPr>
            <w:rStyle w:val="Hyperlink"/>
            <w:rFonts w:asciiTheme="majorHAnsi" w:hAnsiTheme="majorHAnsi" w:cstheme="majorHAnsi"/>
            <w:sz w:val="24"/>
            <w:szCs w:val="22"/>
          </w:rPr>
          <w:t>https://prdldnrbm-data-sharing.s3.eu-west-2.amazonaws.com/Challenges+and+choices+2020+links.pdf</w:t>
        </w:r>
      </w:hyperlink>
      <w:r w:rsidRPr="00FC1A53">
        <w:rPr>
          <w:rStyle w:val="Hyperlink"/>
          <w:rFonts w:asciiTheme="majorHAnsi" w:hAnsiTheme="majorHAnsi" w:cstheme="majorHAnsi"/>
          <w:sz w:val="24"/>
          <w:szCs w:val="24"/>
        </w:rPr>
        <w:t xml:space="preserve"> </w:t>
      </w:r>
    </w:p>
    <w:p w14:paraId="20BFBCB0" w14:textId="03A4F8FF" w:rsidR="00EC36C1" w:rsidRPr="00262A34" w:rsidRDefault="00EC36C1" w:rsidP="007E0154">
      <w:pPr>
        <w:pStyle w:val="FootnoteText"/>
        <w:rPr>
          <w:rFonts w:asciiTheme="majorHAnsi" w:hAnsiTheme="majorHAnsi" w:cstheme="majorHAnsi"/>
          <w:sz w:val="24"/>
          <w:szCs w:val="24"/>
        </w:rPr>
      </w:pPr>
      <w:r w:rsidRPr="00570BB9">
        <w:rPr>
          <w:rStyle w:val="Hyperlink"/>
          <w:rFonts w:asciiTheme="majorHAnsi" w:hAnsiTheme="majorHAnsi" w:cstheme="majorHAnsi"/>
          <w:color w:val="auto"/>
          <w:sz w:val="24"/>
          <w:szCs w:val="24"/>
          <w:u w:val="none"/>
        </w:rPr>
        <w:t xml:space="preserve">Fernandes A.R., Lake I. R., Dowding A., Rose M., Jones N. R., Petch R., Smith F. and Panton S. </w:t>
      </w:r>
      <w:r w:rsidR="007822A8">
        <w:rPr>
          <w:rStyle w:val="Hyperlink"/>
          <w:rFonts w:asciiTheme="majorHAnsi" w:hAnsiTheme="majorHAnsi" w:cstheme="majorHAnsi"/>
          <w:color w:val="auto"/>
          <w:sz w:val="24"/>
          <w:szCs w:val="24"/>
          <w:u w:val="none"/>
        </w:rPr>
        <w:t>(</w:t>
      </w:r>
      <w:r w:rsidRPr="00570BB9">
        <w:rPr>
          <w:rStyle w:val="Hyperlink"/>
          <w:rFonts w:asciiTheme="majorHAnsi" w:hAnsiTheme="majorHAnsi" w:cstheme="majorHAnsi"/>
          <w:color w:val="auto"/>
          <w:sz w:val="24"/>
          <w:szCs w:val="24"/>
          <w:u w:val="none"/>
        </w:rPr>
        <w:t>2019</w:t>
      </w:r>
      <w:r w:rsidR="007822A8">
        <w:rPr>
          <w:rStyle w:val="Hyperlink"/>
          <w:rFonts w:asciiTheme="majorHAnsi" w:hAnsiTheme="majorHAnsi" w:cstheme="majorHAnsi"/>
          <w:color w:val="auto"/>
          <w:sz w:val="24"/>
          <w:szCs w:val="24"/>
          <w:u w:val="none"/>
        </w:rPr>
        <w:t>)</w:t>
      </w:r>
      <w:r w:rsidRPr="00570BB9">
        <w:rPr>
          <w:rStyle w:val="Hyperlink"/>
          <w:rFonts w:asciiTheme="majorHAnsi" w:hAnsiTheme="majorHAnsi" w:cstheme="majorHAnsi"/>
          <w:color w:val="auto"/>
          <w:sz w:val="24"/>
          <w:szCs w:val="24"/>
          <w:u w:val="none"/>
        </w:rPr>
        <w:t xml:space="preserve">. The potentials of recycled materials used in agriculture to contaminate food through uptake by livestock. Science of the Total Environment 667, 359-370. </w:t>
      </w:r>
    </w:p>
    <w:p w14:paraId="309EB8C1" w14:textId="0A707F50" w:rsidR="005B7A6B" w:rsidRDefault="005B7A6B" w:rsidP="005B7A6B">
      <w:r>
        <w:t>Graf</w:t>
      </w:r>
      <w:r w:rsidR="007822A8">
        <w:t xml:space="preserve"> C., </w:t>
      </w:r>
      <w:proofErr w:type="spellStart"/>
      <w:r w:rsidR="007822A8">
        <w:t>Katsoyiannis</w:t>
      </w:r>
      <w:proofErr w:type="spellEnd"/>
      <w:r w:rsidR="007822A8">
        <w:t xml:space="preserve"> A., Jones K. and Sweetman A.</w:t>
      </w:r>
      <w:r>
        <w:t xml:space="preserve">, </w:t>
      </w:r>
      <w:r w:rsidR="007822A8">
        <w:t>(</w:t>
      </w:r>
      <w:r>
        <w:t>2016</w:t>
      </w:r>
      <w:r w:rsidR="007822A8">
        <w:t xml:space="preserve">). The TOMPs ambient air monitoring network – Continuous data on UK air quality for over 20 years. Environmental Pollution 217 (42-51). </w:t>
      </w:r>
      <w:r>
        <w:t xml:space="preserve"> </w:t>
      </w:r>
    </w:p>
    <w:p w14:paraId="79E0A284" w14:textId="6AF113A5" w:rsidR="007E0154" w:rsidRDefault="00781E61" w:rsidP="008B3A27">
      <w:proofErr w:type="spellStart"/>
      <w:r w:rsidRPr="40CB74F4">
        <w:lastRenderedPageBreak/>
        <w:t>Harrad</w:t>
      </w:r>
      <w:proofErr w:type="spellEnd"/>
      <w:r w:rsidR="009F17D8">
        <w:t xml:space="preserve"> S., </w:t>
      </w:r>
      <w:proofErr w:type="spellStart"/>
      <w:r w:rsidR="009F17D8">
        <w:t>Drage</w:t>
      </w:r>
      <w:proofErr w:type="spellEnd"/>
      <w:r w:rsidR="009F17D8">
        <w:t xml:space="preserve"> D., Sharkey M. and </w:t>
      </w:r>
      <w:proofErr w:type="spellStart"/>
      <w:r w:rsidR="009F17D8">
        <w:t>Berresheim</w:t>
      </w:r>
      <w:proofErr w:type="spellEnd"/>
      <w:r w:rsidR="009F17D8">
        <w:t xml:space="preserve"> H.</w:t>
      </w:r>
      <w:r w:rsidR="007822A8">
        <w:t xml:space="preserve"> </w:t>
      </w:r>
      <w:r w:rsidR="009F17D8">
        <w:t>(</w:t>
      </w:r>
      <w:r w:rsidRPr="40CB74F4">
        <w:t>2019</w:t>
      </w:r>
      <w:r w:rsidR="009F17D8">
        <w:t>). Brominated flame retardants and perfluoroalkyl substances in landfill leachate from Ireland. Science of the Total Environment, 695</w:t>
      </w:r>
      <w:r w:rsidR="00DB058F">
        <w:t>.</w:t>
      </w:r>
    </w:p>
    <w:p w14:paraId="451E6410" w14:textId="18D0DC15" w:rsidR="00431D69" w:rsidRDefault="00431D69" w:rsidP="00345D4B">
      <w:r w:rsidRPr="007B093C">
        <w:t>Keeley-Lopez</w:t>
      </w:r>
      <w:r w:rsidR="007822A8">
        <w:t xml:space="preserve"> P.</w:t>
      </w:r>
      <w:r w:rsidRPr="007B093C">
        <w:t xml:space="preserve">, </w:t>
      </w:r>
      <w:proofErr w:type="spellStart"/>
      <w:r w:rsidRPr="007B093C">
        <w:t>Turrell</w:t>
      </w:r>
      <w:proofErr w:type="spellEnd"/>
      <w:r w:rsidRPr="007B093C">
        <w:t xml:space="preserve"> J</w:t>
      </w:r>
      <w:r w:rsidR="007822A8">
        <w:t>. and</w:t>
      </w:r>
      <w:r w:rsidRPr="007B093C">
        <w:t xml:space="preserve"> Vernon J. </w:t>
      </w:r>
      <w:r w:rsidR="007822A8">
        <w:t>(</w:t>
      </w:r>
      <w:r w:rsidRPr="007B093C">
        <w:t>2020</w:t>
      </w:r>
      <w:r w:rsidR="007822A8">
        <w:t>)</w:t>
      </w:r>
      <w:r w:rsidRPr="007B093C">
        <w:t>. An assessment of the levels of persistent organic pollutants (POPs) in waste electronic and electrical equipment in England and Wales. Water Research Centre Limited (</w:t>
      </w:r>
      <w:proofErr w:type="spellStart"/>
      <w:r w:rsidRPr="007B093C">
        <w:t>WRc</w:t>
      </w:r>
      <w:proofErr w:type="spellEnd"/>
      <w:r w:rsidRPr="007B093C">
        <w:t>) for Industry Council for Electronic Equipment Recycling (ICER).</w:t>
      </w:r>
      <w:r w:rsidR="007822A8">
        <w:t xml:space="preserve"> Available online: </w:t>
      </w:r>
      <w:hyperlink r:id="rId39" w:history="1">
        <w:r w:rsidR="007822A8" w:rsidRPr="00B6489A">
          <w:rPr>
            <w:rStyle w:val="Hyperlink"/>
          </w:rPr>
          <w:t>https://icer.org.uk/wp-content/uploads/2020/03/UC14161.3-An-assessment-of-the-levels-of-persistent-organic-pollutants-POPs-in-waste-electronic-and-electrical-equipment-in-England-and-Wales-FINAL-REPORT.pdf</w:t>
        </w:r>
      </w:hyperlink>
    </w:p>
    <w:p w14:paraId="08A30577" w14:textId="0315B88D" w:rsidR="009F17D8" w:rsidRDefault="009F17D8" w:rsidP="009F17D8">
      <w:r>
        <w:t xml:space="preserve">Ramboll </w:t>
      </w:r>
      <w:r w:rsidR="00F420CE">
        <w:t>(</w:t>
      </w:r>
      <w:r>
        <w:t>2019</w:t>
      </w:r>
      <w:r w:rsidR="00303E32">
        <w:t>). -</w:t>
      </w:r>
      <w:r>
        <w:t xml:space="preserve"> </w:t>
      </w:r>
      <w:r w:rsidRPr="00BA7C51">
        <w:t>S</w:t>
      </w:r>
      <w:r w:rsidRPr="000230E5">
        <w:t>tudy to support the review of waste related issues in annexes IV and V of regulation (EC) 850/2004</w:t>
      </w:r>
    </w:p>
    <w:p w14:paraId="71156C49" w14:textId="77777777" w:rsidR="009F17D8" w:rsidRDefault="009F17D8" w:rsidP="009F17D8">
      <w:r>
        <w:t>Rigby H., Dowding A., Fernandes A., Humphries D., Jones N., Lake I., Petch R., Reynolds C., Rose M., and Smith S. (2021). Concentrations of organic contaminants in industrial and municipal bioresources recycled in agriculture in the UK. Science of the Total Environment. 765. 15</w:t>
      </w:r>
    </w:p>
    <w:p w14:paraId="5DE8265A" w14:textId="006CA727" w:rsidR="009F17D8" w:rsidRPr="000230E5" w:rsidRDefault="009F17D8" w:rsidP="009F17D8">
      <w:r w:rsidRPr="005A6B47">
        <w:t>RIVM (2010)</w:t>
      </w:r>
      <w:r w:rsidR="009E30EC">
        <w:t xml:space="preserve">. </w:t>
      </w:r>
      <w:r w:rsidR="005A6B47">
        <w:t>Evaluation</w:t>
      </w:r>
      <w:r w:rsidR="009E30EC">
        <w:t xml:space="preserve"> of Possible Restrictions on Short Chain Chlorinated Paraffins (SCCPs). </w:t>
      </w:r>
      <w:r w:rsidR="005A6B47">
        <w:t xml:space="preserve">Prepared for National Institute for Public Health and the Environment (RIVM) The Netherlands. </w:t>
      </w:r>
    </w:p>
    <w:p w14:paraId="2C09CFE5" w14:textId="77777777" w:rsidR="009F17D8" w:rsidRDefault="009F17D8" w:rsidP="009F17D8">
      <w:r w:rsidRPr="005033F2">
        <w:t>The Persistent Organic Pollutants (Amendment) (EU Exit) Regulations 2020</w:t>
      </w:r>
    </w:p>
    <w:p w14:paraId="0F795AE3" w14:textId="749F913F" w:rsidR="009F17D8" w:rsidRDefault="009F17D8" w:rsidP="009F17D8">
      <w:r w:rsidRPr="00B41450">
        <w:t>The Environmental Protection (Disposal of Polychlorinated Biphenyls and other Dangerous Substances) (England and Wales) (Amendment) Regulations 2020</w:t>
      </w:r>
    </w:p>
    <w:p w14:paraId="340AD1BB" w14:textId="77777777" w:rsidR="00E859E2" w:rsidRPr="00E859E2" w:rsidRDefault="00E859E2" w:rsidP="00E859E2">
      <w:r w:rsidRPr="00E859E2">
        <w:t>The Environmental Protection (Disposal of Polychlorinated Biphenyls and other Dangerous Substances) (Scotland) Amendment Regulations 2020 amends the Environmental Protection (Disposal of Polychlorinated Biphenyls and other Dangerous Substances) (Scotland) Regulations 2000 (SSI 2000/95).</w:t>
      </w:r>
    </w:p>
    <w:p w14:paraId="3DA07003" w14:textId="4A5B5C50" w:rsidR="009F17D8" w:rsidRDefault="009F17D8" w:rsidP="009F17D8">
      <w:r>
        <w:t xml:space="preserve">UKMMAS </w:t>
      </w:r>
      <w:r w:rsidR="00303E32">
        <w:t>(</w:t>
      </w:r>
      <w:r>
        <w:t>2020</w:t>
      </w:r>
      <w:r w:rsidR="00303E32">
        <w:t>)</w:t>
      </w:r>
      <w:r>
        <w:t xml:space="preserve">. UK Marine Monitoring &amp; Assessment Strategy. Marine Online Assessment Tool. Available online: </w:t>
      </w:r>
      <w:hyperlink r:id="rId40" w:history="1">
        <w:r w:rsidRPr="004F1D73">
          <w:rPr>
            <w:rStyle w:val="Hyperlink"/>
          </w:rPr>
          <w:t>https://moat.cefas.co.uk/pressures-from-human-activities/contaminants/</w:t>
        </w:r>
      </w:hyperlink>
      <w:r>
        <w:t xml:space="preserve"> </w:t>
      </w:r>
    </w:p>
    <w:p w14:paraId="36D29038" w14:textId="440DD730" w:rsidR="007E5F1C" w:rsidRDefault="007E5F1C" w:rsidP="00431D69">
      <w:r>
        <w:t xml:space="preserve">UNEP Stockholm Convention website </w:t>
      </w:r>
      <w:hyperlink r:id="rId41">
        <w:r w:rsidRPr="007E5F1C">
          <w:rPr>
            <w:rStyle w:val="Hyperlink"/>
          </w:rPr>
          <w:t>http://www.pops.int/</w:t>
        </w:r>
      </w:hyperlink>
    </w:p>
    <w:p w14:paraId="5EB61E91" w14:textId="53072E45" w:rsidR="00431D69" w:rsidRDefault="00431D69" w:rsidP="00431D69">
      <w:r w:rsidRPr="00262A34">
        <w:t xml:space="preserve">UNEP </w:t>
      </w:r>
      <w:r w:rsidR="00303E32">
        <w:t>(</w:t>
      </w:r>
      <w:r w:rsidRPr="00262A34">
        <w:t>2016</w:t>
      </w:r>
      <w:r w:rsidR="00303E32">
        <w:t>)</w:t>
      </w:r>
      <w:r w:rsidRPr="00262A34">
        <w:t>. Report</w:t>
      </w:r>
      <w:r>
        <w:t xml:space="preserve"> of the Persistent Organic Pollutants Review Committee on the work of it twelfth meeting. Addendum: Evaluation of new information in relation to the listing of hexachlorobutadiene in Annex C to the Stockholm Convention on Persistent Organic Pollutants (executive summary). UNEP/POPS/POPRC.12/11/Add.5 </w:t>
      </w:r>
    </w:p>
    <w:p w14:paraId="477FB204" w14:textId="15330270" w:rsidR="00303E32" w:rsidRDefault="00303E32" w:rsidP="00431D69">
      <w:r>
        <w:t xml:space="preserve">UNEP (2017). </w:t>
      </w:r>
      <w:bookmarkStart w:id="45" w:name="_Hlk65614362"/>
      <w:r>
        <w:t xml:space="preserve">Analysis on waste-related information on </w:t>
      </w:r>
      <w:proofErr w:type="spellStart"/>
      <w:r>
        <w:t>decabromodiphenyl</w:t>
      </w:r>
      <w:proofErr w:type="spellEnd"/>
      <w:r>
        <w:t xml:space="preserve"> ether</w:t>
      </w:r>
      <w:bookmarkEnd w:id="45"/>
      <w:r>
        <w:t>. UNE</w:t>
      </w:r>
      <w:r w:rsidR="00A348A0">
        <w:t xml:space="preserve">P/CHW.13/INF/14. </w:t>
      </w:r>
    </w:p>
    <w:p w14:paraId="64B27E6A" w14:textId="2E786380" w:rsidR="00431D69" w:rsidRDefault="00431D69" w:rsidP="008B3A27">
      <w:r>
        <w:lastRenderedPageBreak/>
        <w:t xml:space="preserve">UNEP </w:t>
      </w:r>
      <w:r w:rsidR="00303E32">
        <w:t>(</w:t>
      </w:r>
      <w:r>
        <w:t>2021</w:t>
      </w:r>
      <w:r w:rsidR="00A314B4">
        <w:t>a</w:t>
      </w:r>
      <w:r w:rsidR="00303E32">
        <w:t>)</w:t>
      </w:r>
      <w:r w:rsidR="00A348A0">
        <w:t>.</w:t>
      </w:r>
      <w:r>
        <w:t xml:space="preserve"> </w:t>
      </w:r>
      <w:r w:rsidR="00A314B4" w:rsidRPr="00A314B4">
        <w:t xml:space="preserve">Draft report on the review of information related to specific exemptions for </w:t>
      </w:r>
      <w:proofErr w:type="spellStart"/>
      <w:r w:rsidR="00A314B4" w:rsidRPr="00A314B4">
        <w:t>decabromodiphenyl</w:t>
      </w:r>
      <w:proofErr w:type="spellEnd"/>
      <w:r w:rsidR="00A314B4" w:rsidRPr="00A314B4">
        <w:t xml:space="preserve"> ether</w:t>
      </w:r>
      <w:r>
        <w:t>.</w:t>
      </w:r>
      <w:r w:rsidR="00A348A0">
        <w:t xml:space="preserve"> </w:t>
      </w:r>
      <w:r w:rsidR="00A314B4">
        <w:t xml:space="preserve">POPS/POPRC/.16/INF/7. </w:t>
      </w:r>
    </w:p>
    <w:p w14:paraId="23677FC7" w14:textId="41C720A2" w:rsidR="00A314B4" w:rsidRDefault="00A314B4" w:rsidP="00A314B4">
      <w:r>
        <w:t xml:space="preserve">UNEP </w:t>
      </w:r>
      <w:r w:rsidR="00303E32">
        <w:t>(</w:t>
      </w:r>
      <w:r>
        <w:t>2021b</w:t>
      </w:r>
      <w:r w:rsidR="00303E32">
        <w:t>)</w:t>
      </w:r>
      <w:r w:rsidR="00A348A0">
        <w:t>.</w:t>
      </w:r>
      <w:r>
        <w:t xml:space="preserve"> </w:t>
      </w:r>
      <w:r w:rsidRPr="00431D69">
        <w:t>Draft report for the evaluation and review of brominated diphenyl ethers listed in Annex A to the Stockholm Convention</w:t>
      </w:r>
      <w:r>
        <w:t xml:space="preserve">. POPS/POPRC/.16/INF/11/Rev.1. </w:t>
      </w:r>
    </w:p>
    <w:p w14:paraId="5BFE6E7A" w14:textId="1EE04D2E" w:rsidR="00F16811" w:rsidRDefault="00F16811" w:rsidP="008B3A27">
      <w:r>
        <w:t xml:space="preserve">Williams R., </w:t>
      </w:r>
      <w:proofErr w:type="spellStart"/>
      <w:r>
        <w:t>Curnick</w:t>
      </w:r>
      <w:proofErr w:type="spellEnd"/>
      <w:r>
        <w:t xml:space="preserve"> D., Berber J., Brownlow A., Davison N., </w:t>
      </w:r>
      <w:proofErr w:type="spellStart"/>
      <w:r>
        <w:t>Deaville</w:t>
      </w:r>
      <w:proofErr w:type="spellEnd"/>
      <w:r>
        <w:t xml:space="preserve"> R., Perkins M., Jobling S. and Jepson P. (2020</w:t>
      </w:r>
      <w:r w:rsidR="00262A34">
        <w:t>a</w:t>
      </w:r>
      <w:r>
        <w:t>). Juvenile harbour porpoises in the UK are exposed to a more neurotoxic mixture of polychlorinated biphenyls than adults. Science of the Total Environment, 708</w:t>
      </w:r>
    </w:p>
    <w:p w14:paraId="69263D38" w14:textId="2DDCEC85" w:rsidR="00CC4930" w:rsidRDefault="00CC4930" w:rsidP="00397595">
      <w:r>
        <w:t xml:space="preserve">Williams R., </w:t>
      </w:r>
      <w:proofErr w:type="spellStart"/>
      <w:r>
        <w:t>Doeschate</w:t>
      </w:r>
      <w:proofErr w:type="spellEnd"/>
      <w:r>
        <w:t xml:space="preserve"> M., </w:t>
      </w:r>
      <w:proofErr w:type="spellStart"/>
      <w:r>
        <w:t>Curnick</w:t>
      </w:r>
      <w:proofErr w:type="spellEnd"/>
      <w:r>
        <w:t xml:space="preserve"> D., Brownlow A., Barber J., Davison N., </w:t>
      </w:r>
      <w:proofErr w:type="spellStart"/>
      <w:r>
        <w:t>Deaville</w:t>
      </w:r>
      <w:proofErr w:type="spellEnd"/>
      <w:r>
        <w:t xml:space="preserve"> R., Perkins M., Jepson P. and </w:t>
      </w:r>
      <w:proofErr w:type="spellStart"/>
      <w:r>
        <w:t>Joblng</w:t>
      </w:r>
      <w:proofErr w:type="spellEnd"/>
      <w:r>
        <w:t xml:space="preserve"> S. (2020</w:t>
      </w:r>
      <w:r w:rsidR="00262A34">
        <w:t>b</w:t>
      </w:r>
      <w:r>
        <w:t>). Levels of Polychlorinated Biphenyls are still associated with toxic effects in harbour porpoises (</w:t>
      </w:r>
      <w:proofErr w:type="spellStart"/>
      <w:r>
        <w:t>Phocoena</w:t>
      </w:r>
      <w:proofErr w:type="spellEnd"/>
      <w:r>
        <w:t xml:space="preserve"> </w:t>
      </w:r>
      <w:proofErr w:type="spellStart"/>
      <w:r>
        <w:t>phocoena</w:t>
      </w:r>
      <w:proofErr w:type="spellEnd"/>
      <w:r>
        <w:t>) despite having fallen below proposed toxicity thresholds. Environmental Science and Technology, 54:4 (2277-2286).</w:t>
      </w:r>
    </w:p>
    <w:p w14:paraId="2E9273F7" w14:textId="43778879" w:rsidR="00262A34" w:rsidRDefault="00262A34" w:rsidP="00262A34">
      <w:r>
        <w:t xml:space="preserve">Williams R., </w:t>
      </w:r>
      <w:proofErr w:type="spellStart"/>
      <w:r>
        <w:t>Curnick</w:t>
      </w:r>
      <w:proofErr w:type="spellEnd"/>
      <w:r>
        <w:t xml:space="preserve"> D., Brownlow A., Barber J., Barnett J., Davison N., </w:t>
      </w:r>
      <w:proofErr w:type="spellStart"/>
      <w:r>
        <w:t>Deaville</w:t>
      </w:r>
      <w:proofErr w:type="spellEnd"/>
      <w:r>
        <w:t xml:space="preserve"> R., </w:t>
      </w:r>
      <w:proofErr w:type="spellStart"/>
      <w:r>
        <w:t>Doeschate</w:t>
      </w:r>
      <w:proofErr w:type="spellEnd"/>
      <w:r>
        <w:t xml:space="preserve"> M., Perkins M., Jepson P and Jobling S. (2021). Polychlorinated biphenyls are associated with reduced testes weights in harbour porpoises (</w:t>
      </w:r>
      <w:proofErr w:type="spellStart"/>
      <w:r>
        <w:t>Phocoena</w:t>
      </w:r>
      <w:proofErr w:type="spellEnd"/>
      <w:r>
        <w:t xml:space="preserve"> </w:t>
      </w:r>
      <w:proofErr w:type="spellStart"/>
      <w:r>
        <w:t>phocoena</w:t>
      </w:r>
      <w:proofErr w:type="spellEnd"/>
      <w:r>
        <w:t>). Environment International (Article press)</w:t>
      </w:r>
    </w:p>
    <w:p w14:paraId="0B504CE6" w14:textId="5BDA218A" w:rsidR="00690A69" w:rsidRDefault="00690A69" w:rsidP="00262A34">
      <w:r>
        <w:t>Wood (unpublished a). A Further Update to the UKs Persistent Organic Pollutants (POPs) Multi-Media Emissions Inventory (MMEI). CB0489. Annual Report 2017</w:t>
      </w:r>
    </w:p>
    <w:p w14:paraId="79E58720" w14:textId="59FEF65D" w:rsidR="00690A69" w:rsidRDefault="00690A69" w:rsidP="00262A34">
      <w:r>
        <w:t>Wood (unpublished b). A Further Update to the UKs Persistent Organic Pollutants (POPs) Multi-Media Emissions Inventory (MMEI). CB0489. Annual Report 2018</w:t>
      </w:r>
    </w:p>
    <w:p w14:paraId="1A1D4329" w14:textId="482B9D66" w:rsidR="006A1736" w:rsidRDefault="006A1736" w:rsidP="00262A34">
      <w:r w:rsidRPr="00303E32">
        <w:t>Wood (</w:t>
      </w:r>
      <w:r w:rsidR="00690A69" w:rsidRPr="00303E32">
        <w:t>unpublished c</w:t>
      </w:r>
      <w:r w:rsidRPr="00303E32">
        <w:t>).</w:t>
      </w:r>
      <w:r w:rsidR="00A348A0">
        <w:t xml:space="preserve"> </w:t>
      </w:r>
      <w:r w:rsidR="00303E32" w:rsidRPr="00303E32">
        <w:t xml:space="preserve">POPs MMEI (ECM_52296): Work Package 5. </w:t>
      </w:r>
      <w:proofErr w:type="spellStart"/>
      <w:r w:rsidR="00303E32" w:rsidRPr="00303E32">
        <w:t>DecaBDE</w:t>
      </w:r>
      <w:proofErr w:type="spellEnd"/>
      <w:r w:rsidR="00303E32" w:rsidRPr="00303E32">
        <w:t xml:space="preserve"> and HBCDD within soft furnishings.</w:t>
      </w:r>
      <w:r>
        <w:t xml:space="preserve"> </w:t>
      </w:r>
    </w:p>
    <w:p w14:paraId="3D4EECCA" w14:textId="77777777" w:rsidR="00690A69" w:rsidRPr="008C3571" w:rsidRDefault="00690A69" w:rsidP="00262A34"/>
    <w:p w14:paraId="53DF059D" w14:textId="77777777" w:rsidR="00177DF3" w:rsidRPr="008B3A27" w:rsidRDefault="00177DF3" w:rsidP="008B3A27"/>
    <w:sectPr w:rsidR="00177DF3" w:rsidRPr="008B3A27" w:rsidSect="00A1296C">
      <w:footerReference w:type="default" r:id="rId42"/>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8533" w14:textId="77777777" w:rsidR="00357898" w:rsidRDefault="00357898" w:rsidP="002F321C">
      <w:r>
        <w:separator/>
      </w:r>
    </w:p>
    <w:p w14:paraId="3202D5F6" w14:textId="77777777" w:rsidR="00357898" w:rsidRDefault="00357898"/>
  </w:endnote>
  <w:endnote w:type="continuationSeparator" w:id="0">
    <w:p w14:paraId="22782A0F" w14:textId="77777777" w:rsidR="00357898" w:rsidRDefault="00357898" w:rsidP="002F321C">
      <w:r>
        <w:continuationSeparator/>
      </w:r>
    </w:p>
    <w:p w14:paraId="76F24A47" w14:textId="77777777" w:rsidR="00357898" w:rsidRDefault="00357898"/>
  </w:endnote>
  <w:endnote w:type="continuationNotice" w:id="1">
    <w:p w14:paraId="6D49F6DE" w14:textId="77777777" w:rsidR="00357898" w:rsidRDefault="003578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ABAE" w14:textId="77777777" w:rsidR="00574D93" w:rsidRDefault="00574D93" w:rsidP="006A0B36">
    <w:pPr>
      <w:pStyle w:val="Footer"/>
      <w:jc w:val="right"/>
    </w:pPr>
    <w:r w:rsidRPr="00F6274F">
      <w:rPr>
        <w:color w:val="2B579A"/>
        <w:shd w:val="clear" w:color="auto" w:fill="E6E6E6"/>
      </w:rPr>
      <w:fldChar w:fldCharType="begin"/>
    </w:r>
    <w:r w:rsidRPr="00F6274F">
      <w:instrText xml:space="preserve"> PAGE </w:instrText>
    </w:r>
    <w:r w:rsidRPr="00F6274F">
      <w:rPr>
        <w:color w:val="2B579A"/>
        <w:shd w:val="clear" w:color="auto" w:fill="E6E6E6"/>
      </w:rPr>
      <w:fldChar w:fldCharType="separate"/>
    </w:r>
    <w:r>
      <w:rPr>
        <w:noProof/>
      </w:rPr>
      <w:t>2</w:t>
    </w:r>
    <w:r w:rsidRPr="00F6274F">
      <w:rPr>
        <w:color w:val="2B579A"/>
        <w:shd w:val="clear" w:color="auto" w:fill="E6E6E6"/>
      </w:rPr>
      <w:fldChar w:fldCharType="end"/>
    </w:r>
    <w:r w:rsidRPr="00F6274F">
      <w:t xml:space="preserve"> of </w:t>
    </w:r>
    <w:r>
      <w:rPr>
        <w:color w:val="2B579A"/>
        <w:shd w:val="clear" w:color="auto" w:fill="E6E6E6"/>
      </w:rPr>
      <w:fldChar w:fldCharType="begin"/>
    </w:r>
    <w:r>
      <w:rPr>
        <w:noProof/>
      </w:rPr>
      <w:instrText xml:space="preserve"> NUMPAGES  </w:instrText>
    </w:r>
    <w:r>
      <w:rPr>
        <w:color w:val="2B579A"/>
        <w:shd w:val="clear" w:color="auto" w:fill="E6E6E6"/>
      </w:rPr>
      <w:fldChar w:fldCharType="separate"/>
    </w:r>
    <w:r>
      <w:rPr>
        <w:noProof/>
      </w:rPr>
      <w:t>16</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89A7" w14:textId="77777777" w:rsidR="00357898" w:rsidRDefault="00357898" w:rsidP="002F321C">
      <w:r>
        <w:separator/>
      </w:r>
    </w:p>
    <w:p w14:paraId="18D9878A" w14:textId="77777777" w:rsidR="00357898" w:rsidRDefault="00357898"/>
  </w:footnote>
  <w:footnote w:type="continuationSeparator" w:id="0">
    <w:p w14:paraId="3FE105AE" w14:textId="77777777" w:rsidR="00357898" w:rsidRDefault="00357898" w:rsidP="002F321C">
      <w:r>
        <w:continuationSeparator/>
      </w:r>
    </w:p>
    <w:p w14:paraId="36A3B61C" w14:textId="77777777" w:rsidR="00357898" w:rsidRDefault="00357898"/>
  </w:footnote>
  <w:footnote w:type="continuationNotice" w:id="1">
    <w:p w14:paraId="033F85AD" w14:textId="77777777" w:rsidR="00357898" w:rsidRDefault="00357898">
      <w:pPr>
        <w:spacing w:before="0" w:after="0" w:line="240" w:lineRule="auto"/>
      </w:pPr>
    </w:p>
  </w:footnote>
  <w:footnote w:id="2">
    <w:p w14:paraId="1A7A09E9" w14:textId="77777777" w:rsidR="00574D93" w:rsidRDefault="00574D93" w:rsidP="00AC731C">
      <w:pPr>
        <w:pStyle w:val="FootnoteText"/>
      </w:pPr>
      <w:r>
        <w:rPr>
          <w:rStyle w:val="FootnoteReference"/>
        </w:rPr>
        <w:footnoteRef/>
      </w:r>
      <w:r>
        <w:t xml:space="preserve"> Chemicals that are carbon based</w:t>
      </w:r>
    </w:p>
  </w:footnote>
  <w:footnote w:id="3">
    <w:p w14:paraId="60988DF5" w14:textId="6DDD54FC" w:rsidR="00574D93" w:rsidRPr="00E720BC" w:rsidRDefault="00574D93">
      <w:pPr>
        <w:pStyle w:val="FootnoteText"/>
        <w:rPr>
          <w:lang w:val="en-GB"/>
        </w:rPr>
      </w:pPr>
      <w:r w:rsidRPr="00E720BC">
        <w:rPr>
          <w:rStyle w:val="FootnoteReference"/>
        </w:rPr>
        <w:footnoteRef/>
      </w:r>
      <w:r w:rsidRPr="00E720BC">
        <w:t xml:space="preserve"> </w:t>
      </w:r>
      <w:r w:rsidRPr="00E720BC">
        <w:rPr>
          <w:lang w:val="en-GB"/>
        </w:rPr>
        <w:t>The Persistent Organic Pollutants Regulation 2007 as amended by the Persistent Organic Pollutants (Amendment) (EU Exit) Regulations 2020</w:t>
      </w:r>
    </w:p>
  </w:footnote>
  <w:footnote w:id="4">
    <w:p w14:paraId="49ABD534" w14:textId="2D244741" w:rsidR="00574D93" w:rsidRDefault="00574D93" w:rsidP="00CD086B">
      <w:pPr>
        <w:pStyle w:val="FootnoteText"/>
      </w:pPr>
      <w:r w:rsidRPr="00E720BC">
        <w:rPr>
          <w:rStyle w:val="FootnoteReference"/>
        </w:rPr>
        <w:footnoteRef/>
      </w:r>
      <w:r w:rsidRPr="00E720BC">
        <w:t xml:space="preserve"> </w:t>
      </w:r>
      <w:hyperlink r:id="rId1" w:history="1">
        <w:r w:rsidRPr="00E720BC">
          <w:rPr>
            <w:rStyle w:val="Hyperlink"/>
          </w:rPr>
          <w:t>https://www.legislation.gov.uk/uksi/2020/489/made</w:t>
        </w:r>
      </w:hyperlink>
      <w:r>
        <w:t xml:space="preserve"> </w:t>
      </w:r>
    </w:p>
  </w:footnote>
  <w:footnote w:id="5">
    <w:p w14:paraId="34CF5107" w14:textId="119F26FB" w:rsidR="00574D93" w:rsidRPr="0033137A" w:rsidRDefault="00574D93">
      <w:pPr>
        <w:pStyle w:val="FootnoteText"/>
        <w:rPr>
          <w:lang w:val="en-GB"/>
        </w:rPr>
      </w:pPr>
      <w:r>
        <w:rPr>
          <w:rStyle w:val="FootnoteReference"/>
        </w:rPr>
        <w:footnoteRef/>
      </w:r>
      <w:r>
        <w:t xml:space="preserve"> </w:t>
      </w:r>
      <w:r w:rsidRPr="0033137A">
        <w:t>https://www.legislation.gov.uk/ssi/2020/434/made?view=plain</w:t>
      </w:r>
    </w:p>
  </w:footnote>
  <w:footnote w:id="6">
    <w:p w14:paraId="4DB636A5" w14:textId="1DF0E88C" w:rsidR="00574D93" w:rsidRPr="00E242B5" w:rsidRDefault="00574D93">
      <w:pPr>
        <w:pStyle w:val="FootnoteText"/>
        <w:rPr>
          <w:lang w:val="en-GB"/>
        </w:rPr>
      </w:pPr>
      <w:r>
        <w:rPr>
          <w:rStyle w:val="FootnoteReference"/>
        </w:rPr>
        <w:footnoteRef/>
      </w:r>
      <w:r>
        <w:t xml:space="preserve"> </w:t>
      </w:r>
      <w:r w:rsidRPr="00E720BC">
        <w:rPr>
          <w:lang w:val="en-GB"/>
        </w:rPr>
        <w:t>Annex I in the EU POPs regulations (2019/1021 for Northern Ireland). In Great Britain it is implemented through the retained EU regulation (2019/1021) as amended by the Persistent Organic Pollutants (Amendment) (EU Exit) Regulations 2020.</w:t>
      </w:r>
    </w:p>
  </w:footnote>
  <w:footnote w:id="7">
    <w:p w14:paraId="713417BB" w14:textId="6169695E" w:rsidR="00574D93" w:rsidRPr="004A222D" w:rsidRDefault="00574D93">
      <w:pPr>
        <w:pStyle w:val="FootnoteText"/>
        <w:rPr>
          <w:lang w:val="en-GB"/>
        </w:rPr>
      </w:pPr>
      <w:r>
        <w:rPr>
          <w:rStyle w:val="FootnoteReference"/>
        </w:rPr>
        <w:footnoteRef/>
      </w:r>
      <w:r>
        <w:t xml:space="preserve"> </w:t>
      </w:r>
      <w:r w:rsidRPr="004A222D">
        <w:t>https://www.legislation.gov.uk/ukdsi/2020/9780348213607</w:t>
      </w:r>
    </w:p>
  </w:footnote>
  <w:footnote w:id="8">
    <w:p w14:paraId="0E2DF2ED" w14:textId="60B3E390" w:rsidR="00574D93" w:rsidRPr="00E242B5" w:rsidRDefault="00574D93" w:rsidP="00E242B5">
      <w:pPr>
        <w:pStyle w:val="FootnoteText"/>
        <w:rPr>
          <w:lang w:val="en-GB"/>
        </w:rPr>
      </w:pPr>
      <w:r>
        <w:rPr>
          <w:rStyle w:val="FootnoteReference"/>
        </w:rPr>
        <w:footnoteRef/>
      </w:r>
      <w:r>
        <w:t xml:space="preserve"> Annex I i</w:t>
      </w:r>
      <w:r w:rsidRPr="00E242B5">
        <w:rPr>
          <w:lang w:val="en-GB"/>
        </w:rPr>
        <w:t>n the EU POPs regulations (2019/1021</w:t>
      </w:r>
      <w:r>
        <w:rPr>
          <w:lang w:val="en-GB"/>
        </w:rPr>
        <w:t xml:space="preserve"> for Northern Ireland</w:t>
      </w:r>
      <w:r w:rsidRPr="00E242B5">
        <w:rPr>
          <w:lang w:val="en-GB"/>
        </w:rPr>
        <w:t xml:space="preserve">). In Great Britain it is implemented through the retained EU regulation (2019/1021) as amended by the Persistent Organic Pollutants (Amendment) (EU Exit) Regulations 2020. </w:t>
      </w:r>
    </w:p>
    <w:p w14:paraId="21BA9A5B" w14:textId="13CD3103" w:rsidR="00574D93" w:rsidRPr="00E242B5" w:rsidRDefault="00574D93">
      <w:pPr>
        <w:pStyle w:val="FootnoteText"/>
        <w:rPr>
          <w:lang w:val="en-GB"/>
        </w:rPr>
      </w:pPr>
    </w:p>
  </w:footnote>
  <w:footnote w:id="9">
    <w:p w14:paraId="724D407A" w14:textId="7258AA99" w:rsidR="00574D93" w:rsidRPr="00E242B5" w:rsidRDefault="00574D93">
      <w:pPr>
        <w:pStyle w:val="FootnoteText"/>
        <w:rPr>
          <w:lang w:val="en-GB"/>
        </w:rPr>
      </w:pPr>
      <w:r>
        <w:rPr>
          <w:rStyle w:val="FootnoteReference"/>
        </w:rPr>
        <w:footnoteRef/>
      </w:r>
      <w:r>
        <w:t xml:space="preserve"> </w:t>
      </w:r>
      <w:r w:rsidRPr="00E242B5">
        <w:rPr>
          <w:lang w:val="en-GB"/>
        </w:rPr>
        <w:t>Annex I</w:t>
      </w:r>
      <w:r>
        <w:rPr>
          <w:lang w:val="en-GB"/>
        </w:rPr>
        <w:t>II</w:t>
      </w:r>
      <w:r w:rsidRPr="00E242B5">
        <w:rPr>
          <w:lang w:val="en-GB"/>
        </w:rPr>
        <w:t xml:space="preserve"> in the EU POPs regulations (2019/1021 for Northern Ireland). In Great Britain it is implemented through the retained EU regulation (2019/1021) as amended by the Persistent Organic Pollutants (Amendment) (EU Exit) Regulations 2020.</w:t>
      </w:r>
    </w:p>
  </w:footnote>
  <w:footnote w:id="10">
    <w:p w14:paraId="51B1DFEF" w14:textId="1A1B449C" w:rsidR="00574D93" w:rsidRPr="00867D84" w:rsidRDefault="00574D93">
      <w:pPr>
        <w:pStyle w:val="FootnoteText"/>
        <w:rPr>
          <w:lang w:val="en-GB"/>
        </w:rPr>
      </w:pPr>
      <w:r>
        <w:rPr>
          <w:rStyle w:val="FootnoteReference"/>
        </w:rPr>
        <w:footnoteRef/>
      </w:r>
      <w:r>
        <w:t xml:space="preserve"> </w:t>
      </w:r>
      <w:r w:rsidRPr="00867D84">
        <w:t>https://www.legislation.gov.uk/uksi/2017/407/contents/made</w:t>
      </w:r>
    </w:p>
  </w:footnote>
  <w:footnote w:id="11">
    <w:p w14:paraId="159408B0" w14:textId="5A412602" w:rsidR="00574D93" w:rsidRPr="00E242B5" w:rsidRDefault="00574D93">
      <w:pPr>
        <w:pStyle w:val="FootnoteText"/>
        <w:rPr>
          <w:lang w:val="en-GB"/>
        </w:rPr>
      </w:pPr>
      <w:r>
        <w:rPr>
          <w:rStyle w:val="FootnoteReference"/>
        </w:rPr>
        <w:footnoteRef/>
      </w:r>
      <w:r>
        <w:t xml:space="preserve"> </w:t>
      </w:r>
      <w:r w:rsidRPr="00E242B5">
        <w:rPr>
          <w:lang w:val="en-GB"/>
        </w:rPr>
        <w:t>Annex I in the EU POPs regulations (2019/1021 for Northern Ireland). In Great Britain it is implemented through the retained EU regulation (2019/1021) as amended by the Persistent Organic Pollutants (Amendment) (EU Exit) Regulations 2020.</w:t>
      </w:r>
    </w:p>
  </w:footnote>
  <w:footnote w:id="12">
    <w:p w14:paraId="19BFB56C" w14:textId="0407DB28" w:rsidR="00574D93" w:rsidRPr="00E242B5" w:rsidRDefault="00574D93">
      <w:pPr>
        <w:pStyle w:val="FootnoteText"/>
        <w:rPr>
          <w:lang w:val="en-GB"/>
        </w:rPr>
      </w:pPr>
      <w:r>
        <w:rPr>
          <w:rStyle w:val="FootnoteReference"/>
        </w:rPr>
        <w:footnoteRef/>
      </w:r>
      <w:r>
        <w:t xml:space="preserve"> </w:t>
      </w:r>
      <w:r w:rsidRPr="00E242B5">
        <w:rPr>
          <w:lang w:val="en-GB"/>
        </w:rPr>
        <w:t>Annex I in the EU POPs regulations (2019/1021 for Northern Ireland). In Great Britain it is implemented through the retained EU regulation (2019/1021) as amended by the Persistent Organic Pollutants (Amendment) (EU Exit) Regulations 2020.</w:t>
      </w:r>
    </w:p>
  </w:footnote>
  <w:footnote w:id="13">
    <w:p w14:paraId="32ED1F3E" w14:textId="77777777" w:rsidR="00574D93" w:rsidRPr="00C8467A" w:rsidRDefault="00574D93" w:rsidP="000B636B">
      <w:pPr>
        <w:rPr>
          <w:sz w:val="18"/>
          <w:szCs w:val="18"/>
        </w:rPr>
      </w:pPr>
      <w:r>
        <w:rPr>
          <w:rStyle w:val="FootnoteReference"/>
        </w:rPr>
        <w:footnoteRef/>
      </w:r>
      <w:r>
        <w:t xml:space="preserve"> </w:t>
      </w:r>
      <w:hyperlink r:id="rId2" w:history="1">
        <w:r w:rsidRPr="00C8467A">
          <w:rPr>
            <w:rStyle w:val="Hyperlink"/>
            <w:sz w:val="18"/>
            <w:szCs w:val="18"/>
          </w:rPr>
          <w:t>A Clean Air Strategy for Northern Ireland – Public Discussion Document | Department of Agriculture, Environment and Rural Affairs (daera-ni.gov.uk)</w:t>
        </w:r>
      </w:hyperlink>
    </w:p>
    <w:p w14:paraId="7E5A759E" w14:textId="4DD46A49" w:rsidR="00574D93" w:rsidRPr="00925ABA" w:rsidRDefault="00574D93">
      <w:pPr>
        <w:pStyle w:val="FootnoteText"/>
        <w:rPr>
          <w:lang w:val="en-GB"/>
        </w:rPr>
      </w:pPr>
    </w:p>
  </w:footnote>
  <w:footnote w:id="14">
    <w:p w14:paraId="7E1CB883" w14:textId="0808A33E" w:rsidR="00574D93" w:rsidRPr="00142C50" w:rsidRDefault="00574D93">
      <w:pPr>
        <w:pStyle w:val="FootnoteText"/>
        <w:rPr>
          <w:lang w:val="en-GB"/>
        </w:rPr>
      </w:pPr>
      <w:r>
        <w:rPr>
          <w:rStyle w:val="FootnoteReference"/>
        </w:rPr>
        <w:footnoteRef/>
      </w:r>
      <w:r>
        <w:t xml:space="preserve"> </w:t>
      </w:r>
      <w:r w:rsidRPr="00142C50">
        <w:t>https://uk-air.defra.gov.uk/library/reports?report_id=948</w:t>
      </w:r>
    </w:p>
  </w:footnote>
  <w:footnote w:id="15">
    <w:p w14:paraId="6BF9F3AC" w14:textId="515C647C" w:rsidR="00574D93" w:rsidRPr="004005AE" w:rsidRDefault="00574D93">
      <w:pPr>
        <w:pStyle w:val="FootnoteText"/>
        <w:rPr>
          <w:lang w:val="en-GB"/>
        </w:rPr>
      </w:pPr>
      <w:r>
        <w:rPr>
          <w:rStyle w:val="FootnoteReference"/>
        </w:rPr>
        <w:footnoteRef/>
      </w:r>
      <w:r>
        <w:t xml:space="preserve"> </w:t>
      </w:r>
      <w:r w:rsidRPr="004005AE">
        <w:t>https://www.gov.uk/guidance/d7-waste-exemption-burning-waste-in-the-open</w:t>
      </w:r>
    </w:p>
  </w:footnote>
  <w:footnote w:id="16">
    <w:p w14:paraId="0939625F" w14:textId="39577CED" w:rsidR="00574D93" w:rsidRPr="00743553" w:rsidRDefault="00574D93">
      <w:pPr>
        <w:pStyle w:val="FootnoteText"/>
        <w:rPr>
          <w:lang w:val="en-GB"/>
        </w:rPr>
      </w:pPr>
      <w:r>
        <w:rPr>
          <w:rStyle w:val="FootnoteReference"/>
        </w:rPr>
        <w:footnoteRef/>
      </w:r>
      <w:r>
        <w:t xml:space="preserve"> </w:t>
      </w:r>
      <w:r w:rsidRPr="00743553">
        <w:t>https://www.gov.uk/government/publications/burning-of-waste-on-campfires-and-bonfires/burning-waste-on-campfires-and-bonfires-rps-50</w:t>
      </w:r>
    </w:p>
  </w:footnote>
  <w:footnote w:id="17">
    <w:p w14:paraId="68BDDF30" w14:textId="77777777" w:rsidR="00574D93" w:rsidRPr="009D3BE5" w:rsidRDefault="00574D93" w:rsidP="009D3BE5">
      <w:pPr>
        <w:pStyle w:val="FootnoteText"/>
        <w:rPr>
          <w:lang w:val="en-GB"/>
        </w:rPr>
      </w:pPr>
      <w:r>
        <w:rPr>
          <w:rStyle w:val="FootnoteReference"/>
        </w:rPr>
        <w:footnoteRef/>
      </w:r>
      <w:r>
        <w:t xml:space="preserve"> </w:t>
      </w:r>
      <w:hyperlink r:id="rId3" w:history="1">
        <w:r w:rsidRPr="009D3BE5">
          <w:rPr>
            <w:rStyle w:val="Hyperlink"/>
            <w:lang w:val="en-GB"/>
          </w:rPr>
          <w:t>https://www.gov.uk/guidance/classify-some-waste-electrical-devices-components-and-wastes-from-their-treatment</w:t>
        </w:r>
      </w:hyperlink>
      <w:r w:rsidRPr="009D3BE5">
        <w:rPr>
          <w:lang w:val="en-GB"/>
        </w:rPr>
        <w:t xml:space="preserve"> </w:t>
      </w:r>
    </w:p>
    <w:p w14:paraId="782D70D1" w14:textId="57282222" w:rsidR="00574D93" w:rsidRPr="009D3BE5" w:rsidRDefault="00574D93">
      <w:pPr>
        <w:pStyle w:val="FootnoteText"/>
        <w:rPr>
          <w:lang w:val="en-GB"/>
        </w:rPr>
      </w:pPr>
    </w:p>
  </w:footnote>
  <w:footnote w:id="18">
    <w:p w14:paraId="24A3859E" w14:textId="77777777" w:rsidR="00574D93" w:rsidRDefault="00574D93" w:rsidP="001C7AB2">
      <w:pPr>
        <w:pStyle w:val="FootnoteText"/>
      </w:pPr>
      <w:r>
        <w:rPr>
          <w:rStyle w:val="FootnoteReference"/>
        </w:rPr>
        <w:footnoteRef/>
      </w:r>
      <w:r>
        <w:t xml:space="preserve"> UK </w:t>
      </w:r>
      <w:r w:rsidRPr="001C2D23">
        <w:t xml:space="preserve">Measuring environmental change: Outcome Indicator Framework for the 25 </w:t>
      </w:r>
      <w:r>
        <w:t>Y</w:t>
      </w:r>
      <w:r w:rsidRPr="001C2D23">
        <w:t xml:space="preserve">ear </w:t>
      </w:r>
      <w:r>
        <w:t>E</w:t>
      </w:r>
      <w:r w:rsidRPr="001C2D23">
        <w:t xml:space="preserve">nvironment </w:t>
      </w:r>
      <w:r>
        <w:t>P</w:t>
      </w:r>
      <w:r w:rsidRPr="001C2D23">
        <w:t>lan https://www.gov.uk/government/publications/25-year-environment-plan</w:t>
      </w:r>
    </w:p>
  </w:footnote>
  <w:footnote w:id="19">
    <w:p w14:paraId="3049BB64" w14:textId="77777777" w:rsidR="00574D93" w:rsidRDefault="00574D93" w:rsidP="001C7AB2">
      <w:pPr>
        <w:pStyle w:val="FootnoteText"/>
      </w:pPr>
      <w:r>
        <w:rPr>
          <w:rStyle w:val="FootnoteReference"/>
        </w:rPr>
        <w:footnoteRef/>
      </w:r>
      <w:r>
        <w:t xml:space="preserve"> </w:t>
      </w:r>
      <w:r w:rsidRPr="00205AFD">
        <w:t>25 Year Environment Plan Progress Report April 2019 to March 2020</w:t>
      </w:r>
      <w:r>
        <w:t xml:space="preserve">, </w:t>
      </w:r>
      <w:r w:rsidRPr="00205AFD">
        <w:t>https://www.gov.uk/government/publications/25-year-environment-plan-progress-reports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E66"/>
    <w:multiLevelType w:val="multilevel"/>
    <w:tmpl w:val="FACCE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F328D"/>
    <w:multiLevelType w:val="hybridMultilevel"/>
    <w:tmpl w:val="15F6EFF4"/>
    <w:lvl w:ilvl="0" w:tplc="50043798">
      <w:start w:val="1"/>
      <w:numFmt w:val="decimal"/>
      <w:lvlText w:val="%1."/>
      <w:lvlJc w:val="left"/>
      <w:pPr>
        <w:tabs>
          <w:tab w:val="num" w:pos="720"/>
        </w:tabs>
        <w:ind w:left="720" w:hanging="720"/>
      </w:pPr>
    </w:lvl>
    <w:lvl w:ilvl="1" w:tplc="21D8D97C">
      <w:start w:val="1"/>
      <w:numFmt w:val="decimal"/>
      <w:lvlText w:val="%2."/>
      <w:lvlJc w:val="left"/>
      <w:pPr>
        <w:tabs>
          <w:tab w:val="num" w:pos="1440"/>
        </w:tabs>
        <w:ind w:left="1440" w:hanging="720"/>
      </w:pPr>
    </w:lvl>
    <w:lvl w:ilvl="2" w:tplc="0FC433A8">
      <w:start w:val="1"/>
      <w:numFmt w:val="decimal"/>
      <w:lvlText w:val="%3."/>
      <w:lvlJc w:val="left"/>
      <w:pPr>
        <w:tabs>
          <w:tab w:val="num" w:pos="2160"/>
        </w:tabs>
        <w:ind w:left="2160" w:hanging="720"/>
      </w:pPr>
    </w:lvl>
    <w:lvl w:ilvl="3" w:tplc="FAD0B546">
      <w:start w:val="1"/>
      <w:numFmt w:val="decimal"/>
      <w:lvlText w:val="%4."/>
      <w:lvlJc w:val="left"/>
      <w:pPr>
        <w:tabs>
          <w:tab w:val="num" w:pos="2880"/>
        </w:tabs>
        <w:ind w:left="2880" w:hanging="720"/>
      </w:pPr>
    </w:lvl>
    <w:lvl w:ilvl="4" w:tplc="D9F4274E">
      <w:start w:val="1"/>
      <w:numFmt w:val="decimal"/>
      <w:lvlText w:val="%5."/>
      <w:lvlJc w:val="left"/>
      <w:pPr>
        <w:tabs>
          <w:tab w:val="num" w:pos="3600"/>
        </w:tabs>
        <w:ind w:left="3600" w:hanging="720"/>
      </w:pPr>
    </w:lvl>
    <w:lvl w:ilvl="5" w:tplc="52CE1F26">
      <w:start w:val="1"/>
      <w:numFmt w:val="decimal"/>
      <w:lvlText w:val="%6."/>
      <w:lvlJc w:val="left"/>
      <w:pPr>
        <w:tabs>
          <w:tab w:val="num" w:pos="4320"/>
        </w:tabs>
        <w:ind w:left="4320" w:hanging="720"/>
      </w:pPr>
    </w:lvl>
    <w:lvl w:ilvl="6" w:tplc="65A277B0">
      <w:start w:val="1"/>
      <w:numFmt w:val="decimal"/>
      <w:lvlText w:val="%7."/>
      <w:lvlJc w:val="left"/>
      <w:pPr>
        <w:tabs>
          <w:tab w:val="num" w:pos="5040"/>
        </w:tabs>
        <w:ind w:left="5040" w:hanging="720"/>
      </w:pPr>
    </w:lvl>
    <w:lvl w:ilvl="7" w:tplc="3C3C306E">
      <w:start w:val="1"/>
      <w:numFmt w:val="decimal"/>
      <w:lvlText w:val="%8."/>
      <w:lvlJc w:val="left"/>
      <w:pPr>
        <w:tabs>
          <w:tab w:val="num" w:pos="5760"/>
        </w:tabs>
        <w:ind w:left="5760" w:hanging="720"/>
      </w:pPr>
    </w:lvl>
    <w:lvl w:ilvl="8" w:tplc="531CC8EC">
      <w:start w:val="1"/>
      <w:numFmt w:val="decimal"/>
      <w:lvlText w:val="%9."/>
      <w:lvlJc w:val="left"/>
      <w:pPr>
        <w:tabs>
          <w:tab w:val="num" w:pos="6480"/>
        </w:tabs>
        <w:ind w:left="6480" w:hanging="720"/>
      </w:pPr>
    </w:lvl>
  </w:abstractNum>
  <w:abstractNum w:abstractNumId="2" w15:restartNumberingAfterBreak="0">
    <w:nsid w:val="02B17197"/>
    <w:multiLevelType w:val="hybridMultilevel"/>
    <w:tmpl w:val="F1D8B058"/>
    <w:lvl w:ilvl="0" w:tplc="2DFEBCF2">
      <w:start w:val="14"/>
      <w:numFmt w:val="decimal"/>
      <w:lvlText w:val="%1."/>
      <w:lvlJc w:val="left"/>
      <w:pPr>
        <w:tabs>
          <w:tab w:val="num" w:pos="720"/>
        </w:tabs>
        <w:ind w:left="720" w:hanging="360"/>
      </w:pPr>
    </w:lvl>
    <w:lvl w:ilvl="1" w:tplc="31A2741E" w:tentative="1">
      <w:start w:val="1"/>
      <w:numFmt w:val="decimal"/>
      <w:lvlText w:val="%2."/>
      <w:lvlJc w:val="left"/>
      <w:pPr>
        <w:tabs>
          <w:tab w:val="num" w:pos="1440"/>
        </w:tabs>
        <w:ind w:left="1440" w:hanging="360"/>
      </w:pPr>
    </w:lvl>
    <w:lvl w:ilvl="2" w:tplc="222C6328" w:tentative="1">
      <w:start w:val="1"/>
      <w:numFmt w:val="decimal"/>
      <w:lvlText w:val="%3."/>
      <w:lvlJc w:val="left"/>
      <w:pPr>
        <w:tabs>
          <w:tab w:val="num" w:pos="2160"/>
        </w:tabs>
        <w:ind w:left="2160" w:hanging="360"/>
      </w:pPr>
    </w:lvl>
    <w:lvl w:ilvl="3" w:tplc="8A846B10" w:tentative="1">
      <w:start w:val="1"/>
      <w:numFmt w:val="decimal"/>
      <w:lvlText w:val="%4."/>
      <w:lvlJc w:val="left"/>
      <w:pPr>
        <w:tabs>
          <w:tab w:val="num" w:pos="2880"/>
        </w:tabs>
        <w:ind w:left="2880" w:hanging="360"/>
      </w:pPr>
    </w:lvl>
    <w:lvl w:ilvl="4" w:tplc="CE54EBE6" w:tentative="1">
      <w:start w:val="1"/>
      <w:numFmt w:val="decimal"/>
      <w:lvlText w:val="%5."/>
      <w:lvlJc w:val="left"/>
      <w:pPr>
        <w:tabs>
          <w:tab w:val="num" w:pos="3600"/>
        </w:tabs>
        <w:ind w:left="3600" w:hanging="360"/>
      </w:pPr>
    </w:lvl>
    <w:lvl w:ilvl="5" w:tplc="8A42983A" w:tentative="1">
      <w:start w:val="1"/>
      <w:numFmt w:val="decimal"/>
      <w:lvlText w:val="%6."/>
      <w:lvlJc w:val="left"/>
      <w:pPr>
        <w:tabs>
          <w:tab w:val="num" w:pos="4320"/>
        </w:tabs>
        <w:ind w:left="4320" w:hanging="360"/>
      </w:pPr>
    </w:lvl>
    <w:lvl w:ilvl="6" w:tplc="990251EC" w:tentative="1">
      <w:start w:val="1"/>
      <w:numFmt w:val="decimal"/>
      <w:lvlText w:val="%7."/>
      <w:lvlJc w:val="left"/>
      <w:pPr>
        <w:tabs>
          <w:tab w:val="num" w:pos="5040"/>
        </w:tabs>
        <w:ind w:left="5040" w:hanging="360"/>
      </w:pPr>
    </w:lvl>
    <w:lvl w:ilvl="7" w:tplc="50289746" w:tentative="1">
      <w:start w:val="1"/>
      <w:numFmt w:val="decimal"/>
      <w:lvlText w:val="%8."/>
      <w:lvlJc w:val="left"/>
      <w:pPr>
        <w:tabs>
          <w:tab w:val="num" w:pos="5760"/>
        </w:tabs>
        <w:ind w:left="5760" w:hanging="360"/>
      </w:pPr>
    </w:lvl>
    <w:lvl w:ilvl="8" w:tplc="E2C8C680" w:tentative="1">
      <w:start w:val="1"/>
      <w:numFmt w:val="decimal"/>
      <w:lvlText w:val="%9."/>
      <w:lvlJc w:val="left"/>
      <w:pPr>
        <w:tabs>
          <w:tab w:val="num" w:pos="6480"/>
        </w:tabs>
        <w:ind w:left="6480" w:hanging="360"/>
      </w:pPr>
    </w:lvl>
  </w:abstractNum>
  <w:abstractNum w:abstractNumId="3" w15:restartNumberingAfterBreak="0">
    <w:nsid w:val="04CA7962"/>
    <w:multiLevelType w:val="hybridMultilevel"/>
    <w:tmpl w:val="DDD02AF0"/>
    <w:lvl w:ilvl="0" w:tplc="B16E4C66">
      <w:start w:val="1"/>
      <w:numFmt w:val="bullet"/>
      <w:lvlText w:val=""/>
      <w:lvlJc w:val="left"/>
      <w:pPr>
        <w:ind w:left="720" w:hanging="360"/>
      </w:pPr>
      <w:rPr>
        <w:rFonts w:ascii="Symbol" w:hAnsi="Symbol" w:hint="default"/>
      </w:rPr>
    </w:lvl>
    <w:lvl w:ilvl="1" w:tplc="6F4AFD62">
      <w:start w:val="1"/>
      <w:numFmt w:val="bullet"/>
      <w:lvlText w:val="o"/>
      <w:lvlJc w:val="left"/>
      <w:pPr>
        <w:ind w:left="1440" w:hanging="360"/>
      </w:pPr>
      <w:rPr>
        <w:rFonts w:ascii="Courier New" w:hAnsi="Courier New" w:hint="default"/>
      </w:rPr>
    </w:lvl>
    <w:lvl w:ilvl="2" w:tplc="432C52A4">
      <w:start w:val="1"/>
      <w:numFmt w:val="bullet"/>
      <w:lvlText w:val=""/>
      <w:lvlJc w:val="left"/>
      <w:pPr>
        <w:ind w:left="2160" w:hanging="360"/>
      </w:pPr>
      <w:rPr>
        <w:rFonts w:ascii="Wingdings" w:hAnsi="Wingdings" w:hint="default"/>
      </w:rPr>
    </w:lvl>
    <w:lvl w:ilvl="3" w:tplc="B636BCD4">
      <w:start w:val="1"/>
      <w:numFmt w:val="bullet"/>
      <w:lvlText w:val=""/>
      <w:lvlJc w:val="left"/>
      <w:pPr>
        <w:ind w:left="2880" w:hanging="360"/>
      </w:pPr>
      <w:rPr>
        <w:rFonts w:ascii="Symbol" w:hAnsi="Symbol" w:hint="default"/>
      </w:rPr>
    </w:lvl>
    <w:lvl w:ilvl="4" w:tplc="94E6B14E">
      <w:start w:val="1"/>
      <w:numFmt w:val="bullet"/>
      <w:lvlText w:val="o"/>
      <w:lvlJc w:val="left"/>
      <w:pPr>
        <w:ind w:left="3600" w:hanging="360"/>
      </w:pPr>
      <w:rPr>
        <w:rFonts w:ascii="Courier New" w:hAnsi="Courier New" w:hint="default"/>
      </w:rPr>
    </w:lvl>
    <w:lvl w:ilvl="5" w:tplc="83BA02D0">
      <w:start w:val="1"/>
      <w:numFmt w:val="bullet"/>
      <w:lvlText w:val=""/>
      <w:lvlJc w:val="left"/>
      <w:pPr>
        <w:ind w:left="4320" w:hanging="360"/>
      </w:pPr>
      <w:rPr>
        <w:rFonts w:ascii="Wingdings" w:hAnsi="Wingdings" w:hint="default"/>
      </w:rPr>
    </w:lvl>
    <w:lvl w:ilvl="6" w:tplc="2E8C3C66">
      <w:start w:val="1"/>
      <w:numFmt w:val="bullet"/>
      <w:lvlText w:val=""/>
      <w:lvlJc w:val="left"/>
      <w:pPr>
        <w:ind w:left="5040" w:hanging="360"/>
      </w:pPr>
      <w:rPr>
        <w:rFonts w:ascii="Symbol" w:hAnsi="Symbol" w:hint="default"/>
      </w:rPr>
    </w:lvl>
    <w:lvl w:ilvl="7" w:tplc="64DE22B8">
      <w:start w:val="1"/>
      <w:numFmt w:val="bullet"/>
      <w:lvlText w:val="o"/>
      <w:lvlJc w:val="left"/>
      <w:pPr>
        <w:ind w:left="5760" w:hanging="360"/>
      </w:pPr>
      <w:rPr>
        <w:rFonts w:ascii="Courier New" w:hAnsi="Courier New" w:hint="default"/>
      </w:rPr>
    </w:lvl>
    <w:lvl w:ilvl="8" w:tplc="68D091AE">
      <w:start w:val="1"/>
      <w:numFmt w:val="bullet"/>
      <w:lvlText w:val=""/>
      <w:lvlJc w:val="left"/>
      <w:pPr>
        <w:ind w:left="6480" w:hanging="360"/>
      </w:pPr>
      <w:rPr>
        <w:rFonts w:ascii="Wingdings" w:hAnsi="Wingdings" w:hint="default"/>
      </w:rPr>
    </w:lvl>
  </w:abstractNum>
  <w:abstractNum w:abstractNumId="4" w15:restartNumberingAfterBreak="0">
    <w:nsid w:val="05912EAE"/>
    <w:multiLevelType w:val="hybridMultilevel"/>
    <w:tmpl w:val="FFFFFFFF"/>
    <w:lvl w:ilvl="0" w:tplc="08E465F2">
      <w:start w:val="1"/>
      <w:numFmt w:val="bullet"/>
      <w:lvlText w:val=""/>
      <w:lvlJc w:val="left"/>
      <w:pPr>
        <w:ind w:left="720" w:hanging="360"/>
      </w:pPr>
      <w:rPr>
        <w:rFonts w:ascii="Symbol" w:hAnsi="Symbol" w:hint="default"/>
      </w:rPr>
    </w:lvl>
    <w:lvl w:ilvl="1" w:tplc="5AFC0B84">
      <w:start w:val="1"/>
      <w:numFmt w:val="bullet"/>
      <w:lvlText w:val="o"/>
      <w:lvlJc w:val="left"/>
      <w:pPr>
        <w:ind w:left="1440" w:hanging="360"/>
      </w:pPr>
      <w:rPr>
        <w:rFonts w:ascii="Courier New" w:hAnsi="Courier New" w:hint="default"/>
      </w:rPr>
    </w:lvl>
    <w:lvl w:ilvl="2" w:tplc="12BAD926">
      <w:start w:val="1"/>
      <w:numFmt w:val="bullet"/>
      <w:lvlText w:val=""/>
      <w:lvlJc w:val="left"/>
      <w:pPr>
        <w:ind w:left="2160" w:hanging="360"/>
      </w:pPr>
      <w:rPr>
        <w:rFonts w:ascii="Wingdings" w:hAnsi="Wingdings" w:hint="default"/>
      </w:rPr>
    </w:lvl>
    <w:lvl w:ilvl="3" w:tplc="110406F8">
      <w:start w:val="1"/>
      <w:numFmt w:val="bullet"/>
      <w:lvlText w:val=""/>
      <w:lvlJc w:val="left"/>
      <w:pPr>
        <w:ind w:left="2880" w:hanging="360"/>
      </w:pPr>
      <w:rPr>
        <w:rFonts w:ascii="Symbol" w:hAnsi="Symbol" w:hint="default"/>
      </w:rPr>
    </w:lvl>
    <w:lvl w:ilvl="4" w:tplc="A16C1664">
      <w:start w:val="1"/>
      <w:numFmt w:val="bullet"/>
      <w:lvlText w:val="o"/>
      <w:lvlJc w:val="left"/>
      <w:pPr>
        <w:ind w:left="3600" w:hanging="360"/>
      </w:pPr>
      <w:rPr>
        <w:rFonts w:ascii="Courier New" w:hAnsi="Courier New" w:hint="default"/>
      </w:rPr>
    </w:lvl>
    <w:lvl w:ilvl="5" w:tplc="61B4C85C">
      <w:start w:val="1"/>
      <w:numFmt w:val="bullet"/>
      <w:lvlText w:val=""/>
      <w:lvlJc w:val="left"/>
      <w:pPr>
        <w:ind w:left="4320" w:hanging="360"/>
      </w:pPr>
      <w:rPr>
        <w:rFonts w:ascii="Wingdings" w:hAnsi="Wingdings" w:hint="default"/>
      </w:rPr>
    </w:lvl>
    <w:lvl w:ilvl="6" w:tplc="0CB2470C">
      <w:start w:val="1"/>
      <w:numFmt w:val="bullet"/>
      <w:lvlText w:val=""/>
      <w:lvlJc w:val="left"/>
      <w:pPr>
        <w:ind w:left="5040" w:hanging="360"/>
      </w:pPr>
      <w:rPr>
        <w:rFonts w:ascii="Symbol" w:hAnsi="Symbol" w:hint="default"/>
      </w:rPr>
    </w:lvl>
    <w:lvl w:ilvl="7" w:tplc="269EDBDA">
      <w:start w:val="1"/>
      <w:numFmt w:val="bullet"/>
      <w:lvlText w:val="o"/>
      <w:lvlJc w:val="left"/>
      <w:pPr>
        <w:ind w:left="5760" w:hanging="360"/>
      </w:pPr>
      <w:rPr>
        <w:rFonts w:ascii="Courier New" w:hAnsi="Courier New" w:hint="default"/>
      </w:rPr>
    </w:lvl>
    <w:lvl w:ilvl="8" w:tplc="F4BEB3FE">
      <w:start w:val="1"/>
      <w:numFmt w:val="bullet"/>
      <w:lvlText w:val=""/>
      <w:lvlJc w:val="left"/>
      <w:pPr>
        <w:ind w:left="6480" w:hanging="360"/>
      </w:pPr>
      <w:rPr>
        <w:rFonts w:ascii="Wingdings" w:hAnsi="Wingdings" w:hint="default"/>
      </w:rPr>
    </w:lvl>
  </w:abstractNum>
  <w:abstractNum w:abstractNumId="5" w15:restartNumberingAfterBreak="0">
    <w:nsid w:val="1009612C"/>
    <w:multiLevelType w:val="hybridMultilevel"/>
    <w:tmpl w:val="24A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1741"/>
    <w:multiLevelType w:val="hybridMultilevel"/>
    <w:tmpl w:val="73C2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B4019"/>
    <w:multiLevelType w:val="hybridMultilevel"/>
    <w:tmpl w:val="FFFFFFFF"/>
    <w:lvl w:ilvl="0" w:tplc="A8E6F978">
      <w:start w:val="1"/>
      <w:numFmt w:val="decimal"/>
      <w:lvlText w:val="%1."/>
      <w:lvlJc w:val="left"/>
      <w:pPr>
        <w:tabs>
          <w:tab w:val="num" w:pos="720"/>
        </w:tabs>
        <w:ind w:left="720" w:hanging="720"/>
      </w:pPr>
    </w:lvl>
    <w:lvl w:ilvl="1" w:tplc="07687754">
      <w:start w:val="1"/>
      <w:numFmt w:val="decimal"/>
      <w:lvlText w:val="%2."/>
      <w:lvlJc w:val="left"/>
      <w:pPr>
        <w:tabs>
          <w:tab w:val="num" w:pos="1440"/>
        </w:tabs>
        <w:ind w:left="1440" w:hanging="720"/>
      </w:pPr>
    </w:lvl>
    <w:lvl w:ilvl="2" w:tplc="30D4AE68">
      <w:start w:val="1"/>
      <w:numFmt w:val="decimal"/>
      <w:lvlText w:val="%3."/>
      <w:lvlJc w:val="left"/>
      <w:pPr>
        <w:tabs>
          <w:tab w:val="num" w:pos="2160"/>
        </w:tabs>
        <w:ind w:left="2160" w:hanging="720"/>
      </w:pPr>
    </w:lvl>
    <w:lvl w:ilvl="3" w:tplc="695A3A92">
      <w:start w:val="1"/>
      <w:numFmt w:val="decimal"/>
      <w:lvlText w:val="%4."/>
      <w:lvlJc w:val="left"/>
      <w:pPr>
        <w:tabs>
          <w:tab w:val="num" w:pos="2880"/>
        </w:tabs>
        <w:ind w:left="2880" w:hanging="720"/>
      </w:pPr>
    </w:lvl>
    <w:lvl w:ilvl="4" w:tplc="70C82AE4">
      <w:start w:val="1"/>
      <w:numFmt w:val="decimal"/>
      <w:lvlText w:val="%5."/>
      <w:lvlJc w:val="left"/>
      <w:pPr>
        <w:tabs>
          <w:tab w:val="num" w:pos="3600"/>
        </w:tabs>
        <w:ind w:left="3600" w:hanging="720"/>
      </w:pPr>
    </w:lvl>
    <w:lvl w:ilvl="5" w:tplc="E7D21EC6">
      <w:start w:val="1"/>
      <w:numFmt w:val="decimal"/>
      <w:lvlText w:val="%6."/>
      <w:lvlJc w:val="left"/>
      <w:pPr>
        <w:tabs>
          <w:tab w:val="num" w:pos="4320"/>
        </w:tabs>
        <w:ind w:left="4320" w:hanging="720"/>
      </w:pPr>
    </w:lvl>
    <w:lvl w:ilvl="6" w:tplc="0DE43696">
      <w:start w:val="1"/>
      <w:numFmt w:val="decimal"/>
      <w:lvlText w:val="%7."/>
      <w:lvlJc w:val="left"/>
      <w:pPr>
        <w:tabs>
          <w:tab w:val="num" w:pos="5040"/>
        </w:tabs>
        <w:ind w:left="5040" w:hanging="720"/>
      </w:pPr>
    </w:lvl>
    <w:lvl w:ilvl="7" w:tplc="912E3DE2">
      <w:start w:val="1"/>
      <w:numFmt w:val="decimal"/>
      <w:lvlText w:val="%8."/>
      <w:lvlJc w:val="left"/>
      <w:pPr>
        <w:tabs>
          <w:tab w:val="num" w:pos="5760"/>
        </w:tabs>
        <w:ind w:left="5760" w:hanging="720"/>
      </w:pPr>
    </w:lvl>
    <w:lvl w:ilvl="8" w:tplc="7A78EE82">
      <w:start w:val="1"/>
      <w:numFmt w:val="decimal"/>
      <w:lvlText w:val="%9."/>
      <w:lvlJc w:val="left"/>
      <w:pPr>
        <w:tabs>
          <w:tab w:val="num" w:pos="6480"/>
        </w:tabs>
        <w:ind w:left="6480" w:hanging="720"/>
      </w:pPr>
    </w:lvl>
  </w:abstractNum>
  <w:abstractNum w:abstractNumId="8" w15:restartNumberingAfterBreak="0">
    <w:nsid w:val="147C12AE"/>
    <w:multiLevelType w:val="hybridMultilevel"/>
    <w:tmpl w:val="FFFFFFFF"/>
    <w:lvl w:ilvl="0" w:tplc="9A6452BE">
      <w:start w:val="1"/>
      <w:numFmt w:val="bullet"/>
      <w:lvlText w:val=""/>
      <w:lvlJc w:val="left"/>
      <w:pPr>
        <w:ind w:left="720" w:hanging="360"/>
      </w:pPr>
      <w:rPr>
        <w:rFonts w:ascii="Symbol" w:hAnsi="Symbol" w:hint="default"/>
      </w:rPr>
    </w:lvl>
    <w:lvl w:ilvl="1" w:tplc="92FC4362">
      <w:start w:val="1"/>
      <w:numFmt w:val="bullet"/>
      <w:lvlText w:val="o"/>
      <w:lvlJc w:val="left"/>
      <w:pPr>
        <w:ind w:left="1440" w:hanging="360"/>
      </w:pPr>
      <w:rPr>
        <w:rFonts w:ascii="Courier New" w:hAnsi="Courier New" w:hint="default"/>
      </w:rPr>
    </w:lvl>
    <w:lvl w:ilvl="2" w:tplc="9D5423D2">
      <w:start w:val="1"/>
      <w:numFmt w:val="bullet"/>
      <w:lvlText w:val=""/>
      <w:lvlJc w:val="left"/>
      <w:pPr>
        <w:ind w:left="2160" w:hanging="360"/>
      </w:pPr>
      <w:rPr>
        <w:rFonts w:ascii="Wingdings" w:hAnsi="Wingdings" w:hint="default"/>
      </w:rPr>
    </w:lvl>
    <w:lvl w:ilvl="3" w:tplc="94D6720E">
      <w:start w:val="1"/>
      <w:numFmt w:val="bullet"/>
      <w:lvlText w:val=""/>
      <w:lvlJc w:val="left"/>
      <w:pPr>
        <w:ind w:left="2880" w:hanging="360"/>
      </w:pPr>
      <w:rPr>
        <w:rFonts w:ascii="Symbol" w:hAnsi="Symbol" w:hint="default"/>
      </w:rPr>
    </w:lvl>
    <w:lvl w:ilvl="4" w:tplc="038687AA">
      <w:start w:val="1"/>
      <w:numFmt w:val="bullet"/>
      <w:lvlText w:val="o"/>
      <w:lvlJc w:val="left"/>
      <w:pPr>
        <w:ind w:left="3600" w:hanging="360"/>
      </w:pPr>
      <w:rPr>
        <w:rFonts w:ascii="Courier New" w:hAnsi="Courier New" w:hint="default"/>
      </w:rPr>
    </w:lvl>
    <w:lvl w:ilvl="5" w:tplc="1DD6F9E2">
      <w:start w:val="1"/>
      <w:numFmt w:val="bullet"/>
      <w:lvlText w:val=""/>
      <w:lvlJc w:val="left"/>
      <w:pPr>
        <w:ind w:left="4320" w:hanging="360"/>
      </w:pPr>
      <w:rPr>
        <w:rFonts w:ascii="Wingdings" w:hAnsi="Wingdings" w:hint="default"/>
      </w:rPr>
    </w:lvl>
    <w:lvl w:ilvl="6" w:tplc="EA9C16D4">
      <w:start w:val="1"/>
      <w:numFmt w:val="bullet"/>
      <w:lvlText w:val=""/>
      <w:lvlJc w:val="left"/>
      <w:pPr>
        <w:ind w:left="5040" w:hanging="360"/>
      </w:pPr>
      <w:rPr>
        <w:rFonts w:ascii="Symbol" w:hAnsi="Symbol" w:hint="default"/>
      </w:rPr>
    </w:lvl>
    <w:lvl w:ilvl="7" w:tplc="4B0A0E80">
      <w:start w:val="1"/>
      <w:numFmt w:val="bullet"/>
      <w:lvlText w:val="o"/>
      <w:lvlJc w:val="left"/>
      <w:pPr>
        <w:ind w:left="5760" w:hanging="360"/>
      </w:pPr>
      <w:rPr>
        <w:rFonts w:ascii="Courier New" w:hAnsi="Courier New" w:hint="default"/>
      </w:rPr>
    </w:lvl>
    <w:lvl w:ilvl="8" w:tplc="8D7EC26E">
      <w:start w:val="1"/>
      <w:numFmt w:val="bullet"/>
      <w:lvlText w:val=""/>
      <w:lvlJc w:val="left"/>
      <w:pPr>
        <w:ind w:left="6480" w:hanging="360"/>
      </w:pPr>
      <w:rPr>
        <w:rFonts w:ascii="Wingdings" w:hAnsi="Wingdings" w:hint="default"/>
      </w:rPr>
    </w:lvl>
  </w:abstractNum>
  <w:abstractNum w:abstractNumId="9"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204A9"/>
    <w:multiLevelType w:val="hybridMultilevel"/>
    <w:tmpl w:val="FFFFFFFF"/>
    <w:lvl w:ilvl="0" w:tplc="10D89774">
      <w:start w:val="1"/>
      <w:numFmt w:val="bullet"/>
      <w:lvlText w:val=""/>
      <w:lvlJc w:val="left"/>
      <w:pPr>
        <w:ind w:left="720" w:hanging="360"/>
      </w:pPr>
      <w:rPr>
        <w:rFonts w:ascii="Symbol" w:hAnsi="Symbol" w:hint="default"/>
      </w:rPr>
    </w:lvl>
    <w:lvl w:ilvl="1" w:tplc="B3D0AC00">
      <w:start w:val="1"/>
      <w:numFmt w:val="bullet"/>
      <w:lvlText w:val="o"/>
      <w:lvlJc w:val="left"/>
      <w:pPr>
        <w:ind w:left="1440" w:hanging="360"/>
      </w:pPr>
      <w:rPr>
        <w:rFonts w:ascii="Courier New" w:hAnsi="Courier New" w:hint="default"/>
      </w:rPr>
    </w:lvl>
    <w:lvl w:ilvl="2" w:tplc="FE907CE6">
      <w:start w:val="1"/>
      <w:numFmt w:val="bullet"/>
      <w:lvlText w:val=""/>
      <w:lvlJc w:val="left"/>
      <w:pPr>
        <w:ind w:left="2160" w:hanging="360"/>
      </w:pPr>
      <w:rPr>
        <w:rFonts w:ascii="Wingdings" w:hAnsi="Wingdings" w:hint="default"/>
      </w:rPr>
    </w:lvl>
    <w:lvl w:ilvl="3" w:tplc="FB56C250">
      <w:start w:val="1"/>
      <w:numFmt w:val="bullet"/>
      <w:lvlText w:val=""/>
      <w:lvlJc w:val="left"/>
      <w:pPr>
        <w:ind w:left="2880" w:hanging="360"/>
      </w:pPr>
      <w:rPr>
        <w:rFonts w:ascii="Symbol" w:hAnsi="Symbol" w:hint="default"/>
      </w:rPr>
    </w:lvl>
    <w:lvl w:ilvl="4" w:tplc="F43A1D00">
      <w:start w:val="1"/>
      <w:numFmt w:val="bullet"/>
      <w:lvlText w:val="o"/>
      <w:lvlJc w:val="left"/>
      <w:pPr>
        <w:ind w:left="3600" w:hanging="360"/>
      </w:pPr>
      <w:rPr>
        <w:rFonts w:ascii="Courier New" w:hAnsi="Courier New" w:hint="default"/>
      </w:rPr>
    </w:lvl>
    <w:lvl w:ilvl="5" w:tplc="F32EDF7C">
      <w:start w:val="1"/>
      <w:numFmt w:val="bullet"/>
      <w:lvlText w:val=""/>
      <w:lvlJc w:val="left"/>
      <w:pPr>
        <w:ind w:left="4320" w:hanging="360"/>
      </w:pPr>
      <w:rPr>
        <w:rFonts w:ascii="Wingdings" w:hAnsi="Wingdings" w:hint="default"/>
      </w:rPr>
    </w:lvl>
    <w:lvl w:ilvl="6" w:tplc="584E3FDA">
      <w:start w:val="1"/>
      <w:numFmt w:val="bullet"/>
      <w:lvlText w:val=""/>
      <w:lvlJc w:val="left"/>
      <w:pPr>
        <w:ind w:left="5040" w:hanging="360"/>
      </w:pPr>
      <w:rPr>
        <w:rFonts w:ascii="Symbol" w:hAnsi="Symbol" w:hint="default"/>
      </w:rPr>
    </w:lvl>
    <w:lvl w:ilvl="7" w:tplc="0AEC3CA0">
      <w:start w:val="1"/>
      <w:numFmt w:val="bullet"/>
      <w:lvlText w:val="o"/>
      <w:lvlJc w:val="left"/>
      <w:pPr>
        <w:ind w:left="5760" w:hanging="360"/>
      </w:pPr>
      <w:rPr>
        <w:rFonts w:ascii="Courier New" w:hAnsi="Courier New" w:hint="default"/>
      </w:rPr>
    </w:lvl>
    <w:lvl w:ilvl="8" w:tplc="294A7B90">
      <w:start w:val="1"/>
      <w:numFmt w:val="bullet"/>
      <w:lvlText w:val=""/>
      <w:lvlJc w:val="left"/>
      <w:pPr>
        <w:ind w:left="6480" w:hanging="360"/>
      </w:pPr>
      <w:rPr>
        <w:rFonts w:ascii="Wingdings" w:hAnsi="Wingdings" w:hint="default"/>
      </w:rPr>
    </w:lvl>
  </w:abstractNum>
  <w:abstractNum w:abstractNumId="11" w15:restartNumberingAfterBreak="0">
    <w:nsid w:val="17A537A7"/>
    <w:multiLevelType w:val="hybridMultilevel"/>
    <w:tmpl w:val="8CD8B8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9631C30"/>
    <w:multiLevelType w:val="hybridMultilevel"/>
    <w:tmpl w:val="BE625500"/>
    <w:lvl w:ilvl="0" w:tplc="D78CA2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A2CE7"/>
    <w:multiLevelType w:val="multilevel"/>
    <w:tmpl w:val="0D189828"/>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1E5A18C6"/>
    <w:multiLevelType w:val="hybridMultilevel"/>
    <w:tmpl w:val="21309712"/>
    <w:lvl w:ilvl="0" w:tplc="26B42F12">
      <w:start w:val="1"/>
      <w:numFmt w:val="bullet"/>
      <w:lvlText w:val=""/>
      <w:lvlJc w:val="left"/>
      <w:pPr>
        <w:tabs>
          <w:tab w:val="num" w:pos="720"/>
        </w:tabs>
        <w:ind w:left="720" w:hanging="360"/>
      </w:pPr>
      <w:rPr>
        <w:rFonts w:ascii="Symbol" w:hAnsi="Symbol" w:hint="default"/>
        <w:sz w:val="20"/>
      </w:rPr>
    </w:lvl>
    <w:lvl w:ilvl="1" w:tplc="0F3CF40C" w:tentative="1">
      <w:start w:val="1"/>
      <w:numFmt w:val="bullet"/>
      <w:lvlText w:val=""/>
      <w:lvlJc w:val="left"/>
      <w:pPr>
        <w:tabs>
          <w:tab w:val="num" w:pos="1440"/>
        </w:tabs>
        <w:ind w:left="1440" w:hanging="360"/>
      </w:pPr>
      <w:rPr>
        <w:rFonts w:ascii="Symbol" w:hAnsi="Symbol" w:hint="default"/>
        <w:sz w:val="20"/>
      </w:rPr>
    </w:lvl>
    <w:lvl w:ilvl="2" w:tplc="29585B8C" w:tentative="1">
      <w:start w:val="1"/>
      <w:numFmt w:val="bullet"/>
      <w:lvlText w:val=""/>
      <w:lvlJc w:val="left"/>
      <w:pPr>
        <w:tabs>
          <w:tab w:val="num" w:pos="2160"/>
        </w:tabs>
        <w:ind w:left="2160" w:hanging="360"/>
      </w:pPr>
      <w:rPr>
        <w:rFonts w:ascii="Symbol" w:hAnsi="Symbol" w:hint="default"/>
        <w:sz w:val="20"/>
      </w:rPr>
    </w:lvl>
    <w:lvl w:ilvl="3" w:tplc="8E0610D8" w:tentative="1">
      <w:start w:val="1"/>
      <w:numFmt w:val="bullet"/>
      <w:lvlText w:val=""/>
      <w:lvlJc w:val="left"/>
      <w:pPr>
        <w:tabs>
          <w:tab w:val="num" w:pos="2880"/>
        </w:tabs>
        <w:ind w:left="2880" w:hanging="360"/>
      </w:pPr>
      <w:rPr>
        <w:rFonts w:ascii="Symbol" w:hAnsi="Symbol" w:hint="default"/>
        <w:sz w:val="20"/>
      </w:rPr>
    </w:lvl>
    <w:lvl w:ilvl="4" w:tplc="88464A82" w:tentative="1">
      <w:start w:val="1"/>
      <w:numFmt w:val="bullet"/>
      <w:lvlText w:val=""/>
      <w:lvlJc w:val="left"/>
      <w:pPr>
        <w:tabs>
          <w:tab w:val="num" w:pos="3600"/>
        </w:tabs>
        <w:ind w:left="3600" w:hanging="360"/>
      </w:pPr>
      <w:rPr>
        <w:rFonts w:ascii="Symbol" w:hAnsi="Symbol" w:hint="default"/>
        <w:sz w:val="20"/>
      </w:rPr>
    </w:lvl>
    <w:lvl w:ilvl="5" w:tplc="C3D8C0D8" w:tentative="1">
      <w:start w:val="1"/>
      <w:numFmt w:val="bullet"/>
      <w:lvlText w:val=""/>
      <w:lvlJc w:val="left"/>
      <w:pPr>
        <w:tabs>
          <w:tab w:val="num" w:pos="4320"/>
        </w:tabs>
        <w:ind w:left="4320" w:hanging="360"/>
      </w:pPr>
      <w:rPr>
        <w:rFonts w:ascii="Symbol" w:hAnsi="Symbol" w:hint="default"/>
        <w:sz w:val="20"/>
      </w:rPr>
    </w:lvl>
    <w:lvl w:ilvl="6" w:tplc="98BC146A" w:tentative="1">
      <w:start w:val="1"/>
      <w:numFmt w:val="bullet"/>
      <w:lvlText w:val=""/>
      <w:lvlJc w:val="left"/>
      <w:pPr>
        <w:tabs>
          <w:tab w:val="num" w:pos="5040"/>
        </w:tabs>
        <w:ind w:left="5040" w:hanging="360"/>
      </w:pPr>
      <w:rPr>
        <w:rFonts w:ascii="Symbol" w:hAnsi="Symbol" w:hint="default"/>
        <w:sz w:val="20"/>
      </w:rPr>
    </w:lvl>
    <w:lvl w:ilvl="7" w:tplc="A440A6E2" w:tentative="1">
      <w:start w:val="1"/>
      <w:numFmt w:val="bullet"/>
      <w:lvlText w:val=""/>
      <w:lvlJc w:val="left"/>
      <w:pPr>
        <w:tabs>
          <w:tab w:val="num" w:pos="5760"/>
        </w:tabs>
        <w:ind w:left="5760" w:hanging="360"/>
      </w:pPr>
      <w:rPr>
        <w:rFonts w:ascii="Symbol" w:hAnsi="Symbol" w:hint="default"/>
        <w:sz w:val="20"/>
      </w:rPr>
    </w:lvl>
    <w:lvl w:ilvl="8" w:tplc="9F504CD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55AA0"/>
    <w:multiLevelType w:val="hybridMultilevel"/>
    <w:tmpl w:val="004E3148"/>
    <w:lvl w:ilvl="0" w:tplc="E9A853CA">
      <w:start w:val="1"/>
      <w:numFmt w:val="bullet"/>
      <w:lvlText w:val=""/>
      <w:lvlJc w:val="left"/>
      <w:pPr>
        <w:tabs>
          <w:tab w:val="num" w:pos="720"/>
        </w:tabs>
        <w:ind w:left="720" w:hanging="360"/>
      </w:pPr>
      <w:rPr>
        <w:rFonts w:ascii="Symbol" w:hAnsi="Symbol" w:hint="default"/>
        <w:sz w:val="20"/>
      </w:rPr>
    </w:lvl>
    <w:lvl w:ilvl="1" w:tplc="F1D62E26" w:tentative="1">
      <w:start w:val="1"/>
      <w:numFmt w:val="bullet"/>
      <w:lvlText w:val=""/>
      <w:lvlJc w:val="left"/>
      <w:pPr>
        <w:tabs>
          <w:tab w:val="num" w:pos="1440"/>
        </w:tabs>
        <w:ind w:left="1440" w:hanging="360"/>
      </w:pPr>
      <w:rPr>
        <w:rFonts w:ascii="Symbol" w:hAnsi="Symbol" w:hint="default"/>
        <w:sz w:val="20"/>
      </w:rPr>
    </w:lvl>
    <w:lvl w:ilvl="2" w:tplc="D142657E" w:tentative="1">
      <w:start w:val="1"/>
      <w:numFmt w:val="bullet"/>
      <w:lvlText w:val=""/>
      <w:lvlJc w:val="left"/>
      <w:pPr>
        <w:tabs>
          <w:tab w:val="num" w:pos="2160"/>
        </w:tabs>
        <w:ind w:left="2160" w:hanging="360"/>
      </w:pPr>
      <w:rPr>
        <w:rFonts w:ascii="Symbol" w:hAnsi="Symbol" w:hint="default"/>
        <w:sz w:val="20"/>
      </w:rPr>
    </w:lvl>
    <w:lvl w:ilvl="3" w:tplc="17428DB6" w:tentative="1">
      <w:start w:val="1"/>
      <w:numFmt w:val="bullet"/>
      <w:lvlText w:val=""/>
      <w:lvlJc w:val="left"/>
      <w:pPr>
        <w:tabs>
          <w:tab w:val="num" w:pos="2880"/>
        </w:tabs>
        <w:ind w:left="2880" w:hanging="360"/>
      </w:pPr>
      <w:rPr>
        <w:rFonts w:ascii="Symbol" w:hAnsi="Symbol" w:hint="default"/>
        <w:sz w:val="20"/>
      </w:rPr>
    </w:lvl>
    <w:lvl w:ilvl="4" w:tplc="2070EC78" w:tentative="1">
      <w:start w:val="1"/>
      <w:numFmt w:val="bullet"/>
      <w:lvlText w:val=""/>
      <w:lvlJc w:val="left"/>
      <w:pPr>
        <w:tabs>
          <w:tab w:val="num" w:pos="3600"/>
        </w:tabs>
        <w:ind w:left="3600" w:hanging="360"/>
      </w:pPr>
      <w:rPr>
        <w:rFonts w:ascii="Symbol" w:hAnsi="Symbol" w:hint="default"/>
        <w:sz w:val="20"/>
      </w:rPr>
    </w:lvl>
    <w:lvl w:ilvl="5" w:tplc="51DCBAB6" w:tentative="1">
      <w:start w:val="1"/>
      <w:numFmt w:val="bullet"/>
      <w:lvlText w:val=""/>
      <w:lvlJc w:val="left"/>
      <w:pPr>
        <w:tabs>
          <w:tab w:val="num" w:pos="4320"/>
        </w:tabs>
        <w:ind w:left="4320" w:hanging="360"/>
      </w:pPr>
      <w:rPr>
        <w:rFonts w:ascii="Symbol" w:hAnsi="Symbol" w:hint="default"/>
        <w:sz w:val="20"/>
      </w:rPr>
    </w:lvl>
    <w:lvl w:ilvl="6" w:tplc="8DE401C8" w:tentative="1">
      <w:start w:val="1"/>
      <w:numFmt w:val="bullet"/>
      <w:lvlText w:val=""/>
      <w:lvlJc w:val="left"/>
      <w:pPr>
        <w:tabs>
          <w:tab w:val="num" w:pos="5040"/>
        </w:tabs>
        <w:ind w:left="5040" w:hanging="360"/>
      </w:pPr>
      <w:rPr>
        <w:rFonts w:ascii="Symbol" w:hAnsi="Symbol" w:hint="default"/>
        <w:sz w:val="20"/>
      </w:rPr>
    </w:lvl>
    <w:lvl w:ilvl="7" w:tplc="D3922510" w:tentative="1">
      <w:start w:val="1"/>
      <w:numFmt w:val="bullet"/>
      <w:lvlText w:val=""/>
      <w:lvlJc w:val="left"/>
      <w:pPr>
        <w:tabs>
          <w:tab w:val="num" w:pos="5760"/>
        </w:tabs>
        <w:ind w:left="5760" w:hanging="360"/>
      </w:pPr>
      <w:rPr>
        <w:rFonts w:ascii="Symbol" w:hAnsi="Symbol" w:hint="default"/>
        <w:sz w:val="20"/>
      </w:rPr>
    </w:lvl>
    <w:lvl w:ilvl="8" w:tplc="38EAF7C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957AEE"/>
    <w:multiLevelType w:val="hybridMultilevel"/>
    <w:tmpl w:val="AD2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3420A"/>
    <w:multiLevelType w:val="hybridMultilevel"/>
    <w:tmpl w:val="884AE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4784B"/>
    <w:multiLevelType w:val="hybridMultilevel"/>
    <w:tmpl w:val="4BFA159E"/>
    <w:lvl w:ilvl="0" w:tplc="573401FA">
      <w:start w:val="13"/>
      <w:numFmt w:val="decimal"/>
      <w:lvlText w:val="%1."/>
      <w:lvlJc w:val="left"/>
      <w:pPr>
        <w:tabs>
          <w:tab w:val="num" w:pos="720"/>
        </w:tabs>
        <w:ind w:left="720" w:hanging="360"/>
      </w:pPr>
    </w:lvl>
    <w:lvl w:ilvl="1" w:tplc="284C414A" w:tentative="1">
      <w:start w:val="1"/>
      <w:numFmt w:val="decimal"/>
      <w:lvlText w:val="%2."/>
      <w:lvlJc w:val="left"/>
      <w:pPr>
        <w:tabs>
          <w:tab w:val="num" w:pos="1440"/>
        </w:tabs>
        <w:ind w:left="1440" w:hanging="360"/>
      </w:pPr>
    </w:lvl>
    <w:lvl w:ilvl="2" w:tplc="355ECF84" w:tentative="1">
      <w:start w:val="1"/>
      <w:numFmt w:val="decimal"/>
      <w:lvlText w:val="%3."/>
      <w:lvlJc w:val="left"/>
      <w:pPr>
        <w:tabs>
          <w:tab w:val="num" w:pos="2160"/>
        </w:tabs>
        <w:ind w:left="2160" w:hanging="360"/>
      </w:pPr>
    </w:lvl>
    <w:lvl w:ilvl="3" w:tplc="BB96DC54" w:tentative="1">
      <w:start w:val="1"/>
      <w:numFmt w:val="decimal"/>
      <w:lvlText w:val="%4."/>
      <w:lvlJc w:val="left"/>
      <w:pPr>
        <w:tabs>
          <w:tab w:val="num" w:pos="2880"/>
        </w:tabs>
        <w:ind w:left="2880" w:hanging="360"/>
      </w:pPr>
    </w:lvl>
    <w:lvl w:ilvl="4" w:tplc="0248029C" w:tentative="1">
      <w:start w:val="1"/>
      <w:numFmt w:val="decimal"/>
      <w:lvlText w:val="%5."/>
      <w:lvlJc w:val="left"/>
      <w:pPr>
        <w:tabs>
          <w:tab w:val="num" w:pos="3600"/>
        </w:tabs>
        <w:ind w:left="3600" w:hanging="360"/>
      </w:pPr>
    </w:lvl>
    <w:lvl w:ilvl="5" w:tplc="7CF06D34" w:tentative="1">
      <w:start w:val="1"/>
      <w:numFmt w:val="decimal"/>
      <w:lvlText w:val="%6."/>
      <w:lvlJc w:val="left"/>
      <w:pPr>
        <w:tabs>
          <w:tab w:val="num" w:pos="4320"/>
        </w:tabs>
        <w:ind w:left="4320" w:hanging="360"/>
      </w:pPr>
    </w:lvl>
    <w:lvl w:ilvl="6" w:tplc="C53621CE" w:tentative="1">
      <w:start w:val="1"/>
      <w:numFmt w:val="decimal"/>
      <w:lvlText w:val="%7."/>
      <w:lvlJc w:val="left"/>
      <w:pPr>
        <w:tabs>
          <w:tab w:val="num" w:pos="5040"/>
        </w:tabs>
        <w:ind w:left="5040" w:hanging="360"/>
      </w:pPr>
    </w:lvl>
    <w:lvl w:ilvl="7" w:tplc="439E73EA" w:tentative="1">
      <w:start w:val="1"/>
      <w:numFmt w:val="decimal"/>
      <w:lvlText w:val="%8."/>
      <w:lvlJc w:val="left"/>
      <w:pPr>
        <w:tabs>
          <w:tab w:val="num" w:pos="5760"/>
        </w:tabs>
        <w:ind w:left="5760" w:hanging="360"/>
      </w:pPr>
    </w:lvl>
    <w:lvl w:ilvl="8" w:tplc="6B787446" w:tentative="1">
      <w:start w:val="1"/>
      <w:numFmt w:val="decimal"/>
      <w:lvlText w:val="%9."/>
      <w:lvlJc w:val="left"/>
      <w:pPr>
        <w:tabs>
          <w:tab w:val="num" w:pos="6480"/>
        </w:tabs>
        <w:ind w:left="6480" w:hanging="360"/>
      </w:pPr>
    </w:lvl>
  </w:abstractNum>
  <w:abstractNum w:abstractNumId="22" w15:restartNumberingAfterBreak="0">
    <w:nsid w:val="41982DAF"/>
    <w:multiLevelType w:val="hybridMultilevel"/>
    <w:tmpl w:val="C1B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6645F"/>
    <w:multiLevelType w:val="hybridMultilevel"/>
    <w:tmpl w:val="B03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A5763"/>
    <w:multiLevelType w:val="hybridMultilevel"/>
    <w:tmpl w:val="949837C4"/>
    <w:lvl w:ilvl="0" w:tplc="4F3C21EA">
      <w:start w:val="1"/>
      <w:numFmt w:val="bullet"/>
      <w:lvlText w:val=""/>
      <w:lvlJc w:val="left"/>
      <w:pPr>
        <w:tabs>
          <w:tab w:val="num" w:pos="720"/>
        </w:tabs>
        <w:ind w:left="720" w:hanging="360"/>
      </w:pPr>
      <w:rPr>
        <w:rFonts w:ascii="Symbol" w:hAnsi="Symbol" w:hint="default"/>
        <w:sz w:val="20"/>
      </w:rPr>
    </w:lvl>
    <w:lvl w:ilvl="1" w:tplc="7DA6E132" w:tentative="1">
      <w:start w:val="1"/>
      <w:numFmt w:val="bullet"/>
      <w:lvlText w:val=""/>
      <w:lvlJc w:val="left"/>
      <w:pPr>
        <w:tabs>
          <w:tab w:val="num" w:pos="1440"/>
        </w:tabs>
        <w:ind w:left="1440" w:hanging="360"/>
      </w:pPr>
      <w:rPr>
        <w:rFonts w:ascii="Symbol" w:hAnsi="Symbol" w:hint="default"/>
        <w:sz w:val="20"/>
      </w:rPr>
    </w:lvl>
    <w:lvl w:ilvl="2" w:tplc="F440D1D8" w:tentative="1">
      <w:start w:val="1"/>
      <w:numFmt w:val="bullet"/>
      <w:lvlText w:val=""/>
      <w:lvlJc w:val="left"/>
      <w:pPr>
        <w:tabs>
          <w:tab w:val="num" w:pos="2160"/>
        </w:tabs>
        <w:ind w:left="2160" w:hanging="360"/>
      </w:pPr>
      <w:rPr>
        <w:rFonts w:ascii="Symbol" w:hAnsi="Symbol" w:hint="default"/>
        <w:sz w:val="20"/>
      </w:rPr>
    </w:lvl>
    <w:lvl w:ilvl="3" w:tplc="ED581268" w:tentative="1">
      <w:start w:val="1"/>
      <w:numFmt w:val="bullet"/>
      <w:lvlText w:val=""/>
      <w:lvlJc w:val="left"/>
      <w:pPr>
        <w:tabs>
          <w:tab w:val="num" w:pos="2880"/>
        </w:tabs>
        <w:ind w:left="2880" w:hanging="360"/>
      </w:pPr>
      <w:rPr>
        <w:rFonts w:ascii="Symbol" w:hAnsi="Symbol" w:hint="default"/>
        <w:sz w:val="20"/>
      </w:rPr>
    </w:lvl>
    <w:lvl w:ilvl="4" w:tplc="64B05258" w:tentative="1">
      <w:start w:val="1"/>
      <w:numFmt w:val="bullet"/>
      <w:lvlText w:val=""/>
      <w:lvlJc w:val="left"/>
      <w:pPr>
        <w:tabs>
          <w:tab w:val="num" w:pos="3600"/>
        </w:tabs>
        <w:ind w:left="3600" w:hanging="360"/>
      </w:pPr>
      <w:rPr>
        <w:rFonts w:ascii="Symbol" w:hAnsi="Symbol" w:hint="default"/>
        <w:sz w:val="20"/>
      </w:rPr>
    </w:lvl>
    <w:lvl w:ilvl="5" w:tplc="7D302FA2" w:tentative="1">
      <w:start w:val="1"/>
      <w:numFmt w:val="bullet"/>
      <w:lvlText w:val=""/>
      <w:lvlJc w:val="left"/>
      <w:pPr>
        <w:tabs>
          <w:tab w:val="num" w:pos="4320"/>
        </w:tabs>
        <w:ind w:left="4320" w:hanging="360"/>
      </w:pPr>
      <w:rPr>
        <w:rFonts w:ascii="Symbol" w:hAnsi="Symbol" w:hint="default"/>
        <w:sz w:val="20"/>
      </w:rPr>
    </w:lvl>
    <w:lvl w:ilvl="6" w:tplc="B07869E8" w:tentative="1">
      <w:start w:val="1"/>
      <w:numFmt w:val="bullet"/>
      <w:lvlText w:val=""/>
      <w:lvlJc w:val="left"/>
      <w:pPr>
        <w:tabs>
          <w:tab w:val="num" w:pos="5040"/>
        </w:tabs>
        <w:ind w:left="5040" w:hanging="360"/>
      </w:pPr>
      <w:rPr>
        <w:rFonts w:ascii="Symbol" w:hAnsi="Symbol" w:hint="default"/>
        <w:sz w:val="20"/>
      </w:rPr>
    </w:lvl>
    <w:lvl w:ilvl="7" w:tplc="8A767688" w:tentative="1">
      <w:start w:val="1"/>
      <w:numFmt w:val="bullet"/>
      <w:lvlText w:val=""/>
      <w:lvlJc w:val="left"/>
      <w:pPr>
        <w:tabs>
          <w:tab w:val="num" w:pos="5760"/>
        </w:tabs>
        <w:ind w:left="5760" w:hanging="360"/>
      </w:pPr>
      <w:rPr>
        <w:rFonts w:ascii="Symbol" w:hAnsi="Symbol" w:hint="default"/>
        <w:sz w:val="20"/>
      </w:rPr>
    </w:lvl>
    <w:lvl w:ilvl="8" w:tplc="DDF0E3A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E063CD"/>
    <w:multiLevelType w:val="hybridMultilevel"/>
    <w:tmpl w:val="FFFFFFFF"/>
    <w:lvl w:ilvl="0" w:tplc="03402380">
      <w:start w:val="1"/>
      <w:numFmt w:val="bullet"/>
      <w:lvlText w:val=""/>
      <w:lvlJc w:val="left"/>
      <w:pPr>
        <w:ind w:left="720" w:hanging="360"/>
      </w:pPr>
      <w:rPr>
        <w:rFonts w:ascii="Symbol" w:hAnsi="Symbol" w:hint="default"/>
      </w:rPr>
    </w:lvl>
    <w:lvl w:ilvl="1" w:tplc="45FAD60A">
      <w:start w:val="1"/>
      <w:numFmt w:val="bullet"/>
      <w:lvlText w:val="o"/>
      <w:lvlJc w:val="left"/>
      <w:pPr>
        <w:ind w:left="1440" w:hanging="360"/>
      </w:pPr>
      <w:rPr>
        <w:rFonts w:ascii="Courier New" w:hAnsi="Courier New" w:hint="default"/>
      </w:rPr>
    </w:lvl>
    <w:lvl w:ilvl="2" w:tplc="D8BC3124">
      <w:start w:val="1"/>
      <w:numFmt w:val="bullet"/>
      <w:lvlText w:val=""/>
      <w:lvlJc w:val="left"/>
      <w:pPr>
        <w:ind w:left="2160" w:hanging="360"/>
      </w:pPr>
      <w:rPr>
        <w:rFonts w:ascii="Wingdings" w:hAnsi="Wingdings" w:hint="default"/>
      </w:rPr>
    </w:lvl>
    <w:lvl w:ilvl="3" w:tplc="A6161C62">
      <w:start w:val="1"/>
      <w:numFmt w:val="bullet"/>
      <w:lvlText w:val=""/>
      <w:lvlJc w:val="left"/>
      <w:pPr>
        <w:ind w:left="2880" w:hanging="360"/>
      </w:pPr>
      <w:rPr>
        <w:rFonts w:ascii="Symbol" w:hAnsi="Symbol" w:hint="default"/>
      </w:rPr>
    </w:lvl>
    <w:lvl w:ilvl="4" w:tplc="66D6A0E6">
      <w:start w:val="1"/>
      <w:numFmt w:val="bullet"/>
      <w:lvlText w:val="o"/>
      <w:lvlJc w:val="left"/>
      <w:pPr>
        <w:ind w:left="3600" w:hanging="360"/>
      </w:pPr>
      <w:rPr>
        <w:rFonts w:ascii="Courier New" w:hAnsi="Courier New" w:hint="default"/>
      </w:rPr>
    </w:lvl>
    <w:lvl w:ilvl="5" w:tplc="40FEC064">
      <w:start w:val="1"/>
      <w:numFmt w:val="bullet"/>
      <w:lvlText w:val=""/>
      <w:lvlJc w:val="left"/>
      <w:pPr>
        <w:ind w:left="4320" w:hanging="360"/>
      </w:pPr>
      <w:rPr>
        <w:rFonts w:ascii="Wingdings" w:hAnsi="Wingdings" w:hint="default"/>
      </w:rPr>
    </w:lvl>
    <w:lvl w:ilvl="6" w:tplc="3A74ED78">
      <w:start w:val="1"/>
      <w:numFmt w:val="bullet"/>
      <w:lvlText w:val=""/>
      <w:lvlJc w:val="left"/>
      <w:pPr>
        <w:ind w:left="5040" w:hanging="360"/>
      </w:pPr>
      <w:rPr>
        <w:rFonts w:ascii="Symbol" w:hAnsi="Symbol" w:hint="default"/>
      </w:rPr>
    </w:lvl>
    <w:lvl w:ilvl="7" w:tplc="B6124A5A">
      <w:start w:val="1"/>
      <w:numFmt w:val="bullet"/>
      <w:lvlText w:val="o"/>
      <w:lvlJc w:val="left"/>
      <w:pPr>
        <w:ind w:left="5760" w:hanging="360"/>
      </w:pPr>
      <w:rPr>
        <w:rFonts w:ascii="Courier New" w:hAnsi="Courier New" w:hint="default"/>
      </w:rPr>
    </w:lvl>
    <w:lvl w:ilvl="8" w:tplc="E24C0D50">
      <w:start w:val="1"/>
      <w:numFmt w:val="bullet"/>
      <w:lvlText w:val=""/>
      <w:lvlJc w:val="left"/>
      <w:pPr>
        <w:ind w:left="6480" w:hanging="360"/>
      </w:pPr>
      <w:rPr>
        <w:rFonts w:ascii="Wingdings" w:hAnsi="Wingdings" w:hint="default"/>
      </w:rPr>
    </w:lvl>
  </w:abstractNum>
  <w:abstractNum w:abstractNumId="26" w15:restartNumberingAfterBreak="0">
    <w:nsid w:val="4A0D1616"/>
    <w:multiLevelType w:val="hybridMultilevel"/>
    <w:tmpl w:val="DCC86BAA"/>
    <w:lvl w:ilvl="0" w:tplc="9D7C27A8">
      <w:start w:val="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71CCA"/>
    <w:multiLevelType w:val="hybridMultilevel"/>
    <w:tmpl w:val="4134CEB2"/>
    <w:lvl w:ilvl="0" w:tplc="912235C4">
      <w:start w:val="7"/>
      <w:numFmt w:val="decimal"/>
      <w:lvlText w:val="%1."/>
      <w:lvlJc w:val="left"/>
      <w:pPr>
        <w:tabs>
          <w:tab w:val="num" w:pos="720"/>
        </w:tabs>
        <w:ind w:left="720" w:hanging="360"/>
      </w:pPr>
    </w:lvl>
    <w:lvl w:ilvl="1" w:tplc="2F4A9262" w:tentative="1">
      <w:start w:val="1"/>
      <w:numFmt w:val="decimal"/>
      <w:lvlText w:val="%2."/>
      <w:lvlJc w:val="left"/>
      <w:pPr>
        <w:tabs>
          <w:tab w:val="num" w:pos="1440"/>
        </w:tabs>
        <w:ind w:left="1440" w:hanging="360"/>
      </w:pPr>
    </w:lvl>
    <w:lvl w:ilvl="2" w:tplc="5A861E76" w:tentative="1">
      <w:start w:val="1"/>
      <w:numFmt w:val="decimal"/>
      <w:lvlText w:val="%3."/>
      <w:lvlJc w:val="left"/>
      <w:pPr>
        <w:tabs>
          <w:tab w:val="num" w:pos="2160"/>
        </w:tabs>
        <w:ind w:left="2160" w:hanging="360"/>
      </w:pPr>
    </w:lvl>
    <w:lvl w:ilvl="3" w:tplc="1D268D8C" w:tentative="1">
      <w:start w:val="1"/>
      <w:numFmt w:val="decimal"/>
      <w:lvlText w:val="%4."/>
      <w:lvlJc w:val="left"/>
      <w:pPr>
        <w:tabs>
          <w:tab w:val="num" w:pos="2880"/>
        </w:tabs>
        <w:ind w:left="2880" w:hanging="360"/>
      </w:pPr>
    </w:lvl>
    <w:lvl w:ilvl="4" w:tplc="A17C9416" w:tentative="1">
      <w:start w:val="1"/>
      <w:numFmt w:val="decimal"/>
      <w:lvlText w:val="%5."/>
      <w:lvlJc w:val="left"/>
      <w:pPr>
        <w:tabs>
          <w:tab w:val="num" w:pos="3600"/>
        </w:tabs>
        <w:ind w:left="3600" w:hanging="360"/>
      </w:pPr>
    </w:lvl>
    <w:lvl w:ilvl="5" w:tplc="B99C28F6" w:tentative="1">
      <w:start w:val="1"/>
      <w:numFmt w:val="decimal"/>
      <w:lvlText w:val="%6."/>
      <w:lvlJc w:val="left"/>
      <w:pPr>
        <w:tabs>
          <w:tab w:val="num" w:pos="4320"/>
        </w:tabs>
        <w:ind w:left="4320" w:hanging="360"/>
      </w:pPr>
    </w:lvl>
    <w:lvl w:ilvl="6" w:tplc="E454E7B4" w:tentative="1">
      <w:start w:val="1"/>
      <w:numFmt w:val="decimal"/>
      <w:lvlText w:val="%7."/>
      <w:lvlJc w:val="left"/>
      <w:pPr>
        <w:tabs>
          <w:tab w:val="num" w:pos="5040"/>
        </w:tabs>
        <w:ind w:left="5040" w:hanging="360"/>
      </w:pPr>
    </w:lvl>
    <w:lvl w:ilvl="7" w:tplc="714869A0" w:tentative="1">
      <w:start w:val="1"/>
      <w:numFmt w:val="decimal"/>
      <w:lvlText w:val="%8."/>
      <w:lvlJc w:val="left"/>
      <w:pPr>
        <w:tabs>
          <w:tab w:val="num" w:pos="5760"/>
        </w:tabs>
        <w:ind w:left="5760" w:hanging="360"/>
      </w:pPr>
    </w:lvl>
    <w:lvl w:ilvl="8" w:tplc="9E5A8DCC" w:tentative="1">
      <w:start w:val="1"/>
      <w:numFmt w:val="decimal"/>
      <w:lvlText w:val="%9."/>
      <w:lvlJc w:val="left"/>
      <w:pPr>
        <w:tabs>
          <w:tab w:val="num" w:pos="6480"/>
        </w:tabs>
        <w:ind w:left="6480" w:hanging="360"/>
      </w:pPr>
    </w:lvl>
  </w:abstractNum>
  <w:abstractNum w:abstractNumId="28"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10A6E"/>
    <w:multiLevelType w:val="hybridMultilevel"/>
    <w:tmpl w:val="B178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A45D2"/>
    <w:multiLevelType w:val="hybridMultilevel"/>
    <w:tmpl w:val="4232D2AC"/>
    <w:lvl w:ilvl="0" w:tplc="08090001">
      <w:start w:val="1"/>
      <w:numFmt w:val="bullet"/>
      <w:lvlText w:val=""/>
      <w:lvlJc w:val="left"/>
      <w:pPr>
        <w:ind w:left="720" w:hanging="360"/>
      </w:pPr>
      <w:rPr>
        <w:rFonts w:ascii="Symbol" w:hAnsi="Symbol" w:hint="default"/>
      </w:rPr>
    </w:lvl>
    <w:lvl w:ilvl="1" w:tplc="66728ADC">
      <w:numFmt w:val="bullet"/>
      <w:lvlText w:val="•"/>
      <w:lvlJc w:val="left"/>
      <w:pPr>
        <w:ind w:left="1440" w:hanging="360"/>
      </w:pPr>
      <w:rPr>
        <w:rFonts w:ascii="Open Sans" w:eastAsia="Open Sans" w:hAnsi="Open Sans" w:cs="Open San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9C07336"/>
    <w:multiLevelType w:val="hybridMultilevel"/>
    <w:tmpl w:val="54A6E178"/>
    <w:lvl w:ilvl="0" w:tplc="70304B40">
      <w:start w:val="1"/>
      <w:numFmt w:val="bullet"/>
      <w:lvlText w:val=""/>
      <w:lvlJc w:val="left"/>
      <w:pPr>
        <w:tabs>
          <w:tab w:val="num" w:pos="720"/>
        </w:tabs>
        <w:ind w:left="720" w:hanging="360"/>
      </w:pPr>
      <w:rPr>
        <w:rFonts w:ascii="Symbol" w:hAnsi="Symbol" w:hint="default"/>
        <w:sz w:val="20"/>
      </w:rPr>
    </w:lvl>
    <w:lvl w:ilvl="1" w:tplc="59B6F84E" w:tentative="1">
      <w:start w:val="1"/>
      <w:numFmt w:val="bullet"/>
      <w:lvlText w:val=""/>
      <w:lvlJc w:val="left"/>
      <w:pPr>
        <w:tabs>
          <w:tab w:val="num" w:pos="1440"/>
        </w:tabs>
        <w:ind w:left="1440" w:hanging="360"/>
      </w:pPr>
      <w:rPr>
        <w:rFonts w:ascii="Symbol" w:hAnsi="Symbol" w:hint="default"/>
        <w:sz w:val="20"/>
      </w:rPr>
    </w:lvl>
    <w:lvl w:ilvl="2" w:tplc="7592C0AA" w:tentative="1">
      <w:start w:val="1"/>
      <w:numFmt w:val="bullet"/>
      <w:lvlText w:val=""/>
      <w:lvlJc w:val="left"/>
      <w:pPr>
        <w:tabs>
          <w:tab w:val="num" w:pos="2160"/>
        </w:tabs>
        <w:ind w:left="2160" w:hanging="360"/>
      </w:pPr>
      <w:rPr>
        <w:rFonts w:ascii="Symbol" w:hAnsi="Symbol" w:hint="default"/>
        <w:sz w:val="20"/>
      </w:rPr>
    </w:lvl>
    <w:lvl w:ilvl="3" w:tplc="D93C55F8" w:tentative="1">
      <w:start w:val="1"/>
      <w:numFmt w:val="bullet"/>
      <w:lvlText w:val=""/>
      <w:lvlJc w:val="left"/>
      <w:pPr>
        <w:tabs>
          <w:tab w:val="num" w:pos="2880"/>
        </w:tabs>
        <w:ind w:left="2880" w:hanging="360"/>
      </w:pPr>
      <w:rPr>
        <w:rFonts w:ascii="Symbol" w:hAnsi="Symbol" w:hint="default"/>
        <w:sz w:val="20"/>
      </w:rPr>
    </w:lvl>
    <w:lvl w:ilvl="4" w:tplc="7CFAE4FE" w:tentative="1">
      <w:start w:val="1"/>
      <w:numFmt w:val="bullet"/>
      <w:lvlText w:val=""/>
      <w:lvlJc w:val="left"/>
      <w:pPr>
        <w:tabs>
          <w:tab w:val="num" w:pos="3600"/>
        </w:tabs>
        <w:ind w:left="3600" w:hanging="360"/>
      </w:pPr>
      <w:rPr>
        <w:rFonts w:ascii="Symbol" w:hAnsi="Symbol" w:hint="default"/>
        <w:sz w:val="20"/>
      </w:rPr>
    </w:lvl>
    <w:lvl w:ilvl="5" w:tplc="6B54EB12" w:tentative="1">
      <w:start w:val="1"/>
      <w:numFmt w:val="bullet"/>
      <w:lvlText w:val=""/>
      <w:lvlJc w:val="left"/>
      <w:pPr>
        <w:tabs>
          <w:tab w:val="num" w:pos="4320"/>
        </w:tabs>
        <w:ind w:left="4320" w:hanging="360"/>
      </w:pPr>
      <w:rPr>
        <w:rFonts w:ascii="Symbol" w:hAnsi="Symbol" w:hint="default"/>
        <w:sz w:val="20"/>
      </w:rPr>
    </w:lvl>
    <w:lvl w:ilvl="6" w:tplc="8E62EDCE" w:tentative="1">
      <w:start w:val="1"/>
      <w:numFmt w:val="bullet"/>
      <w:lvlText w:val=""/>
      <w:lvlJc w:val="left"/>
      <w:pPr>
        <w:tabs>
          <w:tab w:val="num" w:pos="5040"/>
        </w:tabs>
        <w:ind w:left="5040" w:hanging="360"/>
      </w:pPr>
      <w:rPr>
        <w:rFonts w:ascii="Symbol" w:hAnsi="Symbol" w:hint="default"/>
        <w:sz w:val="20"/>
      </w:rPr>
    </w:lvl>
    <w:lvl w:ilvl="7" w:tplc="B6CC2926" w:tentative="1">
      <w:start w:val="1"/>
      <w:numFmt w:val="bullet"/>
      <w:lvlText w:val=""/>
      <w:lvlJc w:val="left"/>
      <w:pPr>
        <w:tabs>
          <w:tab w:val="num" w:pos="5760"/>
        </w:tabs>
        <w:ind w:left="5760" w:hanging="360"/>
      </w:pPr>
      <w:rPr>
        <w:rFonts w:ascii="Symbol" w:hAnsi="Symbol" w:hint="default"/>
        <w:sz w:val="20"/>
      </w:rPr>
    </w:lvl>
    <w:lvl w:ilvl="8" w:tplc="DFD2400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706217"/>
    <w:multiLevelType w:val="hybridMultilevel"/>
    <w:tmpl w:val="FFFFFFFF"/>
    <w:lvl w:ilvl="0" w:tplc="6A36FE3A">
      <w:start w:val="1"/>
      <w:numFmt w:val="decimal"/>
      <w:lvlText w:val="%1."/>
      <w:lvlJc w:val="left"/>
      <w:pPr>
        <w:tabs>
          <w:tab w:val="num" w:pos="720"/>
        </w:tabs>
        <w:ind w:left="720" w:hanging="720"/>
      </w:pPr>
    </w:lvl>
    <w:lvl w:ilvl="1" w:tplc="BBB20FA4">
      <w:start w:val="1"/>
      <w:numFmt w:val="decimal"/>
      <w:lvlText w:val="%2."/>
      <w:lvlJc w:val="left"/>
      <w:pPr>
        <w:tabs>
          <w:tab w:val="num" w:pos="1440"/>
        </w:tabs>
        <w:ind w:left="1440" w:hanging="720"/>
      </w:pPr>
    </w:lvl>
    <w:lvl w:ilvl="2" w:tplc="773CDB44">
      <w:start w:val="1"/>
      <w:numFmt w:val="decimal"/>
      <w:lvlText w:val="%3."/>
      <w:lvlJc w:val="left"/>
      <w:pPr>
        <w:tabs>
          <w:tab w:val="num" w:pos="2160"/>
        </w:tabs>
        <w:ind w:left="2160" w:hanging="720"/>
      </w:pPr>
    </w:lvl>
    <w:lvl w:ilvl="3" w:tplc="66343970">
      <w:start w:val="1"/>
      <w:numFmt w:val="decimal"/>
      <w:lvlText w:val="%4."/>
      <w:lvlJc w:val="left"/>
      <w:pPr>
        <w:tabs>
          <w:tab w:val="num" w:pos="2880"/>
        </w:tabs>
        <w:ind w:left="2880" w:hanging="720"/>
      </w:pPr>
    </w:lvl>
    <w:lvl w:ilvl="4" w:tplc="0B1EF294">
      <w:start w:val="1"/>
      <w:numFmt w:val="decimal"/>
      <w:lvlText w:val="%5."/>
      <w:lvlJc w:val="left"/>
      <w:pPr>
        <w:tabs>
          <w:tab w:val="num" w:pos="3600"/>
        </w:tabs>
        <w:ind w:left="3600" w:hanging="720"/>
      </w:pPr>
    </w:lvl>
    <w:lvl w:ilvl="5" w:tplc="A66C31C8">
      <w:start w:val="1"/>
      <w:numFmt w:val="decimal"/>
      <w:lvlText w:val="%6."/>
      <w:lvlJc w:val="left"/>
      <w:pPr>
        <w:tabs>
          <w:tab w:val="num" w:pos="4320"/>
        </w:tabs>
        <w:ind w:left="4320" w:hanging="720"/>
      </w:pPr>
    </w:lvl>
    <w:lvl w:ilvl="6" w:tplc="21145BB8">
      <w:start w:val="1"/>
      <w:numFmt w:val="decimal"/>
      <w:lvlText w:val="%7."/>
      <w:lvlJc w:val="left"/>
      <w:pPr>
        <w:tabs>
          <w:tab w:val="num" w:pos="5040"/>
        </w:tabs>
        <w:ind w:left="5040" w:hanging="720"/>
      </w:pPr>
    </w:lvl>
    <w:lvl w:ilvl="7" w:tplc="3626B022">
      <w:start w:val="1"/>
      <w:numFmt w:val="decimal"/>
      <w:lvlText w:val="%8."/>
      <w:lvlJc w:val="left"/>
      <w:pPr>
        <w:tabs>
          <w:tab w:val="num" w:pos="5760"/>
        </w:tabs>
        <w:ind w:left="5760" w:hanging="720"/>
      </w:pPr>
    </w:lvl>
    <w:lvl w:ilvl="8" w:tplc="8A1E42DC">
      <w:start w:val="1"/>
      <w:numFmt w:val="decimal"/>
      <w:lvlText w:val="%9."/>
      <w:lvlJc w:val="left"/>
      <w:pPr>
        <w:tabs>
          <w:tab w:val="num" w:pos="6480"/>
        </w:tabs>
        <w:ind w:left="6480" w:hanging="720"/>
      </w:pPr>
    </w:lvl>
  </w:abstractNum>
  <w:abstractNum w:abstractNumId="33" w15:restartNumberingAfterBreak="0">
    <w:nsid w:val="5E663698"/>
    <w:multiLevelType w:val="hybridMultilevel"/>
    <w:tmpl w:val="2B5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C1116"/>
    <w:multiLevelType w:val="hybridMultilevel"/>
    <w:tmpl w:val="FFFFFFFF"/>
    <w:lvl w:ilvl="0" w:tplc="5A363C30">
      <w:start w:val="1"/>
      <w:numFmt w:val="bullet"/>
      <w:lvlText w:val=""/>
      <w:lvlJc w:val="left"/>
      <w:pPr>
        <w:ind w:left="720" w:hanging="360"/>
      </w:pPr>
      <w:rPr>
        <w:rFonts w:ascii="Symbol" w:hAnsi="Symbol" w:hint="default"/>
      </w:rPr>
    </w:lvl>
    <w:lvl w:ilvl="1" w:tplc="5B2CFB30">
      <w:start w:val="1"/>
      <w:numFmt w:val="bullet"/>
      <w:lvlText w:val="o"/>
      <w:lvlJc w:val="left"/>
      <w:pPr>
        <w:ind w:left="1440" w:hanging="360"/>
      </w:pPr>
      <w:rPr>
        <w:rFonts w:ascii="Courier New" w:hAnsi="Courier New" w:hint="default"/>
      </w:rPr>
    </w:lvl>
    <w:lvl w:ilvl="2" w:tplc="2D020952">
      <w:start w:val="1"/>
      <w:numFmt w:val="bullet"/>
      <w:lvlText w:val=""/>
      <w:lvlJc w:val="left"/>
      <w:pPr>
        <w:ind w:left="2160" w:hanging="360"/>
      </w:pPr>
      <w:rPr>
        <w:rFonts w:ascii="Wingdings" w:hAnsi="Wingdings" w:hint="default"/>
      </w:rPr>
    </w:lvl>
    <w:lvl w:ilvl="3" w:tplc="F8487714">
      <w:start w:val="1"/>
      <w:numFmt w:val="bullet"/>
      <w:lvlText w:val=""/>
      <w:lvlJc w:val="left"/>
      <w:pPr>
        <w:ind w:left="2880" w:hanging="360"/>
      </w:pPr>
      <w:rPr>
        <w:rFonts w:ascii="Symbol" w:hAnsi="Symbol" w:hint="default"/>
      </w:rPr>
    </w:lvl>
    <w:lvl w:ilvl="4" w:tplc="AA7CD23C">
      <w:start w:val="1"/>
      <w:numFmt w:val="bullet"/>
      <w:lvlText w:val="o"/>
      <w:lvlJc w:val="left"/>
      <w:pPr>
        <w:ind w:left="3600" w:hanging="360"/>
      </w:pPr>
      <w:rPr>
        <w:rFonts w:ascii="Courier New" w:hAnsi="Courier New" w:hint="default"/>
      </w:rPr>
    </w:lvl>
    <w:lvl w:ilvl="5" w:tplc="C15EC8A4">
      <w:start w:val="1"/>
      <w:numFmt w:val="bullet"/>
      <w:lvlText w:val=""/>
      <w:lvlJc w:val="left"/>
      <w:pPr>
        <w:ind w:left="4320" w:hanging="360"/>
      </w:pPr>
      <w:rPr>
        <w:rFonts w:ascii="Wingdings" w:hAnsi="Wingdings" w:hint="default"/>
      </w:rPr>
    </w:lvl>
    <w:lvl w:ilvl="6" w:tplc="C0088E74">
      <w:start w:val="1"/>
      <w:numFmt w:val="bullet"/>
      <w:lvlText w:val=""/>
      <w:lvlJc w:val="left"/>
      <w:pPr>
        <w:ind w:left="5040" w:hanging="360"/>
      </w:pPr>
      <w:rPr>
        <w:rFonts w:ascii="Symbol" w:hAnsi="Symbol" w:hint="default"/>
      </w:rPr>
    </w:lvl>
    <w:lvl w:ilvl="7" w:tplc="93CA27DC">
      <w:start w:val="1"/>
      <w:numFmt w:val="bullet"/>
      <w:lvlText w:val="o"/>
      <w:lvlJc w:val="left"/>
      <w:pPr>
        <w:ind w:left="5760" w:hanging="360"/>
      </w:pPr>
      <w:rPr>
        <w:rFonts w:ascii="Courier New" w:hAnsi="Courier New" w:hint="default"/>
      </w:rPr>
    </w:lvl>
    <w:lvl w:ilvl="8" w:tplc="7132EFB8">
      <w:start w:val="1"/>
      <w:numFmt w:val="bullet"/>
      <w:lvlText w:val=""/>
      <w:lvlJc w:val="left"/>
      <w:pPr>
        <w:ind w:left="6480" w:hanging="360"/>
      </w:pPr>
      <w:rPr>
        <w:rFonts w:ascii="Wingdings" w:hAnsi="Wingdings" w:hint="default"/>
      </w:rPr>
    </w:lvl>
  </w:abstractNum>
  <w:abstractNum w:abstractNumId="36"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7300A"/>
    <w:multiLevelType w:val="hybridMultilevel"/>
    <w:tmpl w:val="88C22436"/>
    <w:lvl w:ilvl="0" w:tplc="090EE27E">
      <w:start w:val="202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C431D"/>
    <w:multiLevelType w:val="hybridMultilevel"/>
    <w:tmpl w:val="D57E0374"/>
    <w:lvl w:ilvl="0" w:tplc="5FF48078">
      <w:start w:val="1"/>
      <w:numFmt w:val="bullet"/>
      <w:lvlText w:val=""/>
      <w:lvlJc w:val="left"/>
      <w:pPr>
        <w:ind w:left="780" w:hanging="360"/>
      </w:pPr>
      <w:rPr>
        <w:rFonts w:ascii="Symbol" w:hAnsi="Symbol" w:hint="default"/>
      </w:rPr>
    </w:lvl>
    <w:lvl w:ilvl="1" w:tplc="1590933C" w:tentative="1">
      <w:start w:val="1"/>
      <w:numFmt w:val="bullet"/>
      <w:lvlText w:val="o"/>
      <w:lvlJc w:val="left"/>
      <w:pPr>
        <w:ind w:left="1500" w:hanging="360"/>
      </w:pPr>
      <w:rPr>
        <w:rFonts w:ascii="Courier New" w:hAnsi="Courier New" w:hint="default"/>
      </w:rPr>
    </w:lvl>
    <w:lvl w:ilvl="2" w:tplc="D0200620" w:tentative="1">
      <w:start w:val="1"/>
      <w:numFmt w:val="bullet"/>
      <w:lvlText w:val=""/>
      <w:lvlJc w:val="left"/>
      <w:pPr>
        <w:ind w:left="2220" w:hanging="360"/>
      </w:pPr>
      <w:rPr>
        <w:rFonts w:ascii="Wingdings" w:hAnsi="Wingdings" w:hint="default"/>
      </w:rPr>
    </w:lvl>
    <w:lvl w:ilvl="3" w:tplc="75CA30D8" w:tentative="1">
      <w:start w:val="1"/>
      <w:numFmt w:val="bullet"/>
      <w:lvlText w:val=""/>
      <w:lvlJc w:val="left"/>
      <w:pPr>
        <w:ind w:left="2940" w:hanging="360"/>
      </w:pPr>
      <w:rPr>
        <w:rFonts w:ascii="Symbol" w:hAnsi="Symbol" w:hint="default"/>
      </w:rPr>
    </w:lvl>
    <w:lvl w:ilvl="4" w:tplc="315E6BAA" w:tentative="1">
      <w:start w:val="1"/>
      <w:numFmt w:val="bullet"/>
      <w:lvlText w:val="o"/>
      <w:lvlJc w:val="left"/>
      <w:pPr>
        <w:ind w:left="3660" w:hanging="360"/>
      </w:pPr>
      <w:rPr>
        <w:rFonts w:ascii="Courier New" w:hAnsi="Courier New" w:hint="default"/>
      </w:rPr>
    </w:lvl>
    <w:lvl w:ilvl="5" w:tplc="E7368392" w:tentative="1">
      <w:start w:val="1"/>
      <w:numFmt w:val="bullet"/>
      <w:lvlText w:val=""/>
      <w:lvlJc w:val="left"/>
      <w:pPr>
        <w:ind w:left="4380" w:hanging="360"/>
      </w:pPr>
      <w:rPr>
        <w:rFonts w:ascii="Wingdings" w:hAnsi="Wingdings" w:hint="default"/>
      </w:rPr>
    </w:lvl>
    <w:lvl w:ilvl="6" w:tplc="DFD8FFD4" w:tentative="1">
      <w:start w:val="1"/>
      <w:numFmt w:val="bullet"/>
      <w:lvlText w:val=""/>
      <w:lvlJc w:val="left"/>
      <w:pPr>
        <w:ind w:left="5100" w:hanging="360"/>
      </w:pPr>
      <w:rPr>
        <w:rFonts w:ascii="Symbol" w:hAnsi="Symbol" w:hint="default"/>
      </w:rPr>
    </w:lvl>
    <w:lvl w:ilvl="7" w:tplc="366AFC06" w:tentative="1">
      <w:start w:val="1"/>
      <w:numFmt w:val="bullet"/>
      <w:lvlText w:val="o"/>
      <w:lvlJc w:val="left"/>
      <w:pPr>
        <w:ind w:left="5820" w:hanging="360"/>
      </w:pPr>
      <w:rPr>
        <w:rFonts w:ascii="Courier New" w:hAnsi="Courier New" w:hint="default"/>
      </w:rPr>
    </w:lvl>
    <w:lvl w:ilvl="8" w:tplc="1B4486F4" w:tentative="1">
      <w:start w:val="1"/>
      <w:numFmt w:val="bullet"/>
      <w:lvlText w:val=""/>
      <w:lvlJc w:val="left"/>
      <w:pPr>
        <w:ind w:left="6540" w:hanging="360"/>
      </w:pPr>
      <w:rPr>
        <w:rFonts w:ascii="Wingdings" w:hAnsi="Wingdings" w:hint="default"/>
      </w:rPr>
    </w:lvl>
  </w:abstractNum>
  <w:abstractNum w:abstractNumId="40" w15:restartNumberingAfterBreak="0">
    <w:nsid w:val="64B9604A"/>
    <w:multiLevelType w:val="hybridMultilevel"/>
    <w:tmpl w:val="650E3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6A91DFC"/>
    <w:multiLevelType w:val="hybridMultilevel"/>
    <w:tmpl w:val="1A32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976BB"/>
    <w:multiLevelType w:val="hybridMultilevel"/>
    <w:tmpl w:val="D7D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F107C"/>
    <w:multiLevelType w:val="hybridMultilevel"/>
    <w:tmpl w:val="4A1C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B4D15"/>
    <w:multiLevelType w:val="hybridMultilevel"/>
    <w:tmpl w:val="AAB4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D8770D"/>
    <w:multiLevelType w:val="hybridMultilevel"/>
    <w:tmpl w:val="DC54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F70276"/>
    <w:multiLevelType w:val="hybridMultilevel"/>
    <w:tmpl w:val="5578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273A93"/>
    <w:multiLevelType w:val="hybridMultilevel"/>
    <w:tmpl w:val="ADB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FD1EF0"/>
    <w:multiLevelType w:val="hybridMultilevel"/>
    <w:tmpl w:val="33C4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B7644B"/>
    <w:multiLevelType w:val="hybridMultilevel"/>
    <w:tmpl w:val="2990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A16B50"/>
    <w:multiLevelType w:val="hybridMultilevel"/>
    <w:tmpl w:val="35C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5B59ED"/>
    <w:multiLevelType w:val="hybridMultilevel"/>
    <w:tmpl w:val="690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D42955"/>
    <w:multiLevelType w:val="hybridMultilevel"/>
    <w:tmpl w:val="B53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EE67A8"/>
    <w:multiLevelType w:val="hybridMultilevel"/>
    <w:tmpl w:val="C2665CE2"/>
    <w:lvl w:ilvl="0" w:tplc="A55C5798">
      <w:start w:val="1"/>
      <w:numFmt w:val="bullet"/>
      <w:lvlText w:val=""/>
      <w:lvlJc w:val="left"/>
      <w:pPr>
        <w:tabs>
          <w:tab w:val="num" w:pos="720"/>
        </w:tabs>
        <w:ind w:left="720" w:hanging="360"/>
      </w:pPr>
      <w:rPr>
        <w:rFonts w:ascii="Symbol" w:hAnsi="Symbol" w:hint="default"/>
        <w:sz w:val="20"/>
      </w:rPr>
    </w:lvl>
    <w:lvl w:ilvl="1" w:tplc="EAFA3AB6" w:tentative="1">
      <w:start w:val="1"/>
      <w:numFmt w:val="bullet"/>
      <w:lvlText w:val=""/>
      <w:lvlJc w:val="left"/>
      <w:pPr>
        <w:tabs>
          <w:tab w:val="num" w:pos="1440"/>
        </w:tabs>
        <w:ind w:left="1440" w:hanging="360"/>
      </w:pPr>
      <w:rPr>
        <w:rFonts w:ascii="Symbol" w:hAnsi="Symbol" w:hint="default"/>
        <w:sz w:val="20"/>
      </w:rPr>
    </w:lvl>
    <w:lvl w:ilvl="2" w:tplc="C2FA78C2" w:tentative="1">
      <w:start w:val="1"/>
      <w:numFmt w:val="bullet"/>
      <w:lvlText w:val=""/>
      <w:lvlJc w:val="left"/>
      <w:pPr>
        <w:tabs>
          <w:tab w:val="num" w:pos="2160"/>
        </w:tabs>
        <w:ind w:left="2160" w:hanging="360"/>
      </w:pPr>
      <w:rPr>
        <w:rFonts w:ascii="Symbol" w:hAnsi="Symbol" w:hint="default"/>
        <w:sz w:val="20"/>
      </w:rPr>
    </w:lvl>
    <w:lvl w:ilvl="3" w:tplc="36EC57C6" w:tentative="1">
      <w:start w:val="1"/>
      <w:numFmt w:val="bullet"/>
      <w:lvlText w:val=""/>
      <w:lvlJc w:val="left"/>
      <w:pPr>
        <w:tabs>
          <w:tab w:val="num" w:pos="2880"/>
        </w:tabs>
        <w:ind w:left="2880" w:hanging="360"/>
      </w:pPr>
      <w:rPr>
        <w:rFonts w:ascii="Symbol" w:hAnsi="Symbol" w:hint="default"/>
        <w:sz w:val="20"/>
      </w:rPr>
    </w:lvl>
    <w:lvl w:ilvl="4" w:tplc="BB1A6366" w:tentative="1">
      <w:start w:val="1"/>
      <w:numFmt w:val="bullet"/>
      <w:lvlText w:val=""/>
      <w:lvlJc w:val="left"/>
      <w:pPr>
        <w:tabs>
          <w:tab w:val="num" w:pos="3600"/>
        </w:tabs>
        <w:ind w:left="3600" w:hanging="360"/>
      </w:pPr>
      <w:rPr>
        <w:rFonts w:ascii="Symbol" w:hAnsi="Symbol" w:hint="default"/>
        <w:sz w:val="20"/>
      </w:rPr>
    </w:lvl>
    <w:lvl w:ilvl="5" w:tplc="C91A7704" w:tentative="1">
      <w:start w:val="1"/>
      <w:numFmt w:val="bullet"/>
      <w:lvlText w:val=""/>
      <w:lvlJc w:val="left"/>
      <w:pPr>
        <w:tabs>
          <w:tab w:val="num" w:pos="4320"/>
        </w:tabs>
        <w:ind w:left="4320" w:hanging="360"/>
      </w:pPr>
      <w:rPr>
        <w:rFonts w:ascii="Symbol" w:hAnsi="Symbol" w:hint="default"/>
        <w:sz w:val="20"/>
      </w:rPr>
    </w:lvl>
    <w:lvl w:ilvl="6" w:tplc="59380E4A" w:tentative="1">
      <w:start w:val="1"/>
      <w:numFmt w:val="bullet"/>
      <w:lvlText w:val=""/>
      <w:lvlJc w:val="left"/>
      <w:pPr>
        <w:tabs>
          <w:tab w:val="num" w:pos="5040"/>
        </w:tabs>
        <w:ind w:left="5040" w:hanging="360"/>
      </w:pPr>
      <w:rPr>
        <w:rFonts w:ascii="Symbol" w:hAnsi="Symbol" w:hint="default"/>
        <w:sz w:val="20"/>
      </w:rPr>
    </w:lvl>
    <w:lvl w:ilvl="7" w:tplc="A5E27888" w:tentative="1">
      <w:start w:val="1"/>
      <w:numFmt w:val="bullet"/>
      <w:lvlText w:val=""/>
      <w:lvlJc w:val="left"/>
      <w:pPr>
        <w:tabs>
          <w:tab w:val="num" w:pos="5760"/>
        </w:tabs>
        <w:ind w:left="5760" w:hanging="360"/>
      </w:pPr>
      <w:rPr>
        <w:rFonts w:ascii="Symbol" w:hAnsi="Symbol" w:hint="default"/>
        <w:sz w:val="20"/>
      </w:rPr>
    </w:lvl>
    <w:lvl w:ilvl="8" w:tplc="81A2A67A"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333939"/>
    <w:multiLevelType w:val="hybridMultilevel"/>
    <w:tmpl w:val="1736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12C3D"/>
    <w:multiLevelType w:val="hybridMultilevel"/>
    <w:tmpl w:val="EC88D2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A34BF5"/>
    <w:multiLevelType w:val="hybridMultilevel"/>
    <w:tmpl w:val="53B471E0"/>
    <w:lvl w:ilvl="0" w:tplc="2D14C15E">
      <w:start w:val="1"/>
      <w:numFmt w:val="bullet"/>
      <w:lvlText w:val=""/>
      <w:lvlJc w:val="left"/>
      <w:pPr>
        <w:tabs>
          <w:tab w:val="num" w:pos="720"/>
        </w:tabs>
        <w:ind w:left="720" w:hanging="360"/>
      </w:pPr>
      <w:rPr>
        <w:rFonts w:ascii="Symbol" w:hAnsi="Symbol" w:hint="default"/>
        <w:sz w:val="20"/>
      </w:rPr>
    </w:lvl>
    <w:lvl w:ilvl="1" w:tplc="B74A3FA6" w:tentative="1">
      <w:start w:val="1"/>
      <w:numFmt w:val="bullet"/>
      <w:lvlText w:val=""/>
      <w:lvlJc w:val="left"/>
      <w:pPr>
        <w:tabs>
          <w:tab w:val="num" w:pos="1440"/>
        </w:tabs>
        <w:ind w:left="1440" w:hanging="360"/>
      </w:pPr>
      <w:rPr>
        <w:rFonts w:ascii="Symbol" w:hAnsi="Symbol" w:hint="default"/>
        <w:sz w:val="20"/>
      </w:rPr>
    </w:lvl>
    <w:lvl w:ilvl="2" w:tplc="25CE9C7A" w:tentative="1">
      <w:start w:val="1"/>
      <w:numFmt w:val="bullet"/>
      <w:lvlText w:val=""/>
      <w:lvlJc w:val="left"/>
      <w:pPr>
        <w:tabs>
          <w:tab w:val="num" w:pos="2160"/>
        </w:tabs>
        <w:ind w:left="2160" w:hanging="360"/>
      </w:pPr>
      <w:rPr>
        <w:rFonts w:ascii="Symbol" w:hAnsi="Symbol" w:hint="default"/>
        <w:sz w:val="20"/>
      </w:rPr>
    </w:lvl>
    <w:lvl w:ilvl="3" w:tplc="5C3E12A6" w:tentative="1">
      <w:start w:val="1"/>
      <w:numFmt w:val="bullet"/>
      <w:lvlText w:val=""/>
      <w:lvlJc w:val="left"/>
      <w:pPr>
        <w:tabs>
          <w:tab w:val="num" w:pos="2880"/>
        </w:tabs>
        <w:ind w:left="2880" w:hanging="360"/>
      </w:pPr>
      <w:rPr>
        <w:rFonts w:ascii="Symbol" w:hAnsi="Symbol" w:hint="default"/>
        <w:sz w:val="20"/>
      </w:rPr>
    </w:lvl>
    <w:lvl w:ilvl="4" w:tplc="B08A2724" w:tentative="1">
      <w:start w:val="1"/>
      <w:numFmt w:val="bullet"/>
      <w:lvlText w:val=""/>
      <w:lvlJc w:val="left"/>
      <w:pPr>
        <w:tabs>
          <w:tab w:val="num" w:pos="3600"/>
        </w:tabs>
        <w:ind w:left="3600" w:hanging="360"/>
      </w:pPr>
      <w:rPr>
        <w:rFonts w:ascii="Symbol" w:hAnsi="Symbol" w:hint="default"/>
        <w:sz w:val="20"/>
      </w:rPr>
    </w:lvl>
    <w:lvl w:ilvl="5" w:tplc="E81E76C0" w:tentative="1">
      <w:start w:val="1"/>
      <w:numFmt w:val="bullet"/>
      <w:lvlText w:val=""/>
      <w:lvlJc w:val="left"/>
      <w:pPr>
        <w:tabs>
          <w:tab w:val="num" w:pos="4320"/>
        </w:tabs>
        <w:ind w:left="4320" w:hanging="360"/>
      </w:pPr>
      <w:rPr>
        <w:rFonts w:ascii="Symbol" w:hAnsi="Symbol" w:hint="default"/>
        <w:sz w:val="20"/>
      </w:rPr>
    </w:lvl>
    <w:lvl w:ilvl="6" w:tplc="1556C316" w:tentative="1">
      <w:start w:val="1"/>
      <w:numFmt w:val="bullet"/>
      <w:lvlText w:val=""/>
      <w:lvlJc w:val="left"/>
      <w:pPr>
        <w:tabs>
          <w:tab w:val="num" w:pos="5040"/>
        </w:tabs>
        <w:ind w:left="5040" w:hanging="360"/>
      </w:pPr>
      <w:rPr>
        <w:rFonts w:ascii="Symbol" w:hAnsi="Symbol" w:hint="default"/>
        <w:sz w:val="20"/>
      </w:rPr>
    </w:lvl>
    <w:lvl w:ilvl="7" w:tplc="A108579A" w:tentative="1">
      <w:start w:val="1"/>
      <w:numFmt w:val="bullet"/>
      <w:lvlText w:val=""/>
      <w:lvlJc w:val="left"/>
      <w:pPr>
        <w:tabs>
          <w:tab w:val="num" w:pos="5760"/>
        </w:tabs>
        <w:ind w:left="5760" w:hanging="360"/>
      </w:pPr>
      <w:rPr>
        <w:rFonts w:ascii="Symbol" w:hAnsi="Symbol" w:hint="default"/>
        <w:sz w:val="20"/>
      </w:rPr>
    </w:lvl>
    <w:lvl w:ilvl="8" w:tplc="38DEEFEC"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561A72"/>
    <w:multiLevelType w:val="hybridMultilevel"/>
    <w:tmpl w:val="989AB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6"/>
  </w:num>
  <w:num w:numId="2">
    <w:abstractNumId w:val="48"/>
  </w:num>
  <w:num w:numId="3">
    <w:abstractNumId w:val="28"/>
  </w:num>
  <w:num w:numId="4">
    <w:abstractNumId w:val="20"/>
  </w:num>
  <w:num w:numId="5">
    <w:abstractNumId w:val="53"/>
  </w:num>
  <w:num w:numId="6">
    <w:abstractNumId w:val="56"/>
  </w:num>
  <w:num w:numId="7">
    <w:abstractNumId w:val="13"/>
  </w:num>
  <w:num w:numId="8">
    <w:abstractNumId w:val="19"/>
  </w:num>
  <w:num w:numId="9">
    <w:abstractNumId w:val="34"/>
  </w:num>
  <w:num w:numId="10">
    <w:abstractNumId w:val="43"/>
  </w:num>
  <w:num w:numId="11">
    <w:abstractNumId w:val="58"/>
  </w:num>
  <w:num w:numId="12">
    <w:abstractNumId w:val="17"/>
  </w:num>
  <w:num w:numId="13">
    <w:abstractNumId w:val="37"/>
  </w:num>
  <w:num w:numId="14">
    <w:abstractNumId w:val="9"/>
  </w:num>
  <w:num w:numId="15">
    <w:abstractNumId w:val="39"/>
  </w:num>
  <w:num w:numId="16">
    <w:abstractNumId w:val="3"/>
  </w:num>
  <w:num w:numId="17">
    <w:abstractNumId w:val="12"/>
  </w:num>
  <w:num w:numId="18">
    <w:abstractNumId w:val="24"/>
  </w:num>
  <w:num w:numId="19">
    <w:abstractNumId w:val="31"/>
  </w:num>
  <w:num w:numId="20">
    <w:abstractNumId w:val="14"/>
  </w:num>
  <w:num w:numId="21">
    <w:abstractNumId w:val="33"/>
  </w:num>
  <w:num w:numId="22">
    <w:abstractNumId w:val="60"/>
  </w:num>
  <w:num w:numId="23">
    <w:abstractNumId w:val="15"/>
  </w:num>
  <w:num w:numId="24">
    <w:abstractNumId w:val="18"/>
  </w:num>
  <w:num w:numId="25">
    <w:abstractNumId w:val="22"/>
  </w:num>
  <w:num w:numId="26">
    <w:abstractNumId w:val="41"/>
  </w:num>
  <w:num w:numId="27">
    <w:abstractNumId w:val="49"/>
  </w:num>
  <w:num w:numId="28">
    <w:abstractNumId w:val="47"/>
  </w:num>
  <w:num w:numId="29">
    <w:abstractNumId w:val="50"/>
  </w:num>
  <w:num w:numId="30">
    <w:abstractNumId w:val="55"/>
  </w:num>
  <w:num w:numId="31">
    <w:abstractNumId w:val="59"/>
  </w:num>
  <w:num w:numId="32">
    <w:abstractNumId w:val="26"/>
  </w:num>
  <w:num w:numId="33">
    <w:abstractNumId w:val="52"/>
  </w:num>
  <w:num w:numId="34">
    <w:abstractNumId w:val="21"/>
  </w:num>
  <w:num w:numId="35">
    <w:abstractNumId w:val="2"/>
  </w:num>
  <w:num w:numId="36">
    <w:abstractNumId w:val="27"/>
  </w:num>
  <w:num w:numId="37">
    <w:abstractNumId w:val="0"/>
  </w:num>
  <w:num w:numId="38">
    <w:abstractNumId w:val="42"/>
  </w:num>
  <w:num w:numId="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5"/>
  </w:num>
  <w:num w:numId="42">
    <w:abstractNumId w:val="29"/>
  </w:num>
  <w:num w:numId="43">
    <w:abstractNumId w:val="51"/>
  </w:num>
  <w:num w:numId="44">
    <w:abstractNumId w:val="5"/>
  </w:num>
  <w:num w:numId="45">
    <w:abstractNumId w:val="54"/>
  </w:num>
  <w:num w:numId="46">
    <w:abstractNumId w:val="16"/>
  </w:num>
  <w:num w:numId="47">
    <w:abstractNumId w:val="46"/>
  </w:num>
  <w:num w:numId="48">
    <w:abstractNumId w:val="6"/>
  </w:num>
  <w:num w:numId="49">
    <w:abstractNumId w:val="44"/>
  </w:num>
  <w:num w:numId="50">
    <w:abstractNumId w:val="57"/>
  </w:num>
  <w:num w:numId="51">
    <w:abstractNumId w:val="23"/>
  </w:num>
  <w:num w:numId="52">
    <w:abstractNumId w:val="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4"/>
  </w:num>
  <w:num w:numId="70">
    <w:abstractNumId w:val="7"/>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num>
  <w:num w:numId="82">
    <w:abstractNumId w:val="8"/>
  </w:num>
  <w:num w:numId="83">
    <w:abstractNumId w:val="25"/>
  </w:num>
  <w:num w:numId="84">
    <w:abstractNumId w:val="10"/>
  </w:num>
  <w:num w:numId="85">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9F"/>
    <w:rsid w:val="000009B7"/>
    <w:rsid w:val="000020E4"/>
    <w:rsid w:val="00002A23"/>
    <w:rsid w:val="0000510A"/>
    <w:rsid w:val="0000580B"/>
    <w:rsid w:val="00005C05"/>
    <w:rsid w:val="000069F8"/>
    <w:rsid w:val="00006DCA"/>
    <w:rsid w:val="00007472"/>
    <w:rsid w:val="00007B94"/>
    <w:rsid w:val="00010671"/>
    <w:rsid w:val="00011654"/>
    <w:rsid w:val="00011E21"/>
    <w:rsid w:val="0001203F"/>
    <w:rsid w:val="00012709"/>
    <w:rsid w:val="00014353"/>
    <w:rsid w:val="00014B09"/>
    <w:rsid w:val="00014E72"/>
    <w:rsid w:val="000158CF"/>
    <w:rsid w:val="00016427"/>
    <w:rsid w:val="0001705D"/>
    <w:rsid w:val="00017076"/>
    <w:rsid w:val="00017217"/>
    <w:rsid w:val="00017A20"/>
    <w:rsid w:val="00017BC6"/>
    <w:rsid w:val="00020AFD"/>
    <w:rsid w:val="00020FA9"/>
    <w:rsid w:val="000210E6"/>
    <w:rsid w:val="000213CC"/>
    <w:rsid w:val="00021B48"/>
    <w:rsid w:val="000230E5"/>
    <w:rsid w:val="00023252"/>
    <w:rsid w:val="00023358"/>
    <w:rsid w:val="000235F8"/>
    <w:rsid w:val="000236F7"/>
    <w:rsid w:val="00023883"/>
    <w:rsid w:val="000239B6"/>
    <w:rsid w:val="00026A07"/>
    <w:rsid w:val="000273BD"/>
    <w:rsid w:val="000278C7"/>
    <w:rsid w:val="00030299"/>
    <w:rsid w:val="0003068A"/>
    <w:rsid w:val="00030CDB"/>
    <w:rsid w:val="000310A8"/>
    <w:rsid w:val="00031608"/>
    <w:rsid w:val="00031742"/>
    <w:rsid w:val="00032522"/>
    <w:rsid w:val="00032913"/>
    <w:rsid w:val="000329EB"/>
    <w:rsid w:val="00033317"/>
    <w:rsid w:val="0003378B"/>
    <w:rsid w:val="00033899"/>
    <w:rsid w:val="00034787"/>
    <w:rsid w:val="00034C0F"/>
    <w:rsid w:val="00034E02"/>
    <w:rsid w:val="0003556F"/>
    <w:rsid w:val="00035BA7"/>
    <w:rsid w:val="0003629A"/>
    <w:rsid w:val="00036D2D"/>
    <w:rsid w:val="00036FF4"/>
    <w:rsid w:val="00037E1D"/>
    <w:rsid w:val="00037EF4"/>
    <w:rsid w:val="00038B34"/>
    <w:rsid w:val="00040D4F"/>
    <w:rsid w:val="000416EE"/>
    <w:rsid w:val="00042473"/>
    <w:rsid w:val="000439EA"/>
    <w:rsid w:val="00043F0B"/>
    <w:rsid w:val="0004469D"/>
    <w:rsid w:val="0004498C"/>
    <w:rsid w:val="000449DD"/>
    <w:rsid w:val="00044B78"/>
    <w:rsid w:val="000459B3"/>
    <w:rsid w:val="00047AB1"/>
    <w:rsid w:val="00050A10"/>
    <w:rsid w:val="0005112D"/>
    <w:rsid w:val="00051BEC"/>
    <w:rsid w:val="00052D8F"/>
    <w:rsid w:val="000534A3"/>
    <w:rsid w:val="000535F5"/>
    <w:rsid w:val="00053886"/>
    <w:rsid w:val="00053C0B"/>
    <w:rsid w:val="00055A65"/>
    <w:rsid w:val="00055BDF"/>
    <w:rsid w:val="00055DF4"/>
    <w:rsid w:val="000560F6"/>
    <w:rsid w:val="00056EB2"/>
    <w:rsid w:val="00057683"/>
    <w:rsid w:val="00060CDF"/>
    <w:rsid w:val="0006114C"/>
    <w:rsid w:val="0006192E"/>
    <w:rsid w:val="00061B82"/>
    <w:rsid w:val="000632BA"/>
    <w:rsid w:val="00063968"/>
    <w:rsid w:val="0006433C"/>
    <w:rsid w:val="00064344"/>
    <w:rsid w:val="000643A3"/>
    <w:rsid w:val="00064670"/>
    <w:rsid w:val="000654BD"/>
    <w:rsid w:val="00066C0C"/>
    <w:rsid w:val="00066E0C"/>
    <w:rsid w:val="00066F0E"/>
    <w:rsid w:val="000672F7"/>
    <w:rsid w:val="00067896"/>
    <w:rsid w:val="00067B63"/>
    <w:rsid w:val="0007112A"/>
    <w:rsid w:val="00071333"/>
    <w:rsid w:val="00071F69"/>
    <w:rsid w:val="00072986"/>
    <w:rsid w:val="000741C3"/>
    <w:rsid w:val="00074BBA"/>
    <w:rsid w:val="00075A82"/>
    <w:rsid w:val="00076540"/>
    <w:rsid w:val="00076A69"/>
    <w:rsid w:val="00076DDE"/>
    <w:rsid w:val="00076F21"/>
    <w:rsid w:val="0007721B"/>
    <w:rsid w:val="00080925"/>
    <w:rsid w:val="00080AB2"/>
    <w:rsid w:val="00080C9B"/>
    <w:rsid w:val="00080D7F"/>
    <w:rsid w:val="00080E34"/>
    <w:rsid w:val="00081BE7"/>
    <w:rsid w:val="0008247D"/>
    <w:rsid w:val="000826C8"/>
    <w:rsid w:val="0008302A"/>
    <w:rsid w:val="00084344"/>
    <w:rsid w:val="00084B2B"/>
    <w:rsid w:val="0008507A"/>
    <w:rsid w:val="0008508B"/>
    <w:rsid w:val="00085225"/>
    <w:rsid w:val="0008536B"/>
    <w:rsid w:val="0008597E"/>
    <w:rsid w:val="00086063"/>
    <w:rsid w:val="00086445"/>
    <w:rsid w:val="000910A2"/>
    <w:rsid w:val="000919BB"/>
    <w:rsid w:val="000926BA"/>
    <w:rsid w:val="00092B76"/>
    <w:rsid w:val="00093083"/>
    <w:rsid w:val="000930DF"/>
    <w:rsid w:val="00093293"/>
    <w:rsid w:val="00093DD3"/>
    <w:rsid w:val="000953CE"/>
    <w:rsid w:val="00095806"/>
    <w:rsid w:val="000964BD"/>
    <w:rsid w:val="000A024C"/>
    <w:rsid w:val="000A0506"/>
    <w:rsid w:val="000A0637"/>
    <w:rsid w:val="000A0C1D"/>
    <w:rsid w:val="000A1536"/>
    <w:rsid w:val="000A2CBA"/>
    <w:rsid w:val="000A3D91"/>
    <w:rsid w:val="000A3E6C"/>
    <w:rsid w:val="000A3EEC"/>
    <w:rsid w:val="000A5583"/>
    <w:rsid w:val="000A571A"/>
    <w:rsid w:val="000A57E8"/>
    <w:rsid w:val="000A7D0D"/>
    <w:rsid w:val="000B18C3"/>
    <w:rsid w:val="000B2AD9"/>
    <w:rsid w:val="000B2B6A"/>
    <w:rsid w:val="000B307D"/>
    <w:rsid w:val="000B5494"/>
    <w:rsid w:val="000B5758"/>
    <w:rsid w:val="000B5C95"/>
    <w:rsid w:val="000B636B"/>
    <w:rsid w:val="000C00AD"/>
    <w:rsid w:val="000C00D1"/>
    <w:rsid w:val="000C10E1"/>
    <w:rsid w:val="000C126B"/>
    <w:rsid w:val="000C16BE"/>
    <w:rsid w:val="000C2118"/>
    <w:rsid w:val="000C28FA"/>
    <w:rsid w:val="000C3664"/>
    <w:rsid w:val="000C3EA7"/>
    <w:rsid w:val="000C46CD"/>
    <w:rsid w:val="000C4E70"/>
    <w:rsid w:val="000C4F3A"/>
    <w:rsid w:val="000C5010"/>
    <w:rsid w:val="000C578D"/>
    <w:rsid w:val="000C5E5D"/>
    <w:rsid w:val="000C74C6"/>
    <w:rsid w:val="000D0426"/>
    <w:rsid w:val="000D0521"/>
    <w:rsid w:val="000D0CCE"/>
    <w:rsid w:val="000D23B6"/>
    <w:rsid w:val="000D23C8"/>
    <w:rsid w:val="000D3164"/>
    <w:rsid w:val="000D37E6"/>
    <w:rsid w:val="000D37E8"/>
    <w:rsid w:val="000D387C"/>
    <w:rsid w:val="000D3A0F"/>
    <w:rsid w:val="000D3E5A"/>
    <w:rsid w:val="000D4E95"/>
    <w:rsid w:val="000D5EB8"/>
    <w:rsid w:val="000D61B5"/>
    <w:rsid w:val="000D7062"/>
    <w:rsid w:val="000D7078"/>
    <w:rsid w:val="000E08D3"/>
    <w:rsid w:val="000E0A22"/>
    <w:rsid w:val="000E202D"/>
    <w:rsid w:val="000E22B8"/>
    <w:rsid w:val="000E3382"/>
    <w:rsid w:val="000E33FA"/>
    <w:rsid w:val="000E387C"/>
    <w:rsid w:val="000E3A79"/>
    <w:rsid w:val="000E4135"/>
    <w:rsid w:val="000E4296"/>
    <w:rsid w:val="000E577D"/>
    <w:rsid w:val="000E58D7"/>
    <w:rsid w:val="000E594F"/>
    <w:rsid w:val="000E64BE"/>
    <w:rsid w:val="000E6B1B"/>
    <w:rsid w:val="000E6C0A"/>
    <w:rsid w:val="000E7891"/>
    <w:rsid w:val="000E7A6F"/>
    <w:rsid w:val="000F0D8A"/>
    <w:rsid w:val="000F1093"/>
    <w:rsid w:val="000F1F6E"/>
    <w:rsid w:val="000F2A80"/>
    <w:rsid w:val="000F2DCC"/>
    <w:rsid w:val="000F2EF7"/>
    <w:rsid w:val="000F3113"/>
    <w:rsid w:val="000F3427"/>
    <w:rsid w:val="000F36D1"/>
    <w:rsid w:val="000F3795"/>
    <w:rsid w:val="000F3912"/>
    <w:rsid w:val="000F411E"/>
    <w:rsid w:val="000F4253"/>
    <w:rsid w:val="000F4387"/>
    <w:rsid w:val="000F533C"/>
    <w:rsid w:val="000F5651"/>
    <w:rsid w:val="000F5A1F"/>
    <w:rsid w:val="000F65C4"/>
    <w:rsid w:val="000F67D8"/>
    <w:rsid w:val="000F6941"/>
    <w:rsid w:val="000F77B1"/>
    <w:rsid w:val="000F7E35"/>
    <w:rsid w:val="001000AB"/>
    <w:rsid w:val="00100D43"/>
    <w:rsid w:val="00100EE8"/>
    <w:rsid w:val="001014FD"/>
    <w:rsid w:val="00101BFF"/>
    <w:rsid w:val="001020C9"/>
    <w:rsid w:val="00102845"/>
    <w:rsid w:val="00102959"/>
    <w:rsid w:val="00103349"/>
    <w:rsid w:val="00103C25"/>
    <w:rsid w:val="00104022"/>
    <w:rsid w:val="001045C3"/>
    <w:rsid w:val="001045F1"/>
    <w:rsid w:val="001052F6"/>
    <w:rsid w:val="00105858"/>
    <w:rsid w:val="00105FF3"/>
    <w:rsid w:val="00106B9D"/>
    <w:rsid w:val="00107382"/>
    <w:rsid w:val="00110985"/>
    <w:rsid w:val="001109BC"/>
    <w:rsid w:val="00111B5F"/>
    <w:rsid w:val="00112A3E"/>
    <w:rsid w:val="00112F15"/>
    <w:rsid w:val="00113634"/>
    <w:rsid w:val="001136FD"/>
    <w:rsid w:val="00114C3A"/>
    <w:rsid w:val="00115317"/>
    <w:rsid w:val="00115670"/>
    <w:rsid w:val="0011589C"/>
    <w:rsid w:val="00115B53"/>
    <w:rsid w:val="001161C3"/>
    <w:rsid w:val="001179FD"/>
    <w:rsid w:val="001199CA"/>
    <w:rsid w:val="00120EF4"/>
    <w:rsid w:val="00121143"/>
    <w:rsid w:val="001211DE"/>
    <w:rsid w:val="00121659"/>
    <w:rsid w:val="0012239D"/>
    <w:rsid w:val="00122430"/>
    <w:rsid w:val="00122829"/>
    <w:rsid w:val="00122C4B"/>
    <w:rsid w:val="00122DE0"/>
    <w:rsid w:val="00123AF7"/>
    <w:rsid w:val="00123C0E"/>
    <w:rsid w:val="00123E31"/>
    <w:rsid w:val="00124AD8"/>
    <w:rsid w:val="00124C32"/>
    <w:rsid w:val="00124E5F"/>
    <w:rsid w:val="001250BB"/>
    <w:rsid w:val="00126EFD"/>
    <w:rsid w:val="00126F11"/>
    <w:rsid w:val="00127598"/>
    <w:rsid w:val="00127832"/>
    <w:rsid w:val="00130C0F"/>
    <w:rsid w:val="00130F63"/>
    <w:rsid w:val="00131985"/>
    <w:rsid w:val="00131DF1"/>
    <w:rsid w:val="00132DB3"/>
    <w:rsid w:val="0013391B"/>
    <w:rsid w:val="0013393D"/>
    <w:rsid w:val="001344C3"/>
    <w:rsid w:val="001366DF"/>
    <w:rsid w:val="00137242"/>
    <w:rsid w:val="00137265"/>
    <w:rsid w:val="001376B5"/>
    <w:rsid w:val="00137706"/>
    <w:rsid w:val="001378A1"/>
    <w:rsid w:val="00137B2C"/>
    <w:rsid w:val="00137E49"/>
    <w:rsid w:val="0014092F"/>
    <w:rsid w:val="00141011"/>
    <w:rsid w:val="0014176C"/>
    <w:rsid w:val="00141EEC"/>
    <w:rsid w:val="00142C50"/>
    <w:rsid w:val="00142E18"/>
    <w:rsid w:val="0014527D"/>
    <w:rsid w:val="001457AF"/>
    <w:rsid w:val="00145B49"/>
    <w:rsid w:val="0014735F"/>
    <w:rsid w:val="0014753C"/>
    <w:rsid w:val="00147E21"/>
    <w:rsid w:val="0015008B"/>
    <w:rsid w:val="001500DF"/>
    <w:rsid w:val="001506AD"/>
    <w:rsid w:val="00152281"/>
    <w:rsid w:val="001537B0"/>
    <w:rsid w:val="00154B73"/>
    <w:rsid w:val="00154EC5"/>
    <w:rsid w:val="001559A5"/>
    <w:rsid w:val="00155CD3"/>
    <w:rsid w:val="00155E1A"/>
    <w:rsid w:val="001560C9"/>
    <w:rsid w:val="001564B7"/>
    <w:rsid w:val="00156BBC"/>
    <w:rsid w:val="00156E0F"/>
    <w:rsid w:val="001613A3"/>
    <w:rsid w:val="0016175C"/>
    <w:rsid w:val="00161CEB"/>
    <w:rsid w:val="00162EDF"/>
    <w:rsid w:val="00162F74"/>
    <w:rsid w:val="001638C7"/>
    <w:rsid w:val="00164256"/>
    <w:rsid w:val="001642D3"/>
    <w:rsid w:val="00164CAC"/>
    <w:rsid w:val="00165230"/>
    <w:rsid w:val="001662B7"/>
    <w:rsid w:val="001669AD"/>
    <w:rsid w:val="001669C6"/>
    <w:rsid w:val="00166B87"/>
    <w:rsid w:val="00167815"/>
    <w:rsid w:val="001706BA"/>
    <w:rsid w:val="001715E1"/>
    <w:rsid w:val="00171774"/>
    <w:rsid w:val="00171DB0"/>
    <w:rsid w:val="00172724"/>
    <w:rsid w:val="001728CC"/>
    <w:rsid w:val="00172BD4"/>
    <w:rsid w:val="00172EA0"/>
    <w:rsid w:val="00172EF7"/>
    <w:rsid w:val="00174383"/>
    <w:rsid w:val="00174C21"/>
    <w:rsid w:val="00174DA4"/>
    <w:rsid w:val="00174DC3"/>
    <w:rsid w:val="00174EF7"/>
    <w:rsid w:val="0017532D"/>
    <w:rsid w:val="00175B93"/>
    <w:rsid w:val="00175C95"/>
    <w:rsid w:val="00175CF2"/>
    <w:rsid w:val="00175F82"/>
    <w:rsid w:val="00176F57"/>
    <w:rsid w:val="00177DF3"/>
    <w:rsid w:val="00180205"/>
    <w:rsid w:val="00180588"/>
    <w:rsid w:val="00180B79"/>
    <w:rsid w:val="00180BDC"/>
    <w:rsid w:val="0018114A"/>
    <w:rsid w:val="001811A6"/>
    <w:rsid w:val="0018257C"/>
    <w:rsid w:val="00182758"/>
    <w:rsid w:val="001832F5"/>
    <w:rsid w:val="00183EA5"/>
    <w:rsid w:val="00184534"/>
    <w:rsid w:val="001906B9"/>
    <w:rsid w:val="00191161"/>
    <w:rsid w:val="00191373"/>
    <w:rsid w:val="00192075"/>
    <w:rsid w:val="0019281C"/>
    <w:rsid w:val="00193865"/>
    <w:rsid w:val="001948FE"/>
    <w:rsid w:val="001954DE"/>
    <w:rsid w:val="00195634"/>
    <w:rsid w:val="001957AF"/>
    <w:rsid w:val="0019655E"/>
    <w:rsid w:val="00196A79"/>
    <w:rsid w:val="00197616"/>
    <w:rsid w:val="001A008C"/>
    <w:rsid w:val="001A0311"/>
    <w:rsid w:val="001A0D06"/>
    <w:rsid w:val="001A1036"/>
    <w:rsid w:val="001A10F8"/>
    <w:rsid w:val="001A1BF5"/>
    <w:rsid w:val="001A4658"/>
    <w:rsid w:val="001A56F5"/>
    <w:rsid w:val="001A5709"/>
    <w:rsid w:val="001A5A01"/>
    <w:rsid w:val="001A5D59"/>
    <w:rsid w:val="001A71EA"/>
    <w:rsid w:val="001A75C6"/>
    <w:rsid w:val="001A7B8D"/>
    <w:rsid w:val="001B13FB"/>
    <w:rsid w:val="001B1643"/>
    <w:rsid w:val="001B1834"/>
    <w:rsid w:val="001B189E"/>
    <w:rsid w:val="001B1D84"/>
    <w:rsid w:val="001B24DF"/>
    <w:rsid w:val="001B25EE"/>
    <w:rsid w:val="001B297A"/>
    <w:rsid w:val="001B7135"/>
    <w:rsid w:val="001B7547"/>
    <w:rsid w:val="001B7D39"/>
    <w:rsid w:val="001C0B5E"/>
    <w:rsid w:val="001C0BD5"/>
    <w:rsid w:val="001C3A09"/>
    <w:rsid w:val="001C4430"/>
    <w:rsid w:val="001C4BBF"/>
    <w:rsid w:val="001C4F7D"/>
    <w:rsid w:val="001C518B"/>
    <w:rsid w:val="001C52DB"/>
    <w:rsid w:val="001C6CC5"/>
    <w:rsid w:val="001C7AB2"/>
    <w:rsid w:val="001D0BE1"/>
    <w:rsid w:val="001D0D46"/>
    <w:rsid w:val="001D10D6"/>
    <w:rsid w:val="001D3CB4"/>
    <w:rsid w:val="001D3F95"/>
    <w:rsid w:val="001D668B"/>
    <w:rsid w:val="001D7320"/>
    <w:rsid w:val="001D7379"/>
    <w:rsid w:val="001D7FB2"/>
    <w:rsid w:val="001E07B3"/>
    <w:rsid w:val="001E11E1"/>
    <w:rsid w:val="001E1DF5"/>
    <w:rsid w:val="001E20C0"/>
    <w:rsid w:val="001E299F"/>
    <w:rsid w:val="001E2FC4"/>
    <w:rsid w:val="001E4B76"/>
    <w:rsid w:val="001E5210"/>
    <w:rsid w:val="001E564F"/>
    <w:rsid w:val="001E7533"/>
    <w:rsid w:val="001E7999"/>
    <w:rsid w:val="001F13B5"/>
    <w:rsid w:val="001F1CD2"/>
    <w:rsid w:val="001F3160"/>
    <w:rsid w:val="001F415F"/>
    <w:rsid w:val="001F42D7"/>
    <w:rsid w:val="001F4FBE"/>
    <w:rsid w:val="001F5491"/>
    <w:rsid w:val="001F57A3"/>
    <w:rsid w:val="001F59F8"/>
    <w:rsid w:val="001F5B94"/>
    <w:rsid w:val="001F6350"/>
    <w:rsid w:val="001F657C"/>
    <w:rsid w:val="001F6902"/>
    <w:rsid w:val="001F72AF"/>
    <w:rsid w:val="00200977"/>
    <w:rsid w:val="00202589"/>
    <w:rsid w:val="00202F6D"/>
    <w:rsid w:val="00203083"/>
    <w:rsid w:val="002033A1"/>
    <w:rsid w:val="00203634"/>
    <w:rsid w:val="00203B6F"/>
    <w:rsid w:val="002051A8"/>
    <w:rsid w:val="0020520D"/>
    <w:rsid w:val="00205B6E"/>
    <w:rsid w:val="002061C1"/>
    <w:rsid w:val="00206C37"/>
    <w:rsid w:val="00206DCB"/>
    <w:rsid w:val="00207072"/>
    <w:rsid w:val="0020794C"/>
    <w:rsid w:val="00207C1B"/>
    <w:rsid w:val="00207EEE"/>
    <w:rsid w:val="00210916"/>
    <w:rsid w:val="00210AA3"/>
    <w:rsid w:val="00210D1B"/>
    <w:rsid w:val="002114D9"/>
    <w:rsid w:val="002122AD"/>
    <w:rsid w:val="002122EE"/>
    <w:rsid w:val="0021279B"/>
    <w:rsid w:val="00213C9E"/>
    <w:rsid w:val="00213FC6"/>
    <w:rsid w:val="002169A2"/>
    <w:rsid w:val="00216D19"/>
    <w:rsid w:val="0021714C"/>
    <w:rsid w:val="00217210"/>
    <w:rsid w:val="00217226"/>
    <w:rsid w:val="002172CA"/>
    <w:rsid w:val="00217FB9"/>
    <w:rsid w:val="0022034D"/>
    <w:rsid w:val="002205E2"/>
    <w:rsid w:val="00220AA2"/>
    <w:rsid w:val="00220C44"/>
    <w:rsid w:val="002214CF"/>
    <w:rsid w:val="002217AF"/>
    <w:rsid w:val="00221C83"/>
    <w:rsid w:val="00221CD5"/>
    <w:rsid w:val="002233F3"/>
    <w:rsid w:val="002235C1"/>
    <w:rsid w:val="00223DC3"/>
    <w:rsid w:val="0022401C"/>
    <w:rsid w:val="00224129"/>
    <w:rsid w:val="002242A4"/>
    <w:rsid w:val="00224467"/>
    <w:rsid w:val="00226A6F"/>
    <w:rsid w:val="00227618"/>
    <w:rsid w:val="00227951"/>
    <w:rsid w:val="0023006E"/>
    <w:rsid w:val="0023012A"/>
    <w:rsid w:val="00231817"/>
    <w:rsid w:val="00231A7F"/>
    <w:rsid w:val="00231B55"/>
    <w:rsid w:val="0023200F"/>
    <w:rsid w:val="002338C5"/>
    <w:rsid w:val="00234080"/>
    <w:rsid w:val="002353E3"/>
    <w:rsid w:val="00235729"/>
    <w:rsid w:val="00235DD8"/>
    <w:rsid w:val="00236283"/>
    <w:rsid w:val="002362B9"/>
    <w:rsid w:val="0023696D"/>
    <w:rsid w:val="00236DE2"/>
    <w:rsid w:val="002371BC"/>
    <w:rsid w:val="0023788D"/>
    <w:rsid w:val="00237BFA"/>
    <w:rsid w:val="00240ACA"/>
    <w:rsid w:val="00240D63"/>
    <w:rsid w:val="00241FEB"/>
    <w:rsid w:val="002424ED"/>
    <w:rsid w:val="00242501"/>
    <w:rsid w:val="002428E0"/>
    <w:rsid w:val="00242B8F"/>
    <w:rsid w:val="00242F4B"/>
    <w:rsid w:val="002447F1"/>
    <w:rsid w:val="00244A7A"/>
    <w:rsid w:val="00250D62"/>
    <w:rsid w:val="00251647"/>
    <w:rsid w:val="0025180D"/>
    <w:rsid w:val="00251AC7"/>
    <w:rsid w:val="00251C3A"/>
    <w:rsid w:val="00252B08"/>
    <w:rsid w:val="00252C25"/>
    <w:rsid w:val="00253B6D"/>
    <w:rsid w:val="00254984"/>
    <w:rsid w:val="002550F0"/>
    <w:rsid w:val="0025550C"/>
    <w:rsid w:val="00256019"/>
    <w:rsid w:val="002564D4"/>
    <w:rsid w:val="00256674"/>
    <w:rsid w:val="0025680E"/>
    <w:rsid w:val="002568CD"/>
    <w:rsid w:val="00256942"/>
    <w:rsid w:val="002569E2"/>
    <w:rsid w:val="00256F5A"/>
    <w:rsid w:val="0025702C"/>
    <w:rsid w:val="00257719"/>
    <w:rsid w:val="002577CE"/>
    <w:rsid w:val="00260D17"/>
    <w:rsid w:val="00261CCA"/>
    <w:rsid w:val="00261D15"/>
    <w:rsid w:val="00262A34"/>
    <w:rsid w:val="00263389"/>
    <w:rsid w:val="00263838"/>
    <w:rsid w:val="0026391F"/>
    <w:rsid w:val="00263AC1"/>
    <w:rsid w:val="0026498A"/>
    <w:rsid w:val="00264A03"/>
    <w:rsid w:val="00264C79"/>
    <w:rsid w:val="0026651E"/>
    <w:rsid w:val="00267242"/>
    <w:rsid w:val="002705ED"/>
    <w:rsid w:val="00271246"/>
    <w:rsid w:val="00271B14"/>
    <w:rsid w:val="00271CAD"/>
    <w:rsid w:val="00271DCD"/>
    <w:rsid w:val="0027352F"/>
    <w:rsid w:val="002737B2"/>
    <w:rsid w:val="00274814"/>
    <w:rsid w:val="002752E2"/>
    <w:rsid w:val="00275512"/>
    <w:rsid w:val="002755B2"/>
    <w:rsid w:val="00275D20"/>
    <w:rsid w:val="00276783"/>
    <w:rsid w:val="0027724A"/>
    <w:rsid w:val="00277EBB"/>
    <w:rsid w:val="00280A9E"/>
    <w:rsid w:val="00281316"/>
    <w:rsid w:val="00281EC3"/>
    <w:rsid w:val="0028203C"/>
    <w:rsid w:val="002823DE"/>
    <w:rsid w:val="00283320"/>
    <w:rsid w:val="0028356A"/>
    <w:rsid w:val="002836D1"/>
    <w:rsid w:val="002838CF"/>
    <w:rsid w:val="00283DA5"/>
    <w:rsid w:val="00284023"/>
    <w:rsid w:val="002857AD"/>
    <w:rsid w:val="002857C6"/>
    <w:rsid w:val="0028699A"/>
    <w:rsid w:val="00286BDC"/>
    <w:rsid w:val="00286F1B"/>
    <w:rsid w:val="002872A0"/>
    <w:rsid w:val="00287D96"/>
    <w:rsid w:val="0029131A"/>
    <w:rsid w:val="002924E8"/>
    <w:rsid w:val="00292966"/>
    <w:rsid w:val="00293B38"/>
    <w:rsid w:val="00293D6C"/>
    <w:rsid w:val="00294A6F"/>
    <w:rsid w:val="00294D65"/>
    <w:rsid w:val="002961A4"/>
    <w:rsid w:val="00296315"/>
    <w:rsid w:val="00296432"/>
    <w:rsid w:val="00296D91"/>
    <w:rsid w:val="00296EB2"/>
    <w:rsid w:val="00297BF6"/>
    <w:rsid w:val="002A0165"/>
    <w:rsid w:val="002A0F3B"/>
    <w:rsid w:val="002A1099"/>
    <w:rsid w:val="002A14F0"/>
    <w:rsid w:val="002A1B61"/>
    <w:rsid w:val="002A3580"/>
    <w:rsid w:val="002A3FC5"/>
    <w:rsid w:val="002A453C"/>
    <w:rsid w:val="002A67C9"/>
    <w:rsid w:val="002A70C1"/>
    <w:rsid w:val="002A7107"/>
    <w:rsid w:val="002A76B0"/>
    <w:rsid w:val="002A76C3"/>
    <w:rsid w:val="002A7819"/>
    <w:rsid w:val="002B048D"/>
    <w:rsid w:val="002B499E"/>
    <w:rsid w:val="002B5412"/>
    <w:rsid w:val="002B55B2"/>
    <w:rsid w:val="002B5E40"/>
    <w:rsid w:val="002B67BC"/>
    <w:rsid w:val="002B71AE"/>
    <w:rsid w:val="002C05CA"/>
    <w:rsid w:val="002C0BB7"/>
    <w:rsid w:val="002C0C05"/>
    <w:rsid w:val="002C0E21"/>
    <w:rsid w:val="002C0E9D"/>
    <w:rsid w:val="002C184A"/>
    <w:rsid w:val="002C2509"/>
    <w:rsid w:val="002C2875"/>
    <w:rsid w:val="002C2FF0"/>
    <w:rsid w:val="002C3C03"/>
    <w:rsid w:val="002C3D26"/>
    <w:rsid w:val="002C44D9"/>
    <w:rsid w:val="002C47A6"/>
    <w:rsid w:val="002C58DE"/>
    <w:rsid w:val="002C6359"/>
    <w:rsid w:val="002C677A"/>
    <w:rsid w:val="002C6A77"/>
    <w:rsid w:val="002C70E8"/>
    <w:rsid w:val="002C7102"/>
    <w:rsid w:val="002C71B5"/>
    <w:rsid w:val="002D1467"/>
    <w:rsid w:val="002D170D"/>
    <w:rsid w:val="002D2206"/>
    <w:rsid w:val="002D2354"/>
    <w:rsid w:val="002D27D0"/>
    <w:rsid w:val="002D3221"/>
    <w:rsid w:val="002D3554"/>
    <w:rsid w:val="002D3941"/>
    <w:rsid w:val="002D3BB8"/>
    <w:rsid w:val="002D473F"/>
    <w:rsid w:val="002D5239"/>
    <w:rsid w:val="002D54EF"/>
    <w:rsid w:val="002D5722"/>
    <w:rsid w:val="002D5D81"/>
    <w:rsid w:val="002D7631"/>
    <w:rsid w:val="002D768A"/>
    <w:rsid w:val="002E0CA3"/>
    <w:rsid w:val="002E17C0"/>
    <w:rsid w:val="002E1FB2"/>
    <w:rsid w:val="002E2148"/>
    <w:rsid w:val="002E37A6"/>
    <w:rsid w:val="002E4129"/>
    <w:rsid w:val="002E4745"/>
    <w:rsid w:val="002E52A4"/>
    <w:rsid w:val="002E6278"/>
    <w:rsid w:val="002F1392"/>
    <w:rsid w:val="002F1ED6"/>
    <w:rsid w:val="002F321C"/>
    <w:rsid w:val="002F62D6"/>
    <w:rsid w:val="002F6C5A"/>
    <w:rsid w:val="002F7CAD"/>
    <w:rsid w:val="003000F5"/>
    <w:rsid w:val="00301913"/>
    <w:rsid w:val="00301AD5"/>
    <w:rsid w:val="00302574"/>
    <w:rsid w:val="003028B8"/>
    <w:rsid w:val="003029DC"/>
    <w:rsid w:val="00302BF7"/>
    <w:rsid w:val="00302C0C"/>
    <w:rsid w:val="00302D24"/>
    <w:rsid w:val="00303E32"/>
    <w:rsid w:val="003041D5"/>
    <w:rsid w:val="003046A3"/>
    <w:rsid w:val="00304AE8"/>
    <w:rsid w:val="00304F99"/>
    <w:rsid w:val="003053D1"/>
    <w:rsid w:val="00305B88"/>
    <w:rsid w:val="00306755"/>
    <w:rsid w:val="00306A7D"/>
    <w:rsid w:val="00306DA3"/>
    <w:rsid w:val="00307112"/>
    <w:rsid w:val="003075EB"/>
    <w:rsid w:val="0031022C"/>
    <w:rsid w:val="003104A4"/>
    <w:rsid w:val="00310639"/>
    <w:rsid w:val="0031078C"/>
    <w:rsid w:val="00310955"/>
    <w:rsid w:val="0031170D"/>
    <w:rsid w:val="00311923"/>
    <w:rsid w:val="00311B07"/>
    <w:rsid w:val="0031203D"/>
    <w:rsid w:val="0031280B"/>
    <w:rsid w:val="003128D3"/>
    <w:rsid w:val="003140D5"/>
    <w:rsid w:val="00314F8C"/>
    <w:rsid w:val="00315CF2"/>
    <w:rsid w:val="00315F62"/>
    <w:rsid w:val="00316FEC"/>
    <w:rsid w:val="00317CAA"/>
    <w:rsid w:val="00317E9D"/>
    <w:rsid w:val="00320263"/>
    <w:rsid w:val="003204B0"/>
    <w:rsid w:val="00320778"/>
    <w:rsid w:val="00320E00"/>
    <w:rsid w:val="00321402"/>
    <w:rsid w:val="003235DF"/>
    <w:rsid w:val="00323C4E"/>
    <w:rsid w:val="00323CD7"/>
    <w:rsid w:val="003244BE"/>
    <w:rsid w:val="003253BD"/>
    <w:rsid w:val="003257D9"/>
    <w:rsid w:val="0032655A"/>
    <w:rsid w:val="00326DAA"/>
    <w:rsid w:val="00327819"/>
    <w:rsid w:val="00331304"/>
    <w:rsid w:val="0033137A"/>
    <w:rsid w:val="00332753"/>
    <w:rsid w:val="00333F01"/>
    <w:rsid w:val="003343C7"/>
    <w:rsid w:val="0033494C"/>
    <w:rsid w:val="003367DF"/>
    <w:rsid w:val="003369F2"/>
    <w:rsid w:val="0033703F"/>
    <w:rsid w:val="00337AFA"/>
    <w:rsid w:val="00340AA3"/>
    <w:rsid w:val="00340F2E"/>
    <w:rsid w:val="00342496"/>
    <w:rsid w:val="003428CE"/>
    <w:rsid w:val="003430F1"/>
    <w:rsid w:val="00343321"/>
    <w:rsid w:val="0034338F"/>
    <w:rsid w:val="00343AF1"/>
    <w:rsid w:val="00343CD7"/>
    <w:rsid w:val="00344343"/>
    <w:rsid w:val="00345904"/>
    <w:rsid w:val="00345D4B"/>
    <w:rsid w:val="00346011"/>
    <w:rsid w:val="00346935"/>
    <w:rsid w:val="0034693C"/>
    <w:rsid w:val="0034787A"/>
    <w:rsid w:val="003479C4"/>
    <w:rsid w:val="00347AD3"/>
    <w:rsid w:val="0035076C"/>
    <w:rsid w:val="00350F1D"/>
    <w:rsid w:val="00351780"/>
    <w:rsid w:val="00351A31"/>
    <w:rsid w:val="00351E16"/>
    <w:rsid w:val="00352C19"/>
    <w:rsid w:val="003536EB"/>
    <w:rsid w:val="00353C10"/>
    <w:rsid w:val="00353E6F"/>
    <w:rsid w:val="0035425C"/>
    <w:rsid w:val="00354ECC"/>
    <w:rsid w:val="00354F5F"/>
    <w:rsid w:val="003554E3"/>
    <w:rsid w:val="00356C52"/>
    <w:rsid w:val="003571CA"/>
    <w:rsid w:val="0035744F"/>
    <w:rsid w:val="00357898"/>
    <w:rsid w:val="0035795F"/>
    <w:rsid w:val="00360D3E"/>
    <w:rsid w:val="00362776"/>
    <w:rsid w:val="003633F8"/>
    <w:rsid w:val="0036584B"/>
    <w:rsid w:val="00365986"/>
    <w:rsid w:val="00365BFA"/>
    <w:rsid w:val="003663D9"/>
    <w:rsid w:val="00367139"/>
    <w:rsid w:val="00367763"/>
    <w:rsid w:val="00367DE3"/>
    <w:rsid w:val="00367E78"/>
    <w:rsid w:val="00370F57"/>
    <w:rsid w:val="00371037"/>
    <w:rsid w:val="003713E6"/>
    <w:rsid w:val="003721D8"/>
    <w:rsid w:val="003726D5"/>
    <w:rsid w:val="00372D79"/>
    <w:rsid w:val="00372F91"/>
    <w:rsid w:val="00373213"/>
    <w:rsid w:val="00373628"/>
    <w:rsid w:val="00373C95"/>
    <w:rsid w:val="00374FC6"/>
    <w:rsid w:val="003760AB"/>
    <w:rsid w:val="0037678F"/>
    <w:rsid w:val="00377108"/>
    <w:rsid w:val="0037795D"/>
    <w:rsid w:val="00380D57"/>
    <w:rsid w:val="00381CB4"/>
    <w:rsid w:val="00381DBD"/>
    <w:rsid w:val="003844CD"/>
    <w:rsid w:val="00384BD1"/>
    <w:rsid w:val="003864B3"/>
    <w:rsid w:val="00390AC0"/>
    <w:rsid w:val="00390F99"/>
    <w:rsid w:val="003924F9"/>
    <w:rsid w:val="00392847"/>
    <w:rsid w:val="00393223"/>
    <w:rsid w:val="00394A77"/>
    <w:rsid w:val="0039543D"/>
    <w:rsid w:val="003955C7"/>
    <w:rsid w:val="0039584E"/>
    <w:rsid w:val="00395AAA"/>
    <w:rsid w:val="00395E70"/>
    <w:rsid w:val="00397595"/>
    <w:rsid w:val="00397CBD"/>
    <w:rsid w:val="00397DB2"/>
    <w:rsid w:val="003A0488"/>
    <w:rsid w:val="003A08C1"/>
    <w:rsid w:val="003A0DB1"/>
    <w:rsid w:val="003A1716"/>
    <w:rsid w:val="003A1F61"/>
    <w:rsid w:val="003A40B6"/>
    <w:rsid w:val="003A486D"/>
    <w:rsid w:val="003A4A13"/>
    <w:rsid w:val="003A51AB"/>
    <w:rsid w:val="003A54A0"/>
    <w:rsid w:val="003A55BC"/>
    <w:rsid w:val="003A56AA"/>
    <w:rsid w:val="003A6259"/>
    <w:rsid w:val="003A68A8"/>
    <w:rsid w:val="003A73BC"/>
    <w:rsid w:val="003A7462"/>
    <w:rsid w:val="003A76A4"/>
    <w:rsid w:val="003A790B"/>
    <w:rsid w:val="003A7CBE"/>
    <w:rsid w:val="003B0F17"/>
    <w:rsid w:val="003B3261"/>
    <w:rsid w:val="003B3D84"/>
    <w:rsid w:val="003B4427"/>
    <w:rsid w:val="003B45C6"/>
    <w:rsid w:val="003B46A5"/>
    <w:rsid w:val="003B49DE"/>
    <w:rsid w:val="003B4FAA"/>
    <w:rsid w:val="003B5071"/>
    <w:rsid w:val="003B5131"/>
    <w:rsid w:val="003B6081"/>
    <w:rsid w:val="003B6729"/>
    <w:rsid w:val="003B67DE"/>
    <w:rsid w:val="003B75D4"/>
    <w:rsid w:val="003C1564"/>
    <w:rsid w:val="003C1ACB"/>
    <w:rsid w:val="003C1EA4"/>
    <w:rsid w:val="003C26B2"/>
    <w:rsid w:val="003C354D"/>
    <w:rsid w:val="003C4ACD"/>
    <w:rsid w:val="003C5084"/>
    <w:rsid w:val="003C7583"/>
    <w:rsid w:val="003C794E"/>
    <w:rsid w:val="003C7D44"/>
    <w:rsid w:val="003D0507"/>
    <w:rsid w:val="003D0513"/>
    <w:rsid w:val="003D0BAB"/>
    <w:rsid w:val="003D0D33"/>
    <w:rsid w:val="003D125A"/>
    <w:rsid w:val="003D1872"/>
    <w:rsid w:val="003D1AC2"/>
    <w:rsid w:val="003D2754"/>
    <w:rsid w:val="003D31DF"/>
    <w:rsid w:val="003D5C16"/>
    <w:rsid w:val="003D65E2"/>
    <w:rsid w:val="003E01CD"/>
    <w:rsid w:val="003E0294"/>
    <w:rsid w:val="003E1275"/>
    <w:rsid w:val="003E1BD3"/>
    <w:rsid w:val="003E1D89"/>
    <w:rsid w:val="003E3924"/>
    <w:rsid w:val="003E473A"/>
    <w:rsid w:val="003E48E1"/>
    <w:rsid w:val="003E512D"/>
    <w:rsid w:val="003E5758"/>
    <w:rsid w:val="003E59D3"/>
    <w:rsid w:val="003E714A"/>
    <w:rsid w:val="003E7220"/>
    <w:rsid w:val="003E7FBD"/>
    <w:rsid w:val="003F01C6"/>
    <w:rsid w:val="003F0AB8"/>
    <w:rsid w:val="003F0B9F"/>
    <w:rsid w:val="003F12DA"/>
    <w:rsid w:val="003F2B7D"/>
    <w:rsid w:val="003F33B4"/>
    <w:rsid w:val="003F3E43"/>
    <w:rsid w:val="003F4D14"/>
    <w:rsid w:val="003F5DD4"/>
    <w:rsid w:val="003F60C8"/>
    <w:rsid w:val="003F6B52"/>
    <w:rsid w:val="003F6C6D"/>
    <w:rsid w:val="003F7144"/>
    <w:rsid w:val="004004E6"/>
    <w:rsid w:val="004005AE"/>
    <w:rsid w:val="0040073C"/>
    <w:rsid w:val="004010E4"/>
    <w:rsid w:val="004024E0"/>
    <w:rsid w:val="00402DBF"/>
    <w:rsid w:val="00404349"/>
    <w:rsid w:val="00404F83"/>
    <w:rsid w:val="0040517C"/>
    <w:rsid w:val="00405343"/>
    <w:rsid w:val="004058EE"/>
    <w:rsid w:val="00406047"/>
    <w:rsid w:val="0040689B"/>
    <w:rsid w:val="00407F13"/>
    <w:rsid w:val="00411C37"/>
    <w:rsid w:val="00412674"/>
    <w:rsid w:val="00412C7E"/>
    <w:rsid w:val="004135D3"/>
    <w:rsid w:val="00414110"/>
    <w:rsid w:val="00414397"/>
    <w:rsid w:val="0041475E"/>
    <w:rsid w:val="00414FBD"/>
    <w:rsid w:val="00415EEA"/>
    <w:rsid w:val="004168B1"/>
    <w:rsid w:val="00416932"/>
    <w:rsid w:val="00416F43"/>
    <w:rsid w:val="004173C2"/>
    <w:rsid w:val="00420046"/>
    <w:rsid w:val="0042033A"/>
    <w:rsid w:val="00420569"/>
    <w:rsid w:val="00420FCC"/>
    <w:rsid w:val="00421270"/>
    <w:rsid w:val="004219A7"/>
    <w:rsid w:val="00421A16"/>
    <w:rsid w:val="0042287B"/>
    <w:rsid w:val="0042306C"/>
    <w:rsid w:val="004232A4"/>
    <w:rsid w:val="004233E0"/>
    <w:rsid w:val="004237C4"/>
    <w:rsid w:val="0042505B"/>
    <w:rsid w:val="00425104"/>
    <w:rsid w:val="004257EB"/>
    <w:rsid w:val="0042599D"/>
    <w:rsid w:val="00426703"/>
    <w:rsid w:val="00427B89"/>
    <w:rsid w:val="00427BE2"/>
    <w:rsid w:val="00427E52"/>
    <w:rsid w:val="0043035A"/>
    <w:rsid w:val="004303C9"/>
    <w:rsid w:val="00430606"/>
    <w:rsid w:val="00430E01"/>
    <w:rsid w:val="0043155C"/>
    <w:rsid w:val="0043166D"/>
    <w:rsid w:val="00431B0A"/>
    <w:rsid w:val="00431D69"/>
    <w:rsid w:val="00432090"/>
    <w:rsid w:val="0043223E"/>
    <w:rsid w:val="00432681"/>
    <w:rsid w:val="004331F9"/>
    <w:rsid w:val="00433942"/>
    <w:rsid w:val="00433D5E"/>
    <w:rsid w:val="0043457C"/>
    <w:rsid w:val="00434EC6"/>
    <w:rsid w:val="00436107"/>
    <w:rsid w:val="00436C91"/>
    <w:rsid w:val="00436DB8"/>
    <w:rsid w:val="0043739A"/>
    <w:rsid w:val="00440072"/>
    <w:rsid w:val="00440BD5"/>
    <w:rsid w:val="0044164D"/>
    <w:rsid w:val="00441990"/>
    <w:rsid w:val="004426D8"/>
    <w:rsid w:val="004428D4"/>
    <w:rsid w:val="004429D5"/>
    <w:rsid w:val="00442BC1"/>
    <w:rsid w:val="00445397"/>
    <w:rsid w:val="00446098"/>
    <w:rsid w:val="00447FE4"/>
    <w:rsid w:val="00450901"/>
    <w:rsid w:val="0045114A"/>
    <w:rsid w:val="00452BB3"/>
    <w:rsid w:val="0045364C"/>
    <w:rsid w:val="0045435F"/>
    <w:rsid w:val="00454822"/>
    <w:rsid w:val="00454DAE"/>
    <w:rsid w:val="00455D79"/>
    <w:rsid w:val="004571A4"/>
    <w:rsid w:val="004571EE"/>
    <w:rsid w:val="00457415"/>
    <w:rsid w:val="0046166A"/>
    <w:rsid w:val="00461BB7"/>
    <w:rsid w:val="0046228D"/>
    <w:rsid w:val="00462EF5"/>
    <w:rsid w:val="0046390C"/>
    <w:rsid w:val="00463919"/>
    <w:rsid w:val="004647DE"/>
    <w:rsid w:val="0046581E"/>
    <w:rsid w:val="00465FCD"/>
    <w:rsid w:val="0046604B"/>
    <w:rsid w:val="00466182"/>
    <w:rsid w:val="00466538"/>
    <w:rsid w:val="0046674C"/>
    <w:rsid w:val="00466E55"/>
    <w:rsid w:val="004678D5"/>
    <w:rsid w:val="0047093C"/>
    <w:rsid w:val="00470986"/>
    <w:rsid w:val="00470F12"/>
    <w:rsid w:val="0047102B"/>
    <w:rsid w:val="00471C53"/>
    <w:rsid w:val="00471C7E"/>
    <w:rsid w:val="00471F5A"/>
    <w:rsid w:val="00471FAF"/>
    <w:rsid w:val="0047209E"/>
    <w:rsid w:val="0047292A"/>
    <w:rsid w:val="00472FC9"/>
    <w:rsid w:val="00473182"/>
    <w:rsid w:val="00473B00"/>
    <w:rsid w:val="00473D18"/>
    <w:rsid w:val="00474367"/>
    <w:rsid w:val="00475857"/>
    <w:rsid w:val="00475DD1"/>
    <w:rsid w:val="0047607E"/>
    <w:rsid w:val="0047625C"/>
    <w:rsid w:val="00476ECC"/>
    <w:rsid w:val="00476EFC"/>
    <w:rsid w:val="00477D5A"/>
    <w:rsid w:val="00477FAD"/>
    <w:rsid w:val="0048003A"/>
    <w:rsid w:val="0048013B"/>
    <w:rsid w:val="00480E02"/>
    <w:rsid w:val="00481C3E"/>
    <w:rsid w:val="004820BD"/>
    <w:rsid w:val="004825CA"/>
    <w:rsid w:val="00482654"/>
    <w:rsid w:val="00482975"/>
    <w:rsid w:val="00483518"/>
    <w:rsid w:val="00483524"/>
    <w:rsid w:val="00483D57"/>
    <w:rsid w:val="00484006"/>
    <w:rsid w:val="0048571A"/>
    <w:rsid w:val="00485D4F"/>
    <w:rsid w:val="00485DB9"/>
    <w:rsid w:val="004866D9"/>
    <w:rsid w:val="00486773"/>
    <w:rsid w:val="00486D53"/>
    <w:rsid w:val="00486EC5"/>
    <w:rsid w:val="00487F88"/>
    <w:rsid w:val="004901F2"/>
    <w:rsid w:val="00491621"/>
    <w:rsid w:val="00492025"/>
    <w:rsid w:val="00492793"/>
    <w:rsid w:val="0049284E"/>
    <w:rsid w:val="00492C14"/>
    <w:rsid w:val="004931D1"/>
    <w:rsid w:val="00493C37"/>
    <w:rsid w:val="00494660"/>
    <w:rsid w:val="00496222"/>
    <w:rsid w:val="00496286"/>
    <w:rsid w:val="00496517"/>
    <w:rsid w:val="00496671"/>
    <w:rsid w:val="00496675"/>
    <w:rsid w:val="00496BA5"/>
    <w:rsid w:val="00496CD3"/>
    <w:rsid w:val="004A082D"/>
    <w:rsid w:val="004A0B24"/>
    <w:rsid w:val="004A1020"/>
    <w:rsid w:val="004A222D"/>
    <w:rsid w:val="004A24C7"/>
    <w:rsid w:val="004A27D0"/>
    <w:rsid w:val="004A31B5"/>
    <w:rsid w:val="004A3251"/>
    <w:rsid w:val="004A32E9"/>
    <w:rsid w:val="004A331B"/>
    <w:rsid w:val="004A3A89"/>
    <w:rsid w:val="004A5115"/>
    <w:rsid w:val="004A56C3"/>
    <w:rsid w:val="004A6E44"/>
    <w:rsid w:val="004A7EF3"/>
    <w:rsid w:val="004B1FD0"/>
    <w:rsid w:val="004B2268"/>
    <w:rsid w:val="004B2680"/>
    <w:rsid w:val="004B3E9B"/>
    <w:rsid w:val="004B4428"/>
    <w:rsid w:val="004B4ADB"/>
    <w:rsid w:val="004B549A"/>
    <w:rsid w:val="004B68E7"/>
    <w:rsid w:val="004B6AFF"/>
    <w:rsid w:val="004B6EF4"/>
    <w:rsid w:val="004B7171"/>
    <w:rsid w:val="004B7BA9"/>
    <w:rsid w:val="004C0E12"/>
    <w:rsid w:val="004C1C01"/>
    <w:rsid w:val="004C1F8A"/>
    <w:rsid w:val="004C20FE"/>
    <w:rsid w:val="004C3959"/>
    <w:rsid w:val="004C44CB"/>
    <w:rsid w:val="004C47A0"/>
    <w:rsid w:val="004C481D"/>
    <w:rsid w:val="004C4867"/>
    <w:rsid w:val="004C4A19"/>
    <w:rsid w:val="004C5249"/>
    <w:rsid w:val="004C537D"/>
    <w:rsid w:val="004C725F"/>
    <w:rsid w:val="004D04B6"/>
    <w:rsid w:val="004D147E"/>
    <w:rsid w:val="004D172C"/>
    <w:rsid w:val="004D1E2F"/>
    <w:rsid w:val="004D1E4A"/>
    <w:rsid w:val="004D2247"/>
    <w:rsid w:val="004D3103"/>
    <w:rsid w:val="004D3274"/>
    <w:rsid w:val="004D3732"/>
    <w:rsid w:val="004D3801"/>
    <w:rsid w:val="004D3A92"/>
    <w:rsid w:val="004D6307"/>
    <w:rsid w:val="004D70CE"/>
    <w:rsid w:val="004E098D"/>
    <w:rsid w:val="004E1BFE"/>
    <w:rsid w:val="004E22F3"/>
    <w:rsid w:val="004E2646"/>
    <w:rsid w:val="004E2A58"/>
    <w:rsid w:val="004E2BEF"/>
    <w:rsid w:val="004E3BA0"/>
    <w:rsid w:val="004E3C0F"/>
    <w:rsid w:val="004E3D2F"/>
    <w:rsid w:val="004E4F0D"/>
    <w:rsid w:val="004E51C6"/>
    <w:rsid w:val="004E5851"/>
    <w:rsid w:val="004E67DD"/>
    <w:rsid w:val="004E6943"/>
    <w:rsid w:val="004E6D3B"/>
    <w:rsid w:val="004E6DD0"/>
    <w:rsid w:val="004E7750"/>
    <w:rsid w:val="004E7B4C"/>
    <w:rsid w:val="004E7D9F"/>
    <w:rsid w:val="004F076D"/>
    <w:rsid w:val="004F0CC5"/>
    <w:rsid w:val="004F1654"/>
    <w:rsid w:val="004F17EC"/>
    <w:rsid w:val="004F1FDB"/>
    <w:rsid w:val="004F22CE"/>
    <w:rsid w:val="004F2442"/>
    <w:rsid w:val="004F2544"/>
    <w:rsid w:val="004F287B"/>
    <w:rsid w:val="004F2FB6"/>
    <w:rsid w:val="004F3CD8"/>
    <w:rsid w:val="004F553B"/>
    <w:rsid w:val="004F5B7F"/>
    <w:rsid w:val="004F65E4"/>
    <w:rsid w:val="004F681F"/>
    <w:rsid w:val="004F6C36"/>
    <w:rsid w:val="004F6C6A"/>
    <w:rsid w:val="004F6DA9"/>
    <w:rsid w:val="004F7D76"/>
    <w:rsid w:val="004F7E71"/>
    <w:rsid w:val="004F7F52"/>
    <w:rsid w:val="00500EC1"/>
    <w:rsid w:val="00500F90"/>
    <w:rsid w:val="005019EF"/>
    <w:rsid w:val="00502D24"/>
    <w:rsid w:val="00502D2A"/>
    <w:rsid w:val="005033F2"/>
    <w:rsid w:val="0050452D"/>
    <w:rsid w:val="0050470F"/>
    <w:rsid w:val="00504A7A"/>
    <w:rsid w:val="005052A9"/>
    <w:rsid w:val="00505EF8"/>
    <w:rsid w:val="005064F0"/>
    <w:rsid w:val="0050675F"/>
    <w:rsid w:val="00506832"/>
    <w:rsid w:val="00507323"/>
    <w:rsid w:val="00507B57"/>
    <w:rsid w:val="005109C8"/>
    <w:rsid w:val="00510CD0"/>
    <w:rsid w:val="00511429"/>
    <w:rsid w:val="005114DC"/>
    <w:rsid w:val="005126C5"/>
    <w:rsid w:val="0051338D"/>
    <w:rsid w:val="005135E9"/>
    <w:rsid w:val="0051365F"/>
    <w:rsid w:val="005145F1"/>
    <w:rsid w:val="005146C0"/>
    <w:rsid w:val="005149D1"/>
    <w:rsid w:val="0051501B"/>
    <w:rsid w:val="00515074"/>
    <w:rsid w:val="0051538F"/>
    <w:rsid w:val="005153E5"/>
    <w:rsid w:val="00515542"/>
    <w:rsid w:val="00516263"/>
    <w:rsid w:val="00516A3C"/>
    <w:rsid w:val="005204C0"/>
    <w:rsid w:val="0052214F"/>
    <w:rsid w:val="00523BEB"/>
    <w:rsid w:val="0052462E"/>
    <w:rsid w:val="005255DF"/>
    <w:rsid w:val="005256F9"/>
    <w:rsid w:val="00525803"/>
    <w:rsid w:val="00526E7E"/>
    <w:rsid w:val="00527318"/>
    <w:rsid w:val="005274FC"/>
    <w:rsid w:val="00527602"/>
    <w:rsid w:val="005278D3"/>
    <w:rsid w:val="00527D67"/>
    <w:rsid w:val="00527F88"/>
    <w:rsid w:val="005306C3"/>
    <w:rsid w:val="005308EE"/>
    <w:rsid w:val="00530DCD"/>
    <w:rsid w:val="00531BB9"/>
    <w:rsid w:val="00531F0B"/>
    <w:rsid w:val="005326EC"/>
    <w:rsid w:val="00532F51"/>
    <w:rsid w:val="00533452"/>
    <w:rsid w:val="0053371C"/>
    <w:rsid w:val="005339B4"/>
    <w:rsid w:val="00533B74"/>
    <w:rsid w:val="005353E0"/>
    <w:rsid w:val="0053569D"/>
    <w:rsid w:val="005358CD"/>
    <w:rsid w:val="00540537"/>
    <w:rsid w:val="00540E22"/>
    <w:rsid w:val="00541151"/>
    <w:rsid w:val="0054182F"/>
    <w:rsid w:val="00542141"/>
    <w:rsid w:val="005437F5"/>
    <w:rsid w:val="00543C72"/>
    <w:rsid w:val="00543E52"/>
    <w:rsid w:val="00544C26"/>
    <w:rsid w:val="005463FB"/>
    <w:rsid w:val="005469F0"/>
    <w:rsid w:val="00547128"/>
    <w:rsid w:val="005476CB"/>
    <w:rsid w:val="00551007"/>
    <w:rsid w:val="005511F8"/>
    <w:rsid w:val="0055148A"/>
    <w:rsid w:val="00551AA9"/>
    <w:rsid w:val="00551DED"/>
    <w:rsid w:val="00551FC2"/>
    <w:rsid w:val="00552D84"/>
    <w:rsid w:val="005540FA"/>
    <w:rsid w:val="00555C02"/>
    <w:rsid w:val="00556306"/>
    <w:rsid w:val="0055690A"/>
    <w:rsid w:val="005570B7"/>
    <w:rsid w:val="00561EA1"/>
    <w:rsid w:val="00561F29"/>
    <w:rsid w:val="005621E7"/>
    <w:rsid w:val="00563064"/>
    <w:rsid w:val="00564DFF"/>
    <w:rsid w:val="00564EAC"/>
    <w:rsid w:val="00565F45"/>
    <w:rsid w:val="005663EE"/>
    <w:rsid w:val="00566F6F"/>
    <w:rsid w:val="0056795B"/>
    <w:rsid w:val="00567BA3"/>
    <w:rsid w:val="00567F6B"/>
    <w:rsid w:val="00570433"/>
    <w:rsid w:val="00570BB9"/>
    <w:rsid w:val="00571A2F"/>
    <w:rsid w:val="00572D0D"/>
    <w:rsid w:val="00573B80"/>
    <w:rsid w:val="005745C1"/>
    <w:rsid w:val="00574D93"/>
    <w:rsid w:val="00574EF6"/>
    <w:rsid w:val="005753E5"/>
    <w:rsid w:val="005757DE"/>
    <w:rsid w:val="005759CA"/>
    <w:rsid w:val="00576160"/>
    <w:rsid w:val="00576A1F"/>
    <w:rsid w:val="00576D5A"/>
    <w:rsid w:val="0057714A"/>
    <w:rsid w:val="00577C89"/>
    <w:rsid w:val="00577DF9"/>
    <w:rsid w:val="005808AE"/>
    <w:rsid w:val="00580C6F"/>
    <w:rsid w:val="00581056"/>
    <w:rsid w:val="00582C4F"/>
    <w:rsid w:val="00583C8F"/>
    <w:rsid w:val="00584E68"/>
    <w:rsid w:val="00585245"/>
    <w:rsid w:val="00585360"/>
    <w:rsid w:val="00585710"/>
    <w:rsid w:val="00586953"/>
    <w:rsid w:val="005871A4"/>
    <w:rsid w:val="0058749A"/>
    <w:rsid w:val="0058BBC8"/>
    <w:rsid w:val="00590750"/>
    <w:rsid w:val="00591356"/>
    <w:rsid w:val="0059206E"/>
    <w:rsid w:val="005921B8"/>
    <w:rsid w:val="00592902"/>
    <w:rsid w:val="00593DD7"/>
    <w:rsid w:val="00593E29"/>
    <w:rsid w:val="00593EFC"/>
    <w:rsid w:val="005947BB"/>
    <w:rsid w:val="005949D0"/>
    <w:rsid w:val="005966F9"/>
    <w:rsid w:val="00596935"/>
    <w:rsid w:val="0059780B"/>
    <w:rsid w:val="00597C62"/>
    <w:rsid w:val="005A1084"/>
    <w:rsid w:val="005A109A"/>
    <w:rsid w:val="005A15C4"/>
    <w:rsid w:val="005A1FC2"/>
    <w:rsid w:val="005A26D5"/>
    <w:rsid w:val="005A3F82"/>
    <w:rsid w:val="005A49FB"/>
    <w:rsid w:val="005A554F"/>
    <w:rsid w:val="005A558D"/>
    <w:rsid w:val="005A6B47"/>
    <w:rsid w:val="005A6DA9"/>
    <w:rsid w:val="005A6F3A"/>
    <w:rsid w:val="005A7020"/>
    <w:rsid w:val="005A7AEB"/>
    <w:rsid w:val="005B0C68"/>
    <w:rsid w:val="005B0F44"/>
    <w:rsid w:val="005B1426"/>
    <w:rsid w:val="005B143E"/>
    <w:rsid w:val="005B1BFA"/>
    <w:rsid w:val="005B2623"/>
    <w:rsid w:val="005B2870"/>
    <w:rsid w:val="005B2E54"/>
    <w:rsid w:val="005B3094"/>
    <w:rsid w:val="005B5C69"/>
    <w:rsid w:val="005B5F4D"/>
    <w:rsid w:val="005B61A3"/>
    <w:rsid w:val="005B7A6B"/>
    <w:rsid w:val="005C00F1"/>
    <w:rsid w:val="005C1237"/>
    <w:rsid w:val="005C1908"/>
    <w:rsid w:val="005C1F5D"/>
    <w:rsid w:val="005C2234"/>
    <w:rsid w:val="005C25D9"/>
    <w:rsid w:val="005C279B"/>
    <w:rsid w:val="005C2E1F"/>
    <w:rsid w:val="005C3318"/>
    <w:rsid w:val="005C3B50"/>
    <w:rsid w:val="005C3BF4"/>
    <w:rsid w:val="005C4162"/>
    <w:rsid w:val="005C4A4E"/>
    <w:rsid w:val="005C559A"/>
    <w:rsid w:val="005C6422"/>
    <w:rsid w:val="005C654A"/>
    <w:rsid w:val="005D29F0"/>
    <w:rsid w:val="005D2B14"/>
    <w:rsid w:val="005D3288"/>
    <w:rsid w:val="005D3E2E"/>
    <w:rsid w:val="005D3F8E"/>
    <w:rsid w:val="005D46E1"/>
    <w:rsid w:val="005D4764"/>
    <w:rsid w:val="005D48FD"/>
    <w:rsid w:val="005D5ABC"/>
    <w:rsid w:val="005D60DF"/>
    <w:rsid w:val="005D6125"/>
    <w:rsid w:val="005D6A28"/>
    <w:rsid w:val="005E06E7"/>
    <w:rsid w:val="005E0BF6"/>
    <w:rsid w:val="005E0C1A"/>
    <w:rsid w:val="005E134C"/>
    <w:rsid w:val="005E1762"/>
    <w:rsid w:val="005E2209"/>
    <w:rsid w:val="005E2D6F"/>
    <w:rsid w:val="005E39F2"/>
    <w:rsid w:val="005E4110"/>
    <w:rsid w:val="005E473E"/>
    <w:rsid w:val="005E55BA"/>
    <w:rsid w:val="005E5832"/>
    <w:rsid w:val="005E791A"/>
    <w:rsid w:val="005F0383"/>
    <w:rsid w:val="005F18B2"/>
    <w:rsid w:val="005F354E"/>
    <w:rsid w:val="005F4F93"/>
    <w:rsid w:val="005F528A"/>
    <w:rsid w:val="005F58C1"/>
    <w:rsid w:val="005F5DDD"/>
    <w:rsid w:val="005F6FE2"/>
    <w:rsid w:val="005F70AC"/>
    <w:rsid w:val="005F7629"/>
    <w:rsid w:val="00600049"/>
    <w:rsid w:val="0060075F"/>
    <w:rsid w:val="00600D87"/>
    <w:rsid w:val="00600F5A"/>
    <w:rsid w:val="00601E00"/>
    <w:rsid w:val="00602156"/>
    <w:rsid w:val="006029D7"/>
    <w:rsid w:val="00602CC7"/>
    <w:rsid w:val="00603AC6"/>
    <w:rsid w:val="00603B8B"/>
    <w:rsid w:val="00604109"/>
    <w:rsid w:val="00606135"/>
    <w:rsid w:val="0060624E"/>
    <w:rsid w:val="00606372"/>
    <w:rsid w:val="00606691"/>
    <w:rsid w:val="006068E2"/>
    <w:rsid w:val="00606BA8"/>
    <w:rsid w:val="00606DE4"/>
    <w:rsid w:val="0060797D"/>
    <w:rsid w:val="0061001E"/>
    <w:rsid w:val="006106A8"/>
    <w:rsid w:val="006109E7"/>
    <w:rsid w:val="00610A30"/>
    <w:rsid w:val="00610FC4"/>
    <w:rsid w:val="006114EB"/>
    <w:rsid w:val="006118BE"/>
    <w:rsid w:val="006119F1"/>
    <w:rsid w:val="00612384"/>
    <w:rsid w:val="00612C37"/>
    <w:rsid w:val="00612E3F"/>
    <w:rsid w:val="00613B32"/>
    <w:rsid w:val="00613EB5"/>
    <w:rsid w:val="00614419"/>
    <w:rsid w:val="00614B40"/>
    <w:rsid w:val="00615F31"/>
    <w:rsid w:val="00616ADF"/>
    <w:rsid w:val="0061700C"/>
    <w:rsid w:val="006172AD"/>
    <w:rsid w:val="00620420"/>
    <w:rsid w:val="006204D0"/>
    <w:rsid w:val="006204EE"/>
    <w:rsid w:val="006214C2"/>
    <w:rsid w:val="0062161F"/>
    <w:rsid w:val="00621FA9"/>
    <w:rsid w:val="00622DDF"/>
    <w:rsid w:val="00623FFF"/>
    <w:rsid w:val="00624575"/>
    <w:rsid w:val="006249C1"/>
    <w:rsid w:val="00624DFD"/>
    <w:rsid w:val="00625411"/>
    <w:rsid w:val="006266FD"/>
    <w:rsid w:val="00627AE6"/>
    <w:rsid w:val="00627FB5"/>
    <w:rsid w:val="0063049D"/>
    <w:rsid w:val="00631195"/>
    <w:rsid w:val="00632D8F"/>
    <w:rsid w:val="00633050"/>
    <w:rsid w:val="00633639"/>
    <w:rsid w:val="0063382F"/>
    <w:rsid w:val="00633863"/>
    <w:rsid w:val="006358E9"/>
    <w:rsid w:val="00635AFC"/>
    <w:rsid w:val="00635D93"/>
    <w:rsid w:val="00637D50"/>
    <w:rsid w:val="00640EF5"/>
    <w:rsid w:val="0064163A"/>
    <w:rsid w:val="00641881"/>
    <w:rsid w:val="00641BEA"/>
    <w:rsid w:val="00642697"/>
    <w:rsid w:val="00642D13"/>
    <w:rsid w:val="00642E9F"/>
    <w:rsid w:val="00643519"/>
    <w:rsid w:val="0064557F"/>
    <w:rsid w:val="00645874"/>
    <w:rsid w:val="006463A1"/>
    <w:rsid w:val="006465EE"/>
    <w:rsid w:val="00646A41"/>
    <w:rsid w:val="00646B20"/>
    <w:rsid w:val="00646E09"/>
    <w:rsid w:val="00647600"/>
    <w:rsid w:val="00650AFE"/>
    <w:rsid w:val="00650B77"/>
    <w:rsid w:val="00650BF9"/>
    <w:rsid w:val="00650C08"/>
    <w:rsid w:val="00652372"/>
    <w:rsid w:val="00652741"/>
    <w:rsid w:val="00653031"/>
    <w:rsid w:val="00653254"/>
    <w:rsid w:val="00653557"/>
    <w:rsid w:val="00653BDA"/>
    <w:rsid w:val="0065404C"/>
    <w:rsid w:val="006541A3"/>
    <w:rsid w:val="006547A7"/>
    <w:rsid w:val="00654871"/>
    <w:rsid w:val="00654C24"/>
    <w:rsid w:val="006552A2"/>
    <w:rsid w:val="00655735"/>
    <w:rsid w:val="00655D4F"/>
    <w:rsid w:val="00656940"/>
    <w:rsid w:val="00656D9D"/>
    <w:rsid w:val="0065713B"/>
    <w:rsid w:val="00657367"/>
    <w:rsid w:val="006574FB"/>
    <w:rsid w:val="006578E1"/>
    <w:rsid w:val="0066130E"/>
    <w:rsid w:val="0066196A"/>
    <w:rsid w:val="00662815"/>
    <w:rsid w:val="00662C70"/>
    <w:rsid w:val="0066318D"/>
    <w:rsid w:val="0066397F"/>
    <w:rsid w:val="00664F97"/>
    <w:rsid w:val="00666035"/>
    <w:rsid w:val="0066626C"/>
    <w:rsid w:val="00666C09"/>
    <w:rsid w:val="00666D57"/>
    <w:rsid w:val="00666F88"/>
    <w:rsid w:val="00667A86"/>
    <w:rsid w:val="006721E1"/>
    <w:rsid w:val="00672336"/>
    <w:rsid w:val="006735DD"/>
    <w:rsid w:val="00673CE0"/>
    <w:rsid w:val="006742DA"/>
    <w:rsid w:val="006743B8"/>
    <w:rsid w:val="0067549B"/>
    <w:rsid w:val="00675A74"/>
    <w:rsid w:val="00676D00"/>
    <w:rsid w:val="006773C9"/>
    <w:rsid w:val="00677766"/>
    <w:rsid w:val="006779BC"/>
    <w:rsid w:val="00677C49"/>
    <w:rsid w:val="0068023D"/>
    <w:rsid w:val="00680785"/>
    <w:rsid w:val="00680E0F"/>
    <w:rsid w:val="00680E40"/>
    <w:rsid w:val="0068165A"/>
    <w:rsid w:val="006816A9"/>
    <w:rsid w:val="00681818"/>
    <w:rsid w:val="006825C0"/>
    <w:rsid w:val="00682C38"/>
    <w:rsid w:val="00682E95"/>
    <w:rsid w:val="00684C69"/>
    <w:rsid w:val="00684CED"/>
    <w:rsid w:val="00686C9D"/>
    <w:rsid w:val="0068765A"/>
    <w:rsid w:val="00687B10"/>
    <w:rsid w:val="00690A69"/>
    <w:rsid w:val="00690CC5"/>
    <w:rsid w:val="0069243B"/>
    <w:rsid w:val="00692870"/>
    <w:rsid w:val="00692920"/>
    <w:rsid w:val="00694855"/>
    <w:rsid w:val="00694B46"/>
    <w:rsid w:val="00695647"/>
    <w:rsid w:val="00695EEE"/>
    <w:rsid w:val="00696335"/>
    <w:rsid w:val="00696F88"/>
    <w:rsid w:val="006A004A"/>
    <w:rsid w:val="006A05F7"/>
    <w:rsid w:val="006A0765"/>
    <w:rsid w:val="006A0B36"/>
    <w:rsid w:val="006A1736"/>
    <w:rsid w:val="006A2789"/>
    <w:rsid w:val="006A2D3D"/>
    <w:rsid w:val="006A2D48"/>
    <w:rsid w:val="006A361D"/>
    <w:rsid w:val="006A373A"/>
    <w:rsid w:val="006A3777"/>
    <w:rsid w:val="006A3798"/>
    <w:rsid w:val="006A3D63"/>
    <w:rsid w:val="006A4299"/>
    <w:rsid w:val="006A4546"/>
    <w:rsid w:val="006A4CC4"/>
    <w:rsid w:val="006A66BA"/>
    <w:rsid w:val="006B1622"/>
    <w:rsid w:val="006B16D6"/>
    <w:rsid w:val="006B28BC"/>
    <w:rsid w:val="006B359E"/>
    <w:rsid w:val="006B41B8"/>
    <w:rsid w:val="006B4C30"/>
    <w:rsid w:val="006B4D89"/>
    <w:rsid w:val="006B4FC1"/>
    <w:rsid w:val="006B5554"/>
    <w:rsid w:val="006B5F65"/>
    <w:rsid w:val="006B6950"/>
    <w:rsid w:val="006B75D2"/>
    <w:rsid w:val="006B7749"/>
    <w:rsid w:val="006C0E33"/>
    <w:rsid w:val="006C10E3"/>
    <w:rsid w:val="006C1504"/>
    <w:rsid w:val="006C16C7"/>
    <w:rsid w:val="006C2A47"/>
    <w:rsid w:val="006C3DB5"/>
    <w:rsid w:val="006C4207"/>
    <w:rsid w:val="006C45EC"/>
    <w:rsid w:val="006C5BDC"/>
    <w:rsid w:val="006C66D0"/>
    <w:rsid w:val="006C6C42"/>
    <w:rsid w:val="006C7014"/>
    <w:rsid w:val="006C7110"/>
    <w:rsid w:val="006C719C"/>
    <w:rsid w:val="006C7760"/>
    <w:rsid w:val="006C7A66"/>
    <w:rsid w:val="006D1773"/>
    <w:rsid w:val="006D25D2"/>
    <w:rsid w:val="006D2E03"/>
    <w:rsid w:val="006D3267"/>
    <w:rsid w:val="006D3363"/>
    <w:rsid w:val="006D4451"/>
    <w:rsid w:val="006D496D"/>
    <w:rsid w:val="006D4CAC"/>
    <w:rsid w:val="006D51CD"/>
    <w:rsid w:val="006D55E6"/>
    <w:rsid w:val="006D58F3"/>
    <w:rsid w:val="006D5A34"/>
    <w:rsid w:val="006D62FB"/>
    <w:rsid w:val="006D6316"/>
    <w:rsid w:val="006D681F"/>
    <w:rsid w:val="006D7821"/>
    <w:rsid w:val="006D7832"/>
    <w:rsid w:val="006E0CD0"/>
    <w:rsid w:val="006E0EC4"/>
    <w:rsid w:val="006E1A0B"/>
    <w:rsid w:val="006E1D02"/>
    <w:rsid w:val="006E2B25"/>
    <w:rsid w:val="006E3F98"/>
    <w:rsid w:val="006E485F"/>
    <w:rsid w:val="006E4964"/>
    <w:rsid w:val="006E4F4C"/>
    <w:rsid w:val="006E4FDF"/>
    <w:rsid w:val="006E5855"/>
    <w:rsid w:val="006E60A4"/>
    <w:rsid w:val="006E64D6"/>
    <w:rsid w:val="006E6A8A"/>
    <w:rsid w:val="006E6ADA"/>
    <w:rsid w:val="006E6E60"/>
    <w:rsid w:val="006F0932"/>
    <w:rsid w:val="006F0AA2"/>
    <w:rsid w:val="006F1522"/>
    <w:rsid w:val="006F1D28"/>
    <w:rsid w:val="006F265D"/>
    <w:rsid w:val="006F3285"/>
    <w:rsid w:val="006F363D"/>
    <w:rsid w:val="006F39A5"/>
    <w:rsid w:val="006F5149"/>
    <w:rsid w:val="006F75CF"/>
    <w:rsid w:val="006F7A7B"/>
    <w:rsid w:val="00700E66"/>
    <w:rsid w:val="00700FCD"/>
    <w:rsid w:val="007012E5"/>
    <w:rsid w:val="0070139D"/>
    <w:rsid w:val="00701561"/>
    <w:rsid w:val="00701800"/>
    <w:rsid w:val="00701EC6"/>
    <w:rsid w:val="0070258A"/>
    <w:rsid w:val="00702815"/>
    <w:rsid w:val="00702862"/>
    <w:rsid w:val="00702A3F"/>
    <w:rsid w:val="00702D48"/>
    <w:rsid w:val="00702FC2"/>
    <w:rsid w:val="007034D3"/>
    <w:rsid w:val="007035A9"/>
    <w:rsid w:val="007035D3"/>
    <w:rsid w:val="00703A83"/>
    <w:rsid w:val="0070441D"/>
    <w:rsid w:val="00704E20"/>
    <w:rsid w:val="0070528D"/>
    <w:rsid w:val="00706BBA"/>
    <w:rsid w:val="00707235"/>
    <w:rsid w:val="007074C6"/>
    <w:rsid w:val="007076C3"/>
    <w:rsid w:val="0071068D"/>
    <w:rsid w:val="00710844"/>
    <w:rsid w:val="00710A1C"/>
    <w:rsid w:val="00710E6C"/>
    <w:rsid w:val="007126BC"/>
    <w:rsid w:val="00713261"/>
    <w:rsid w:val="00713826"/>
    <w:rsid w:val="00714101"/>
    <w:rsid w:val="007148C0"/>
    <w:rsid w:val="00714A80"/>
    <w:rsid w:val="00715AAD"/>
    <w:rsid w:val="00716249"/>
    <w:rsid w:val="00716432"/>
    <w:rsid w:val="0071663B"/>
    <w:rsid w:val="00716912"/>
    <w:rsid w:val="0071759B"/>
    <w:rsid w:val="0072008F"/>
    <w:rsid w:val="007205CE"/>
    <w:rsid w:val="00720D54"/>
    <w:rsid w:val="00721ECC"/>
    <w:rsid w:val="00724644"/>
    <w:rsid w:val="00724651"/>
    <w:rsid w:val="007247B5"/>
    <w:rsid w:val="00724803"/>
    <w:rsid w:val="00725214"/>
    <w:rsid w:val="00725563"/>
    <w:rsid w:val="00725EEF"/>
    <w:rsid w:val="00726E9C"/>
    <w:rsid w:val="0072701D"/>
    <w:rsid w:val="00727790"/>
    <w:rsid w:val="00727BC0"/>
    <w:rsid w:val="00727E8F"/>
    <w:rsid w:val="00727EEE"/>
    <w:rsid w:val="00730094"/>
    <w:rsid w:val="007305EB"/>
    <w:rsid w:val="0073346B"/>
    <w:rsid w:val="0073353B"/>
    <w:rsid w:val="007337BD"/>
    <w:rsid w:val="00733862"/>
    <w:rsid w:val="0073496D"/>
    <w:rsid w:val="00734A8D"/>
    <w:rsid w:val="007352BF"/>
    <w:rsid w:val="00735F79"/>
    <w:rsid w:val="00736DD1"/>
    <w:rsid w:val="007376DD"/>
    <w:rsid w:val="00741302"/>
    <w:rsid w:val="00741818"/>
    <w:rsid w:val="00742857"/>
    <w:rsid w:val="00742965"/>
    <w:rsid w:val="00742A82"/>
    <w:rsid w:val="00742B0D"/>
    <w:rsid w:val="00743444"/>
    <w:rsid w:val="00743553"/>
    <w:rsid w:val="0074379E"/>
    <w:rsid w:val="00744063"/>
    <w:rsid w:val="00745364"/>
    <w:rsid w:val="00745921"/>
    <w:rsid w:val="00745F03"/>
    <w:rsid w:val="00747202"/>
    <w:rsid w:val="007477C7"/>
    <w:rsid w:val="007478F4"/>
    <w:rsid w:val="007506D6"/>
    <w:rsid w:val="00751374"/>
    <w:rsid w:val="00751CB9"/>
    <w:rsid w:val="007526A3"/>
    <w:rsid w:val="00752921"/>
    <w:rsid w:val="00753572"/>
    <w:rsid w:val="00755295"/>
    <w:rsid w:val="0075597E"/>
    <w:rsid w:val="00755A26"/>
    <w:rsid w:val="00755ED6"/>
    <w:rsid w:val="00757E72"/>
    <w:rsid w:val="00761859"/>
    <w:rsid w:val="00762B5B"/>
    <w:rsid w:val="00763BB2"/>
    <w:rsid w:val="0076470E"/>
    <w:rsid w:val="007649FC"/>
    <w:rsid w:val="00765938"/>
    <w:rsid w:val="007669A9"/>
    <w:rsid w:val="00766C3E"/>
    <w:rsid w:val="007678A9"/>
    <w:rsid w:val="00771016"/>
    <w:rsid w:val="007717E0"/>
    <w:rsid w:val="007719B3"/>
    <w:rsid w:val="00771E09"/>
    <w:rsid w:val="0077261C"/>
    <w:rsid w:val="00772778"/>
    <w:rsid w:val="00772BF8"/>
    <w:rsid w:val="007734E0"/>
    <w:rsid w:val="007735A0"/>
    <w:rsid w:val="007742D6"/>
    <w:rsid w:val="0077433A"/>
    <w:rsid w:val="0077513A"/>
    <w:rsid w:val="007758A9"/>
    <w:rsid w:val="0077636F"/>
    <w:rsid w:val="00776844"/>
    <w:rsid w:val="0077724D"/>
    <w:rsid w:val="00777B60"/>
    <w:rsid w:val="00777C82"/>
    <w:rsid w:val="00777F4B"/>
    <w:rsid w:val="0078085E"/>
    <w:rsid w:val="00780E46"/>
    <w:rsid w:val="00781002"/>
    <w:rsid w:val="00781426"/>
    <w:rsid w:val="007818C9"/>
    <w:rsid w:val="00781E61"/>
    <w:rsid w:val="00781F67"/>
    <w:rsid w:val="007822A8"/>
    <w:rsid w:val="00782A10"/>
    <w:rsid w:val="0078381E"/>
    <w:rsid w:val="00783D75"/>
    <w:rsid w:val="007842A6"/>
    <w:rsid w:val="0078440B"/>
    <w:rsid w:val="0078584C"/>
    <w:rsid w:val="00786A4F"/>
    <w:rsid w:val="007879C2"/>
    <w:rsid w:val="00787E0D"/>
    <w:rsid w:val="00790462"/>
    <w:rsid w:val="00790A9E"/>
    <w:rsid w:val="00791550"/>
    <w:rsid w:val="00791559"/>
    <w:rsid w:val="007915F3"/>
    <w:rsid w:val="00791F59"/>
    <w:rsid w:val="007924D9"/>
    <w:rsid w:val="0079287A"/>
    <w:rsid w:val="0079335F"/>
    <w:rsid w:val="00793461"/>
    <w:rsid w:val="00793EC1"/>
    <w:rsid w:val="00793EC6"/>
    <w:rsid w:val="0079402F"/>
    <w:rsid w:val="00794E25"/>
    <w:rsid w:val="00796C92"/>
    <w:rsid w:val="00796F3D"/>
    <w:rsid w:val="007A18F0"/>
    <w:rsid w:val="007A37A7"/>
    <w:rsid w:val="007A4A38"/>
    <w:rsid w:val="007A4BD3"/>
    <w:rsid w:val="007A4C89"/>
    <w:rsid w:val="007A4E41"/>
    <w:rsid w:val="007A4EA6"/>
    <w:rsid w:val="007A5A7E"/>
    <w:rsid w:val="007A5D85"/>
    <w:rsid w:val="007A6B5C"/>
    <w:rsid w:val="007A6BAE"/>
    <w:rsid w:val="007B093C"/>
    <w:rsid w:val="007B0C64"/>
    <w:rsid w:val="007B0E90"/>
    <w:rsid w:val="007B0FEE"/>
    <w:rsid w:val="007B1D10"/>
    <w:rsid w:val="007B246D"/>
    <w:rsid w:val="007B285C"/>
    <w:rsid w:val="007B3842"/>
    <w:rsid w:val="007B52D1"/>
    <w:rsid w:val="007B5332"/>
    <w:rsid w:val="007B581E"/>
    <w:rsid w:val="007B5ECA"/>
    <w:rsid w:val="007B6207"/>
    <w:rsid w:val="007B74F0"/>
    <w:rsid w:val="007B7CE7"/>
    <w:rsid w:val="007C0657"/>
    <w:rsid w:val="007C0723"/>
    <w:rsid w:val="007C09B6"/>
    <w:rsid w:val="007C1DC1"/>
    <w:rsid w:val="007C2125"/>
    <w:rsid w:val="007C37DE"/>
    <w:rsid w:val="007C38DF"/>
    <w:rsid w:val="007C3B5A"/>
    <w:rsid w:val="007C4960"/>
    <w:rsid w:val="007C4994"/>
    <w:rsid w:val="007C4A23"/>
    <w:rsid w:val="007C4E84"/>
    <w:rsid w:val="007C5711"/>
    <w:rsid w:val="007C597B"/>
    <w:rsid w:val="007C5F96"/>
    <w:rsid w:val="007C6055"/>
    <w:rsid w:val="007C6A5C"/>
    <w:rsid w:val="007D1059"/>
    <w:rsid w:val="007D1E79"/>
    <w:rsid w:val="007D2AC7"/>
    <w:rsid w:val="007D359E"/>
    <w:rsid w:val="007D3787"/>
    <w:rsid w:val="007D4307"/>
    <w:rsid w:val="007D4CD0"/>
    <w:rsid w:val="007D4F43"/>
    <w:rsid w:val="007D571F"/>
    <w:rsid w:val="007D64C7"/>
    <w:rsid w:val="007D67A4"/>
    <w:rsid w:val="007D7E31"/>
    <w:rsid w:val="007E0154"/>
    <w:rsid w:val="007E0542"/>
    <w:rsid w:val="007E2CCE"/>
    <w:rsid w:val="007E47CB"/>
    <w:rsid w:val="007E5CB8"/>
    <w:rsid w:val="007E5E56"/>
    <w:rsid w:val="007E5F1C"/>
    <w:rsid w:val="007E60BF"/>
    <w:rsid w:val="007E6142"/>
    <w:rsid w:val="007E6670"/>
    <w:rsid w:val="007E6B55"/>
    <w:rsid w:val="007E7586"/>
    <w:rsid w:val="007E762F"/>
    <w:rsid w:val="007F1EBF"/>
    <w:rsid w:val="007F236D"/>
    <w:rsid w:val="007F271A"/>
    <w:rsid w:val="007F2E25"/>
    <w:rsid w:val="007F39E9"/>
    <w:rsid w:val="007F4701"/>
    <w:rsid w:val="007F4A39"/>
    <w:rsid w:val="007F4DDE"/>
    <w:rsid w:val="007F555C"/>
    <w:rsid w:val="007F5CDD"/>
    <w:rsid w:val="007F6885"/>
    <w:rsid w:val="007F70C8"/>
    <w:rsid w:val="007F77B9"/>
    <w:rsid w:val="008007CA"/>
    <w:rsid w:val="0080113A"/>
    <w:rsid w:val="00801DDE"/>
    <w:rsid w:val="00802013"/>
    <w:rsid w:val="00802140"/>
    <w:rsid w:val="008029D9"/>
    <w:rsid w:val="00803194"/>
    <w:rsid w:val="0080455F"/>
    <w:rsid w:val="008046B1"/>
    <w:rsid w:val="00804BAC"/>
    <w:rsid w:val="0080512A"/>
    <w:rsid w:val="00805671"/>
    <w:rsid w:val="00806B7B"/>
    <w:rsid w:val="00806C09"/>
    <w:rsid w:val="008072EC"/>
    <w:rsid w:val="008117BD"/>
    <w:rsid w:val="0081268E"/>
    <w:rsid w:val="0081281B"/>
    <w:rsid w:val="00812F8F"/>
    <w:rsid w:val="0081305C"/>
    <w:rsid w:val="00813A42"/>
    <w:rsid w:val="008140E1"/>
    <w:rsid w:val="008142F4"/>
    <w:rsid w:val="0081434B"/>
    <w:rsid w:val="00814803"/>
    <w:rsid w:val="00814904"/>
    <w:rsid w:val="00814F59"/>
    <w:rsid w:val="008150B9"/>
    <w:rsid w:val="00815A7A"/>
    <w:rsid w:val="008167AE"/>
    <w:rsid w:val="008170E5"/>
    <w:rsid w:val="008172D5"/>
    <w:rsid w:val="00817F84"/>
    <w:rsid w:val="008200E8"/>
    <w:rsid w:val="008203B7"/>
    <w:rsid w:val="00820468"/>
    <w:rsid w:val="00820633"/>
    <w:rsid w:val="0082094C"/>
    <w:rsid w:val="00821261"/>
    <w:rsid w:val="00821981"/>
    <w:rsid w:val="00821BD3"/>
    <w:rsid w:val="00822133"/>
    <w:rsid w:val="00822327"/>
    <w:rsid w:val="00822A03"/>
    <w:rsid w:val="008232A6"/>
    <w:rsid w:val="0082354C"/>
    <w:rsid w:val="00823A33"/>
    <w:rsid w:val="0082465B"/>
    <w:rsid w:val="00824763"/>
    <w:rsid w:val="00824EA2"/>
    <w:rsid w:val="00824EFA"/>
    <w:rsid w:val="00825B6A"/>
    <w:rsid w:val="00825B71"/>
    <w:rsid w:val="00826094"/>
    <w:rsid w:val="00826F4C"/>
    <w:rsid w:val="0082730E"/>
    <w:rsid w:val="008276C6"/>
    <w:rsid w:val="00827C9A"/>
    <w:rsid w:val="008301D6"/>
    <w:rsid w:val="0083163B"/>
    <w:rsid w:val="00832299"/>
    <w:rsid w:val="0083261E"/>
    <w:rsid w:val="00833FDC"/>
    <w:rsid w:val="00834E5B"/>
    <w:rsid w:val="0083546C"/>
    <w:rsid w:val="00835677"/>
    <w:rsid w:val="00835DB7"/>
    <w:rsid w:val="00835EF5"/>
    <w:rsid w:val="00836533"/>
    <w:rsid w:val="008367B7"/>
    <w:rsid w:val="008368E9"/>
    <w:rsid w:val="00836FD6"/>
    <w:rsid w:val="00837782"/>
    <w:rsid w:val="00841643"/>
    <w:rsid w:val="00841786"/>
    <w:rsid w:val="00842DD0"/>
    <w:rsid w:val="00843A12"/>
    <w:rsid w:val="00843C07"/>
    <w:rsid w:val="00843C15"/>
    <w:rsid w:val="0084441E"/>
    <w:rsid w:val="0084537A"/>
    <w:rsid w:val="008455CA"/>
    <w:rsid w:val="00845AB8"/>
    <w:rsid w:val="0084603F"/>
    <w:rsid w:val="0084652E"/>
    <w:rsid w:val="008466EC"/>
    <w:rsid w:val="008473AE"/>
    <w:rsid w:val="00852AFD"/>
    <w:rsid w:val="00853063"/>
    <w:rsid w:val="008531AE"/>
    <w:rsid w:val="00853944"/>
    <w:rsid w:val="008543DA"/>
    <w:rsid w:val="008553B5"/>
    <w:rsid w:val="0085571C"/>
    <w:rsid w:val="00855EB0"/>
    <w:rsid w:val="00855EC3"/>
    <w:rsid w:val="00856891"/>
    <w:rsid w:val="00856E1E"/>
    <w:rsid w:val="008600FA"/>
    <w:rsid w:val="00861FE2"/>
    <w:rsid w:val="00862514"/>
    <w:rsid w:val="00862DA0"/>
    <w:rsid w:val="008641BE"/>
    <w:rsid w:val="00864BE1"/>
    <w:rsid w:val="00865617"/>
    <w:rsid w:val="0086697A"/>
    <w:rsid w:val="00867291"/>
    <w:rsid w:val="00867D84"/>
    <w:rsid w:val="008704F3"/>
    <w:rsid w:val="00870F85"/>
    <w:rsid w:val="00871730"/>
    <w:rsid w:val="00871D3E"/>
    <w:rsid w:val="00872423"/>
    <w:rsid w:val="00872D8C"/>
    <w:rsid w:val="00873CF4"/>
    <w:rsid w:val="0087460C"/>
    <w:rsid w:val="0087559F"/>
    <w:rsid w:val="00875DD2"/>
    <w:rsid w:val="00876E6E"/>
    <w:rsid w:val="00877498"/>
    <w:rsid w:val="00880DC5"/>
    <w:rsid w:val="008819D8"/>
    <w:rsid w:val="00881A6D"/>
    <w:rsid w:val="00882AB7"/>
    <w:rsid w:val="00883369"/>
    <w:rsid w:val="00883454"/>
    <w:rsid w:val="00884980"/>
    <w:rsid w:val="00884F95"/>
    <w:rsid w:val="00885D57"/>
    <w:rsid w:val="00887D65"/>
    <w:rsid w:val="008901B7"/>
    <w:rsid w:val="00892070"/>
    <w:rsid w:val="008927A3"/>
    <w:rsid w:val="00894999"/>
    <w:rsid w:val="00894CB7"/>
    <w:rsid w:val="008956DE"/>
    <w:rsid w:val="00895E7D"/>
    <w:rsid w:val="008961FF"/>
    <w:rsid w:val="00896869"/>
    <w:rsid w:val="008970CA"/>
    <w:rsid w:val="00897332"/>
    <w:rsid w:val="00897746"/>
    <w:rsid w:val="008A1437"/>
    <w:rsid w:val="008A1630"/>
    <w:rsid w:val="008A1896"/>
    <w:rsid w:val="008A1EA3"/>
    <w:rsid w:val="008A45C8"/>
    <w:rsid w:val="008A508C"/>
    <w:rsid w:val="008A535E"/>
    <w:rsid w:val="008A596B"/>
    <w:rsid w:val="008A66FE"/>
    <w:rsid w:val="008A7F6A"/>
    <w:rsid w:val="008B01B6"/>
    <w:rsid w:val="008B036F"/>
    <w:rsid w:val="008B03CC"/>
    <w:rsid w:val="008B071F"/>
    <w:rsid w:val="008B0E63"/>
    <w:rsid w:val="008B10E1"/>
    <w:rsid w:val="008B1C50"/>
    <w:rsid w:val="008B1D3E"/>
    <w:rsid w:val="008B2288"/>
    <w:rsid w:val="008B344A"/>
    <w:rsid w:val="008B3A27"/>
    <w:rsid w:val="008B3F1B"/>
    <w:rsid w:val="008B52BA"/>
    <w:rsid w:val="008B591D"/>
    <w:rsid w:val="008B6974"/>
    <w:rsid w:val="008B6D75"/>
    <w:rsid w:val="008B7A96"/>
    <w:rsid w:val="008C0832"/>
    <w:rsid w:val="008C124E"/>
    <w:rsid w:val="008C1A05"/>
    <w:rsid w:val="008C23EE"/>
    <w:rsid w:val="008C3253"/>
    <w:rsid w:val="008C3457"/>
    <w:rsid w:val="008C3571"/>
    <w:rsid w:val="008C3B12"/>
    <w:rsid w:val="008C3BD3"/>
    <w:rsid w:val="008C3F3E"/>
    <w:rsid w:val="008C4583"/>
    <w:rsid w:val="008C4A91"/>
    <w:rsid w:val="008C4DFC"/>
    <w:rsid w:val="008C5246"/>
    <w:rsid w:val="008C546C"/>
    <w:rsid w:val="008C54B3"/>
    <w:rsid w:val="008C54E5"/>
    <w:rsid w:val="008C64C9"/>
    <w:rsid w:val="008C6DD0"/>
    <w:rsid w:val="008C6E58"/>
    <w:rsid w:val="008C7152"/>
    <w:rsid w:val="008D16AA"/>
    <w:rsid w:val="008D2249"/>
    <w:rsid w:val="008D277B"/>
    <w:rsid w:val="008D2A0B"/>
    <w:rsid w:val="008D2F44"/>
    <w:rsid w:val="008D33AD"/>
    <w:rsid w:val="008D41F8"/>
    <w:rsid w:val="008D50C3"/>
    <w:rsid w:val="008D50C8"/>
    <w:rsid w:val="008D6760"/>
    <w:rsid w:val="008D679E"/>
    <w:rsid w:val="008D6826"/>
    <w:rsid w:val="008D68FD"/>
    <w:rsid w:val="008D7601"/>
    <w:rsid w:val="008D783C"/>
    <w:rsid w:val="008D7841"/>
    <w:rsid w:val="008E07F0"/>
    <w:rsid w:val="008E0B47"/>
    <w:rsid w:val="008E1FC9"/>
    <w:rsid w:val="008E213E"/>
    <w:rsid w:val="008E2E82"/>
    <w:rsid w:val="008E2FB9"/>
    <w:rsid w:val="008E3497"/>
    <w:rsid w:val="008E4E08"/>
    <w:rsid w:val="008E53C7"/>
    <w:rsid w:val="008E5687"/>
    <w:rsid w:val="008E6CC6"/>
    <w:rsid w:val="008E7B42"/>
    <w:rsid w:val="008F0092"/>
    <w:rsid w:val="008F12D5"/>
    <w:rsid w:val="008F26DC"/>
    <w:rsid w:val="008F32CE"/>
    <w:rsid w:val="008F3B2F"/>
    <w:rsid w:val="008F4631"/>
    <w:rsid w:val="008F5A09"/>
    <w:rsid w:val="008F6057"/>
    <w:rsid w:val="008F637E"/>
    <w:rsid w:val="008F668B"/>
    <w:rsid w:val="008F74DB"/>
    <w:rsid w:val="00900DC6"/>
    <w:rsid w:val="009017B4"/>
    <w:rsid w:val="00902DD7"/>
    <w:rsid w:val="00903F52"/>
    <w:rsid w:val="0090450A"/>
    <w:rsid w:val="00904722"/>
    <w:rsid w:val="009047A4"/>
    <w:rsid w:val="0090539E"/>
    <w:rsid w:val="009056B1"/>
    <w:rsid w:val="0090594B"/>
    <w:rsid w:val="00906C92"/>
    <w:rsid w:val="00907295"/>
    <w:rsid w:val="0091048B"/>
    <w:rsid w:val="00910E73"/>
    <w:rsid w:val="009118D4"/>
    <w:rsid w:val="00911E4B"/>
    <w:rsid w:val="00912F36"/>
    <w:rsid w:val="00913682"/>
    <w:rsid w:val="00913963"/>
    <w:rsid w:val="009152AD"/>
    <w:rsid w:val="00915F82"/>
    <w:rsid w:val="009162C1"/>
    <w:rsid w:val="00916467"/>
    <w:rsid w:val="00916F9A"/>
    <w:rsid w:val="0091753B"/>
    <w:rsid w:val="009178B7"/>
    <w:rsid w:val="009209A4"/>
    <w:rsid w:val="00921A67"/>
    <w:rsid w:val="00921DF6"/>
    <w:rsid w:val="00921FF6"/>
    <w:rsid w:val="009224E1"/>
    <w:rsid w:val="00922F69"/>
    <w:rsid w:val="00923AEF"/>
    <w:rsid w:val="00923DCA"/>
    <w:rsid w:val="0092404F"/>
    <w:rsid w:val="00924C96"/>
    <w:rsid w:val="00925ABA"/>
    <w:rsid w:val="00930875"/>
    <w:rsid w:val="0093107D"/>
    <w:rsid w:val="009314B8"/>
    <w:rsid w:val="009316D8"/>
    <w:rsid w:val="009319EA"/>
    <w:rsid w:val="00931E49"/>
    <w:rsid w:val="00931FE7"/>
    <w:rsid w:val="0093243D"/>
    <w:rsid w:val="0093337C"/>
    <w:rsid w:val="009337F3"/>
    <w:rsid w:val="00934181"/>
    <w:rsid w:val="009341BC"/>
    <w:rsid w:val="00934833"/>
    <w:rsid w:val="00934AD4"/>
    <w:rsid w:val="00935867"/>
    <w:rsid w:val="0093611D"/>
    <w:rsid w:val="009361D4"/>
    <w:rsid w:val="00936A42"/>
    <w:rsid w:val="00936BC3"/>
    <w:rsid w:val="009370F1"/>
    <w:rsid w:val="00940BC2"/>
    <w:rsid w:val="00940DF0"/>
    <w:rsid w:val="00940F66"/>
    <w:rsid w:val="0094126A"/>
    <w:rsid w:val="00941783"/>
    <w:rsid w:val="00942081"/>
    <w:rsid w:val="00942838"/>
    <w:rsid w:val="009432CD"/>
    <w:rsid w:val="00943B92"/>
    <w:rsid w:val="00944935"/>
    <w:rsid w:val="00944F83"/>
    <w:rsid w:val="009476D3"/>
    <w:rsid w:val="00947E4A"/>
    <w:rsid w:val="0095116B"/>
    <w:rsid w:val="0095157D"/>
    <w:rsid w:val="0095191D"/>
    <w:rsid w:val="00951BD9"/>
    <w:rsid w:val="00952A6E"/>
    <w:rsid w:val="00953BCB"/>
    <w:rsid w:val="00954AB0"/>
    <w:rsid w:val="009554C2"/>
    <w:rsid w:val="0095599E"/>
    <w:rsid w:val="00956002"/>
    <w:rsid w:val="009561DA"/>
    <w:rsid w:val="009576FD"/>
    <w:rsid w:val="00957E8E"/>
    <w:rsid w:val="00960093"/>
    <w:rsid w:val="009605FD"/>
    <w:rsid w:val="009613A7"/>
    <w:rsid w:val="0096163B"/>
    <w:rsid w:val="009627FC"/>
    <w:rsid w:val="0096363F"/>
    <w:rsid w:val="00963AE3"/>
    <w:rsid w:val="00963C10"/>
    <w:rsid w:val="0096455C"/>
    <w:rsid w:val="0096472D"/>
    <w:rsid w:val="00965D12"/>
    <w:rsid w:val="00966AC1"/>
    <w:rsid w:val="00966DD8"/>
    <w:rsid w:val="00966E2F"/>
    <w:rsid w:val="009671C4"/>
    <w:rsid w:val="00967296"/>
    <w:rsid w:val="00967499"/>
    <w:rsid w:val="009679B9"/>
    <w:rsid w:val="00967B6F"/>
    <w:rsid w:val="0097033B"/>
    <w:rsid w:val="0097039C"/>
    <w:rsid w:val="00970D8F"/>
    <w:rsid w:val="009710FB"/>
    <w:rsid w:val="00972BB5"/>
    <w:rsid w:val="00973257"/>
    <w:rsid w:val="00973D5E"/>
    <w:rsid w:val="00974335"/>
    <w:rsid w:val="0097453E"/>
    <w:rsid w:val="009745DE"/>
    <w:rsid w:val="00974AE6"/>
    <w:rsid w:val="009757B3"/>
    <w:rsid w:val="00975E58"/>
    <w:rsid w:val="00975F14"/>
    <w:rsid w:val="00975FD2"/>
    <w:rsid w:val="009766C5"/>
    <w:rsid w:val="00976808"/>
    <w:rsid w:val="00976E47"/>
    <w:rsid w:val="009808F8"/>
    <w:rsid w:val="00980F80"/>
    <w:rsid w:val="009825E5"/>
    <w:rsid w:val="009827D3"/>
    <w:rsid w:val="009839A8"/>
    <w:rsid w:val="00983CA5"/>
    <w:rsid w:val="0098402A"/>
    <w:rsid w:val="009841A2"/>
    <w:rsid w:val="00984683"/>
    <w:rsid w:val="00984E7B"/>
    <w:rsid w:val="00985155"/>
    <w:rsid w:val="009864D9"/>
    <w:rsid w:val="009865AA"/>
    <w:rsid w:val="00987272"/>
    <w:rsid w:val="00987472"/>
    <w:rsid w:val="0098778F"/>
    <w:rsid w:val="0098785F"/>
    <w:rsid w:val="009901AB"/>
    <w:rsid w:val="0099052E"/>
    <w:rsid w:val="0099340F"/>
    <w:rsid w:val="00993B79"/>
    <w:rsid w:val="00993E11"/>
    <w:rsid w:val="00993E32"/>
    <w:rsid w:val="00994116"/>
    <w:rsid w:val="0099428F"/>
    <w:rsid w:val="009943EA"/>
    <w:rsid w:val="0099476C"/>
    <w:rsid w:val="00994B53"/>
    <w:rsid w:val="00995445"/>
    <w:rsid w:val="009967F2"/>
    <w:rsid w:val="00997693"/>
    <w:rsid w:val="009A098D"/>
    <w:rsid w:val="009A0EC8"/>
    <w:rsid w:val="009A12D8"/>
    <w:rsid w:val="009A2245"/>
    <w:rsid w:val="009A3521"/>
    <w:rsid w:val="009A3605"/>
    <w:rsid w:val="009A3A63"/>
    <w:rsid w:val="009A3BB5"/>
    <w:rsid w:val="009A4B69"/>
    <w:rsid w:val="009A585F"/>
    <w:rsid w:val="009A5A83"/>
    <w:rsid w:val="009A6A55"/>
    <w:rsid w:val="009A6F72"/>
    <w:rsid w:val="009A757F"/>
    <w:rsid w:val="009B10D0"/>
    <w:rsid w:val="009B1D7E"/>
    <w:rsid w:val="009B22A7"/>
    <w:rsid w:val="009B2A2C"/>
    <w:rsid w:val="009B2A6A"/>
    <w:rsid w:val="009B3F2A"/>
    <w:rsid w:val="009B4265"/>
    <w:rsid w:val="009B4904"/>
    <w:rsid w:val="009B5B68"/>
    <w:rsid w:val="009B5FB2"/>
    <w:rsid w:val="009B679E"/>
    <w:rsid w:val="009B6816"/>
    <w:rsid w:val="009B78B5"/>
    <w:rsid w:val="009B7FA2"/>
    <w:rsid w:val="009C0210"/>
    <w:rsid w:val="009C0CBF"/>
    <w:rsid w:val="009C20E6"/>
    <w:rsid w:val="009C286C"/>
    <w:rsid w:val="009C28BA"/>
    <w:rsid w:val="009C585B"/>
    <w:rsid w:val="009C58D5"/>
    <w:rsid w:val="009C5BCD"/>
    <w:rsid w:val="009C5D02"/>
    <w:rsid w:val="009C6283"/>
    <w:rsid w:val="009C6666"/>
    <w:rsid w:val="009C6C97"/>
    <w:rsid w:val="009C75B5"/>
    <w:rsid w:val="009C777A"/>
    <w:rsid w:val="009C7986"/>
    <w:rsid w:val="009C7EF1"/>
    <w:rsid w:val="009D035A"/>
    <w:rsid w:val="009D0B47"/>
    <w:rsid w:val="009D0CB1"/>
    <w:rsid w:val="009D0D23"/>
    <w:rsid w:val="009D10AA"/>
    <w:rsid w:val="009D2FE9"/>
    <w:rsid w:val="009D353D"/>
    <w:rsid w:val="009D3BE5"/>
    <w:rsid w:val="009D3FF2"/>
    <w:rsid w:val="009D431F"/>
    <w:rsid w:val="009D4ACA"/>
    <w:rsid w:val="009D6B53"/>
    <w:rsid w:val="009D7496"/>
    <w:rsid w:val="009D7509"/>
    <w:rsid w:val="009D7BCC"/>
    <w:rsid w:val="009E09EC"/>
    <w:rsid w:val="009E0BDE"/>
    <w:rsid w:val="009E11C4"/>
    <w:rsid w:val="009E1215"/>
    <w:rsid w:val="009E181E"/>
    <w:rsid w:val="009E1DA6"/>
    <w:rsid w:val="009E1F7C"/>
    <w:rsid w:val="009E2506"/>
    <w:rsid w:val="009E2EDA"/>
    <w:rsid w:val="009E30EC"/>
    <w:rsid w:val="009E342C"/>
    <w:rsid w:val="009E3733"/>
    <w:rsid w:val="009E375D"/>
    <w:rsid w:val="009E3AFB"/>
    <w:rsid w:val="009E3DB3"/>
    <w:rsid w:val="009E4191"/>
    <w:rsid w:val="009E4E80"/>
    <w:rsid w:val="009E55EA"/>
    <w:rsid w:val="009E5711"/>
    <w:rsid w:val="009E61F7"/>
    <w:rsid w:val="009E685A"/>
    <w:rsid w:val="009E6A5A"/>
    <w:rsid w:val="009E7427"/>
    <w:rsid w:val="009F1312"/>
    <w:rsid w:val="009F17D8"/>
    <w:rsid w:val="009F1847"/>
    <w:rsid w:val="009F2B35"/>
    <w:rsid w:val="009F2F0B"/>
    <w:rsid w:val="009F328A"/>
    <w:rsid w:val="009F3761"/>
    <w:rsid w:val="009F39D0"/>
    <w:rsid w:val="009F4216"/>
    <w:rsid w:val="009F429E"/>
    <w:rsid w:val="009F54BA"/>
    <w:rsid w:val="009F57BD"/>
    <w:rsid w:val="009F5F7B"/>
    <w:rsid w:val="009F609B"/>
    <w:rsid w:val="009F6EC9"/>
    <w:rsid w:val="00A001D4"/>
    <w:rsid w:val="00A00648"/>
    <w:rsid w:val="00A0071F"/>
    <w:rsid w:val="00A00960"/>
    <w:rsid w:val="00A00B5A"/>
    <w:rsid w:val="00A01392"/>
    <w:rsid w:val="00A01682"/>
    <w:rsid w:val="00A02449"/>
    <w:rsid w:val="00A02756"/>
    <w:rsid w:val="00A02A0D"/>
    <w:rsid w:val="00A039C0"/>
    <w:rsid w:val="00A04233"/>
    <w:rsid w:val="00A04707"/>
    <w:rsid w:val="00A057ED"/>
    <w:rsid w:val="00A065AF"/>
    <w:rsid w:val="00A0694B"/>
    <w:rsid w:val="00A0694D"/>
    <w:rsid w:val="00A06FAB"/>
    <w:rsid w:val="00A10A62"/>
    <w:rsid w:val="00A1281F"/>
    <w:rsid w:val="00A12927"/>
    <w:rsid w:val="00A1296C"/>
    <w:rsid w:val="00A130C7"/>
    <w:rsid w:val="00A14155"/>
    <w:rsid w:val="00A1482A"/>
    <w:rsid w:val="00A15543"/>
    <w:rsid w:val="00A17139"/>
    <w:rsid w:val="00A1779D"/>
    <w:rsid w:val="00A17C91"/>
    <w:rsid w:val="00A2042B"/>
    <w:rsid w:val="00A21108"/>
    <w:rsid w:val="00A21AB4"/>
    <w:rsid w:val="00A21E7E"/>
    <w:rsid w:val="00A21E8C"/>
    <w:rsid w:val="00A22136"/>
    <w:rsid w:val="00A22595"/>
    <w:rsid w:val="00A23479"/>
    <w:rsid w:val="00A244A5"/>
    <w:rsid w:val="00A24741"/>
    <w:rsid w:val="00A247F9"/>
    <w:rsid w:val="00A2643F"/>
    <w:rsid w:val="00A26B3C"/>
    <w:rsid w:val="00A26F08"/>
    <w:rsid w:val="00A2760E"/>
    <w:rsid w:val="00A30738"/>
    <w:rsid w:val="00A30B15"/>
    <w:rsid w:val="00A311FF"/>
    <w:rsid w:val="00A314B4"/>
    <w:rsid w:val="00A3183F"/>
    <w:rsid w:val="00A31AB2"/>
    <w:rsid w:val="00A31DE3"/>
    <w:rsid w:val="00A31EA1"/>
    <w:rsid w:val="00A33DE6"/>
    <w:rsid w:val="00A3437B"/>
    <w:rsid w:val="00A348A0"/>
    <w:rsid w:val="00A34B4F"/>
    <w:rsid w:val="00A34C1D"/>
    <w:rsid w:val="00A35714"/>
    <w:rsid w:val="00A35E4E"/>
    <w:rsid w:val="00A360D6"/>
    <w:rsid w:val="00A36A2C"/>
    <w:rsid w:val="00A373F8"/>
    <w:rsid w:val="00A37AC1"/>
    <w:rsid w:val="00A40458"/>
    <w:rsid w:val="00A404EA"/>
    <w:rsid w:val="00A41CB7"/>
    <w:rsid w:val="00A4337F"/>
    <w:rsid w:val="00A442F6"/>
    <w:rsid w:val="00A44A6F"/>
    <w:rsid w:val="00A44C90"/>
    <w:rsid w:val="00A47B5E"/>
    <w:rsid w:val="00A47EC7"/>
    <w:rsid w:val="00A47FF4"/>
    <w:rsid w:val="00A50E19"/>
    <w:rsid w:val="00A51448"/>
    <w:rsid w:val="00A51D7E"/>
    <w:rsid w:val="00A52A0F"/>
    <w:rsid w:val="00A52EAA"/>
    <w:rsid w:val="00A538A1"/>
    <w:rsid w:val="00A53AC2"/>
    <w:rsid w:val="00A54392"/>
    <w:rsid w:val="00A5504A"/>
    <w:rsid w:val="00A554D0"/>
    <w:rsid w:val="00A55D8C"/>
    <w:rsid w:val="00A56062"/>
    <w:rsid w:val="00A56CAD"/>
    <w:rsid w:val="00A57065"/>
    <w:rsid w:val="00A570B2"/>
    <w:rsid w:val="00A57172"/>
    <w:rsid w:val="00A57300"/>
    <w:rsid w:val="00A5782B"/>
    <w:rsid w:val="00A57DC0"/>
    <w:rsid w:val="00A6041D"/>
    <w:rsid w:val="00A60749"/>
    <w:rsid w:val="00A60B42"/>
    <w:rsid w:val="00A60F3E"/>
    <w:rsid w:val="00A62635"/>
    <w:rsid w:val="00A62ACB"/>
    <w:rsid w:val="00A633CE"/>
    <w:rsid w:val="00A63E0D"/>
    <w:rsid w:val="00A642EE"/>
    <w:rsid w:val="00A646A9"/>
    <w:rsid w:val="00A64A0D"/>
    <w:rsid w:val="00A655DD"/>
    <w:rsid w:val="00A65AA5"/>
    <w:rsid w:val="00A66140"/>
    <w:rsid w:val="00A66C79"/>
    <w:rsid w:val="00A671D7"/>
    <w:rsid w:val="00A67419"/>
    <w:rsid w:val="00A67569"/>
    <w:rsid w:val="00A67B87"/>
    <w:rsid w:val="00A702E5"/>
    <w:rsid w:val="00A705CA"/>
    <w:rsid w:val="00A707F7"/>
    <w:rsid w:val="00A719B4"/>
    <w:rsid w:val="00A71AC0"/>
    <w:rsid w:val="00A725DE"/>
    <w:rsid w:val="00A742C4"/>
    <w:rsid w:val="00A748F7"/>
    <w:rsid w:val="00A74996"/>
    <w:rsid w:val="00A74B42"/>
    <w:rsid w:val="00A74F03"/>
    <w:rsid w:val="00A75870"/>
    <w:rsid w:val="00A75EB1"/>
    <w:rsid w:val="00A77387"/>
    <w:rsid w:val="00A8021A"/>
    <w:rsid w:val="00A8022F"/>
    <w:rsid w:val="00A810FE"/>
    <w:rsid w:val="00A81592"/>
    <w:rsid w:val="00A81903"/>
    <w:rsid w:val="00A83775"/>
    <w:rsid w:val="00A83798"/>
    <w:rsid w:val="00A84568"/>
    <w:rsid w:val="00A84C65"/>
    <w:rsid w:val="00A84D22"/>
    <w:rsid w:val="00A84DA8"/>
    <w:rsid w:val="00A84E54"/>
    <w:rsid w:val="00A84FB9"/>
    <w:rsid w:val="00A851E1"/>
    <w:rsid w:val="00A8544D"/>
    <w:rsid w:val="00A86BBC"/>
    <w:rsid w:val="00A87E0C"/>
    <w:rsid w:val="00A91316"/>
    <w:rsid w:val="00A91F1D"/>
    <w:rsid w:val="00A92B5D"/>
    <w:rsid w:val="00A92EDF"/>
    <w:rsid w:val="00A93C8E"/>
    <w:rsid w:val="00A94C46"/>
    <w:rsid w:val="00A94D85"/>
    <w:rsid w:val="00A956BA"/>
    <w:rsid w:val="00A95C45"/>
    <w:rsid w:val="00A9693A"/>
    <w:rsid w:val="00A96ACF"/>
    <w:rsid w:val="00A96F48"/>
    <w:rsid w:val="00A96F6A"/>
    <w:rsid w:val="00A973C3"/>
    <w:rsid w:val="00AA0680"/>
    <w:rsid w:val="00AA0897"/>
    <w:rsid w:val="00AA08C5"/>
    <w:rsid w:val="00AA1021"/>
    <w:rsid w:val="00AA1F49"/>
    <w:rsid w:val="00AA23D2"/>
    <w:rsid w:val="00AA2F64"/>
    <w:rsid w:val="00AA4A22"/>
    <w:rsid w:val="00AA4DA1"/>
    <w:rsid w:val="00AA6207"/>
    <w:rsid w:val="00AA64A4"/>
    <w:rsid w:val="00AA72E8"/>
    <w:rsid w:val="00AB0182"/>
    <w:rsid w:val="00AB097F"/>
    <w:rsid w:val="00AB1B71"/>
    <w:rsid w:val="00AB2914"/>
    <w:rsid w:val="00AB45A7"/>
    <w:rsid w:val="00AB45CB"/>
    <w:rsid w:val="00AB4914"/>
    <w:rsid w:val="00AB4F68"/>
    <w:rsid w:val="00AB52C9"/>
    <w:rsid w:val="00AB59CF"/>
    <w:rsid w:val="00AB625D"/>
    <w:rsid w:val="00AB6A15"/>
    <w:rsid w:val="00AB6DD7"/>
    <w:rsid w:val="00AB7F5D"/>
    <w:rsid w:val="00AC017A"/>
    <w:rsid w:val="00AC0711"/>
    <w:rsid w:val="00AC0F4C"/>
    <w:rsid w:val="00AC0F9A"/>
    <w:rsid w:val="00AC10AA"/>
    <w:rsid w:val="00AC13F6"/>
    <w:rsid w:val="00AC21E5"/>
    <w:rsid w:val="00AC265B"/>
    <w:rsid w:val="00AC34F9"/>
    <w:rsid w:val="00AC42AC"/>
    <w:rsid w:val="00AC4B2E"/>
    <w:rsid w:val="00AC731C"/>
    <w:rsid w:val="00AC7EE2"/>
    <w:rsid w:val="00AD054C"/>
    <w:rsid w:val="00AD178F"/>
    <w:rsid w:val="00AD35FC"/>
    <w:rsid w:val="00AD3731"/>
    <w:rsid w:val="00AD376D"/>
    <w:rsid w:val="00AD398B"/>
    <w:rsid w:val="00AD404C"/>
    <w:rsid w:val="00AD42BC"/>
    <w:rsid w:val="00AD4565"/>
    <w:rsid w:val="00AD4C23"/>
    <w:rsid w:val="00AD4D3C"/>
    <w:rsid w:val="00AD57CA"/>
    <w:rsid w:val="00AD6A12"/>
    <w:rsid w:val="00AD7059"/>
    <w:rsid w:val="00AD78D0"/>
    <w:rsid w:val="00AE0121"/>
    <w:rsid w:val="00AE03C7"/>
    <w:rsid w:val="00AE04CB"/>
    <w:rsid w:val="00AE104E"/>
    <w:rsid w:val="00AE124B"/>
    <w:rsid w:val="00AE17B5"/>
    <w:rsid w:val="00AE23C8"/>
    <w:rsid w:val="00AE2422"/>
    <w:rsid w:val="00AE2EE9"/>
    <w:rsid w:val="00AE4E7C"/>
    <w:rsid w:val="00AE5662"/>
    <w:rsid w:val="00AE5F7C"/>
    <w:rsid w:val="00AE60C3"/>
    <w:rsid w:val="00AE7828"/>
    <w:rsid w:val="00AF0967"/>
    <w:rsid w:val="00AF0E86"/>
    <w:rsid w:val="00AF0E8B"/>
    <w:rsid w:val="00AF11CE"/>
    <w:rsid w:val="00AF12EF"/>
    <w:rsid w:val="00AF1446"/>
    <w:rsid w:val="00AF226F"/>
    <w:rsid w:val="00AF2C95"/>
    <w:rsid w:val="00AF310D"/>
    <w:rsid w:val="00AF33F8"/>
    <w:rsid w:val="00AF4073"/>
    <w:rsid w:val="00AF42D8"/>
    <w:rsid w:val="00AF4410"/>
    <w:rsid w:val="00AF4F32"/>
    <w:rsid w:val="00AF5689"/>
    <w:rsid w:val="00AF5C8B"/>
    <w:rsid w:val="00AF69B2"/>
    <w:rsid w:val="00AF75AE"/>
    <w:rsid w:val="00AF7CA0"/>
    <w:rsid w:val="00B0033C"/>
    <w:rsid w:val="00B00BA0"/>
    <w:rsid w:val="00B00F16"/>
    <w:rsid w:val="00B01B1E"/>
    <w:rsid w:val="00B01C70"/>
    <w:rsid w:val="00B01E8E"/>
    <w:rsid w:val="00B02CFF"/>
    <w:rsid w:val="00B03C55"/>
    <w:rsid w:val="00B03E70"/>
    <w:rsid w:val="00B042F6"/>
    <w:rsid w:val="00B04B70"/>
    <w:rsid w:val="00B04CE0"/>
    <w:rsid w:val="00B04FCB"/>
    <w:rsid w:val="00B0525A"/>
    <w:rsid w:val="00B06ADF"/>
    <w:rsid w:val="00B06D2E"/>
    <w:rsid w:val="00B06FE9"/>
    <w:rsid w:val="00B071E4"/>
    <w:rsid w:val="00B072C8"/>
    <w:rsid w:val="00B07951"/>
    <w:rsid w:val="00B07E11"/>
    <w:rsid w:val="00B1080C"/>
    <w:rsid w:val="00B12150"/>
    <w:rsid w:val="00B12E6F"/>
    <w:rsid w:val="00B12FD9"/>
    <w:rsid w:val="00B13481"/>
    <w:rsid w:val="00B13795"/>
    <w:rsid w:val="00B14204"/>
    <w:rsid w:val="00B145D5"/>
    <w:rsid w:val="00B1490D"/>
    <w:rsid w:val="00B155C1"/>
    <w:rsid w:val="00B1676C"/>
    <w:rsid w:val="00B16AB2"/>
    <w:rsid w:val="00B17EDC"/>
    <w:rsid w:val="00B20CC6"/>
    <w:rsid w:val="00B211C4"/>
    <w:rsid w:val="00B228A3"/>
    <w:rsid w:val="00B22B0F"/>
    <w:rsid w:val="00B242A5"/>
    <w:rsid w:val="00B24AE1"/>
    <w:rsid w:val="00B24C94"/>
    <w:rsid w:val="00B251E1"/>
    <w:rsid w:val="00B26469"/>
    <w:rsid w:val="00B26D1F"/>
    <w:rsid w:val="00B274B1"/>
    <w:rsid w:val="00B27510"/>
    <w:rsid w:val="00B307DA"/>
    <w:rsid w:val="00B30A6A"/>
    <w:rsid w:val="00B3137B"/>
    <w:rsid w:val="00B31D65"/>
    <w:rsid w:val="00B32331"/>
    <w:rsid w:val="00B32FB4"/>
    <w:rsid w:val="00B344F3"/>
    <w:rsid w:val="00B3469F"/>
    <w:rsid w:val="00B34FA2"/>
    <w:rsid w:val="00B3543E"/>
    <w:rsid w:val="00B360CC"/>
    <w:rsid w:val="00B36A8D"/>
    <w:rsid w:val="00B3736A"/>
    <w:rsid w:val="00B405B8"/>
    <w:rsid w:val="00B40B47"/>
    <w:rsid w:val="00B41450"/>
    <w:rsid w:val="00B4183C"/>
    <w:rsid w:val="00B4200C"/>
    <w:rsid w:val="00B42595"/>
    <w:rsid w:val="00B42764"/>
    <w:rsid w:val="00B42A46"/>
    <w:rsid w:val="00B42B5E"/>
    <w:rsid w:val="00B43CD4"/>
    <w:rsid w:val="00B44D73"/>
    <w:rsid w:val="00B45503"/>
    <w:rsid w:val="00B459C0"/>
    <w:rsid w:val="00B4643E"/>
    <w:rsid w:val="00B46926"/>
    <w:rsid w:val="00B46F9E"/>
    <w:rsid w:val="00B47CF8"/>
    <w:rsid w:val="00B5013F"/>
    <w:rsid w:val="00B50DFF"/>
    <w:rsid w:val="00B524ED"/>
    <w:rsid w:val="00B534F0"/>
    <w:rsid w:val="00B542F4"/>
    <w:rsid w:val="00B542FD"/>
    <w:rsid w:val="00B54BBA"/>
    <w:rsid w:val="00B55040"/>
    <w:rsid w:val="00B55F52"/>
    <w:rsid w:val="00B56692"/>
    <w:rsid w:val="00B57313"/>
    <w:rsid w:val="00B577FB"/>
    <w:rsid w:val="00B60AC2"/>
    <w:rsid w:val="00B60B40"/>
    <w:rsid w:val="00B60B51"/>
    <w:rsid w:val="00B61360"/>
    <w:rsid w:val="00B61673"/>
    <w:rsid w:val="00B61969"/>
    <w:rsid w:val="00B61B3A"/>
    <w:rsid w:val="00B61E22"/>
    <w:rsid w:val="00B62A7E"/>
    <w:rsid w:val="00B62E51"/>
    <w:rsid w:val="00B631F5"/>
    <w:rsid w:val="00B636F1"/>
    <w:rsid w:val="00B63D9E"/>
    <w:rsid w:val="00B64CA8"/>
    <w:rsid w:val="00B653B7"/>
    <w:rsid w:val="00B65669"/>
    <w:rsid w:val="00B663E3"/>
    <w:rsid w:val="00B669CE"/>
    <w:rsid w:val="00B67743"/>
    <w:rsid w:val="00B70181"/>
    <w:rsid w:val="00B702BF"/>
    <w:rsid w:val="00B7056D"/>
    <w:rsid w:val="00B70823"/>
    <w:rsid w:val="00B70B90"/>
    <w:rsid w:val="00B7106E"/>
    <w:rsid w:val="00B71EB3"/>
    <w:rsid w:val="00B731B6"/>
    <w:rsid w:val="00B73B45"/>
    <w:rsid w:val="00B741D4"/>
    <w:rsid w:val="00B744F4"/>
    <w:rsid w:val="00B74BB4"/>
    <w:rsid w:val="00B751CD"/>
    <w:rsid w:val="00B758B7"/>
    <w:rsid w:val="00B76851"/>
    <w:rsid w:val="00B76F78"/>
    <w:rsid w:val="00B7758C"/>
    <w:rsid w:val="00B8039D"/>
    <w:rsid w:val="00B80EC1"/>
    <w:rsid w:val="00B81305"/>
    <w:rsid w:val="00B8499C"/>
    <w:rsid w:val="00B851FB"/>
    <w:rsid w:val="00B85EF2"/>
    <w:rsid w:val="00B863F1"/>
    <w:rsid w:val="00B86D9E"/>
    <w:rsid w:val="00B87482"/>
    <w:rsid w:val="00B87520"/>
    <w:rsid w:val="00B87C1E"/>
    <w:rsid w:val="00B87C9C"/>
    <w:rsid w:val="00B87D50"/>
    <w:rsid w:val="00B90C0A"/>
    <w:rsid w:val="00B92038"/>
    <w:rsid w:val="00B93267"/>
    <w:rsid w:val="00B9385B"/>
    <w:rsid w:val="00B94506"/>
    <w:rsid w:val="00B95894"/>
    <w:rsid w:val="00B97348"/>
    <w:rsid w:val="00B97422"/>
    <w:rsid w:val="00BA28E5"/>
    <w:rsid w:val="00BA2F61"/>
    <w:rsid w:val="00BA4610"/>
    <w:rsid w:val="00BA4773"/>
    <w:rsid w:val="00BA5492"/>
    <w:rsid w:val="00BA5B9F"/>
    <w:rsid w:val="00BA6989"/>
    <w:rsid w:val="00BA7AB2"/>
    <w:rsid w:val="00BA7C51"/>
    <w:rsid w:val="00BB0471"/>
    <w:rsid w:val="00BB0DDC"/>
    <w:rsid w:val="00BB0EA6"/>
    <w:rsid w:val="00BB20A6"/>
    <w:rsid w:val="00BB39DF"/>
    <w:rsid w:val="00BB67C1"/>
    <w:rsid w:val="00BB6B5B"/>
    <w:rsid w:val="00BB738B"/>
    <w:rsid w:val="00BC09D1"/>
    <w:rsid w:val="00BC1BCA"/>
    <w:rsid w:val="00BC1F18"/>
    <w:rsid w:val="00BC2108"/>
    <w:rsid w:val="00BC2809"/>
    <w:rsid w:val="00BC374B"/>
    <w:rsid w:val="00BC4273"/>
    <w:rsid w:val="00BC4D38"/>
    <w:rsid w:val="00BC53EE"/>
    <w:rsid w:val="00BD196D"/>
    <w:rsid w:val="00BD4492"/>
    <w:rsid w:val="00BD4F7D"/>
    <w:rsid w:val="00BD5FAF"/>
    <w:rsid w:val="00BD6B54"/>
    <w:rsid w:val="00BD7862"/>
    <w:rsid w:val="00BD7BFC"/>
    <w:rsid w:val="00BD7D60"/>
    <w:rsid w:val="00BE06A0"/>
    <w:rsid w:val="00BE0817"/>
    <w:rsid w:val="00BE09ED"/>
    <w:rsid w:val="00BE1975"/>
    <w:rsid w:val="00BE2037"/>
    <w:rsid w:val="00BE23F2"/>
    <w:rsid w:val="00BE2CAF"/>
    <w:rsid w:val="00BE33E4"/>
    <w:rsid w:val="00BE345D"/>
    <w:rsid w:val="00BE36CD"/>
    <w:rsid w:val="00BE388F"/>
    <w:rsid w:val="00BE439D"/>
    <w:rsid w:val="00BE4C17"/>
    <w:rsid w:val="00BE58C2"/>
    <w:rsid w:val="00BE619B"/>
    <w:rsid w:val="00BE752E"/>
    <w:rsid w:val="00BE770B"/>
    <w:rsid w:val="00BE7889"/>
    <w:rsid w:val="00BE7A62"/>
    <w:rsid w:val="00BF021E"/>
    <w:rsid w:val="00BF05A2"/>
    <w:rsid w:val="00BF0A8D"/>
    <w:rsid w:val="00BF1CFB"/>
    <w:rsid w:val="00BF1E50"/>
    <w:rsid w:val="00BF1EF9"/>
    <w:rsid w:val="00BF2F19"/>
    <w:rsid w:val="00BF3374"/>
    <w:rsid w:val="00BF3623"/>
    <w:rsid w:val="00BF3880"/>
    <w:rsid w:val="00BF44CD"/>
    <w:rsid w:val="00BF45FC"/>
    <w:rsid w:val="00BF4D11"/>
    <w:rsid w:val="00BF515C"/>
    <w:rsid w:val="00BF5798"/>
    <w:rsid w:val="00BF5D4A"/>
    <w:rsid w:val="00BF5D79"/>
    <w:rsid w:val="00BF65C4"/>
    <w:rsid w:val="00C00FFE"/>
    <w:rsid w:val="00C01208"/>
    <w:rsid w:val="00C012D1"/>
    <w:rsid w:val="00C02AE5"/>
    <w:rsid w:val="00C02D2A"/>
    <w:rsid w:val="00C03AA0"/>
    <w:rsid w:val="00C042B7"/>
    <w:rsid w:val="00C049F5"/>
    <w:rsid w:val="00C051CA"/>
    <w:rsid w:val="00C05386"/>
    <w:rsid w:val="00C059DE"/>
    <w:rsid w:val="00C061CD"/>
    <w:rsid w:val="00C06BFC"/>
    <w:rsid w:val="00C06E3B"/>
    <w:rsid w:val="00C07C73"/>
    <w:rsid w:val="00C1165A"/>
    <w:rsid w:val="00C11879"/>
    <w:rsid w:val="00C11D5D"/>
    <w:rsid w:val="00C13161"/>
    <w:rsid w:val="00C141ED"/>
    <w:rsid w:val="00C16688"/>
    <w:rsid w:val="00C16B67"/>
    <w:rsid w:val="00C17121"/>
    <w:rsid w:val="00C17337"/>
    <w:rsid w:val="00C17378"/>
    <w:rsid w:val="00C17435"/>
    <w:rsid w:val="00C177AF"/>
    <w:rsid w:val="00C17B8A"/>
    <w:rsid w:val="00C17C4E"/>
    <w:rsid w:val="00C200D7"/>
    <w:rsid w:val="00C205AA"/>
    <w:rsid w:val="00C20C33"/>
    <w:rsid w:val="00C20FF0"/>
    <w:rsid w:val="00C2228C"/>
    <w:rsid w:val="00C22872"/>
    <w:rsid w:val="00C2294E"/>
    <w:rsid w:val="00C248C9"/>
    <w:rsid w:val="00C25015"/>
    <w:rsid w:val="00C26E19"/>
    <w:rsid w:val="00C274AB"/>
    <w:rsid w:val="00C277C3"/>
    <w:rsid w:val="00C27BA3"/>
    <w:rsid w:val="00C30364"/>
    <w:rsid w:val="00C31F95"/>
    <w:rsid w:val="00C3367E"/>
    <w:rsid w:val="00C3412E"/>
    <w:rsid w:val="00C34C5E"/>
    <w:rsid w:val="00C34E10"/>
    <w:rsid w:val="00C34F2E"/>
    <w:rsid w:val="00C367B5"/>
    <w:rsid w:val="00C3766C"/>
    <w:rsid w:val="00C37E33"/>
    <w:rsid w:val="00C410BD"/>
    <w:rsid w:val="00C41CEE"/>
    <w:rsid w:val="00C41D4C"/>
    <w:rsid w:val="00C42227"/>
    <w:rsid w:val="00C42D39"/>
    <w:rsid w:val="00C43006"/>
    <w:rsid w:val="00C43122"/>
    <w:rsid w:val="00C44264"/>
    <w:rsid w:val="00C449E2"/>
    <w:rsid w:val="00C449E3"/>
    <w:rsid w:val="00C45969"/>
    <w:rsid w:val="00C45D09"/>
    <w:rsid w:val="00C4621D"/>
    <w:rsid w:val="00C4644B"/>
    <w:rsid w:val="00C46DAC"/>
    <w:rsid w:val="00C47A68"/>
    <w:rsid w:val="00C47CD7"/>
    <w:rsid w:val="00C47F69"/>
    <w:rsid w:val="00C511FB"/>
    <w:rsid w:val="00C51812"/>
    <w:rsid w:val="00C5249D"/>
    <w:rsid w:val="00C527AC"/>
    <w:rsid w:val="00C54416"/>
    <w:rsid w:val="00C552DC"/>
    <w:rsid w:val="00C5544A"/>
    <w:rsid w:val="00C5568B"/>
    <w:rsid w:val="00C55A2A"/>
    <w:rsid w:val="00C56736"/>
    <w:rsid w:val="00C56A53"/>
    <w:rsid w:val="00C56D2A"/>
    <w:rsid w:val="00C575C9"/>
    <w:rsid w:val="00C5781A"/>
    <w:rsid w:val="00C60777"/>
    <w:rsid w:val="00C6083C"/>
    <w:rsid w:val="00C6169F"/>
    <w:rsid w:val="00C61C64"/>
    <w:rsid w:val="00C6214F"/>
    <w:rsid w:val="00C62236"/>
    <w:rsid w:val="00C62418"/>
    <w:rsid w:val="00C65B08"/>
    <w:rsid w:val="00C65CBA"/>
    <w:rsid w:val="00C660A2"/>
    <w:rsid w:val="00C66225"/>
    <w:rsid w:val="00C669A1"/>
    <w:rsid w:val="00C66F26"/>
    <w:rsid w:val="00C675F8"/>
    <w:rsid w:val="00C715CB"/>
    <w:rsid w:val="00C7236F"/>
    <w:rsid w:val="00C72A71"/>
    <w:rsid w:val="00C737E8"/>
    <w:rsid w:val="00C74440"/>
    <w:rsid w:val="00C74D04"/>
    <w:rsid w:val="00C74D13"/>
    <w:rsid w:val="00C75D4D"/>
    <w:rsid w:val="00C776F7"/>
    <w:rsid w:val="00C77909"/>
    <w:rsid w:val="00C8072B"/>
    <w:rsid w:val="00C8174D"/>
    <w:rsid w:val="00C82CCF"/>
    <w:rsid w:val="00C83573"/>
    <w:rsid w:val="00C83787"/>
    <w:rsid w:val="00C83CA7"/>
    <w:rsid w:val="00C8467A"/>
    <w:rsid w:val="00C852C3"/>
    <w:rsid w:val="00C85436"/>
    <w:rsid w:val="00C854E1"/>
    <w:rsid w:val="00C85E3D"/>
    <w:rsid w:val="00C86057"/>
    <w:rsid w:val="00C86244"/>
    <w:rsid w:val="00C863FE"/>
    <w:rsid w:val="00C876F1"/>
    <w:rsid w:val="00C87E81"/>
    <w:rsid w:val="00C90325"/>
    <w:rsid w:val="00C92623"/>
    <w:rsid w:val="00C92821"/>
    <w:rsid w:val="00C9573A"/>
    <w:rsid w:val="00C960BE"/>
    <w:rsid w:val="00C96782"/>
    <w:rsid w:val="00C97832"/>
    <w:rsid w:val="00CA008A"/>
    <w:rsid w:val="00CA0A06"/>
    <w:rsid w:val="00CA1902"/>
    <w:rsid w:val="00CA1CD3"/>
    <w:rsid w:val="00CA1EA9"/>
    <w:rsid w:val="00CA26BC"/>
    <w:rsid w:val="00CA3231"/>
    <w:rsid w:val="00CA342C"/>
    <w:rsid w:val="00CA3B51"/>
    <w:rsid w:val="00CA505B"/>
    <w:rsid w:val="00CA6953"/>
    <w:rsid w:val="00CA6F3F"/>
    <w:rsid w:val="00CB0944"/>
    <w:rsid w:val="00CB1421"/>
    <w:rsid w:val="00CB211C"/>
    <w:rsid w:val="00CB24B6"/>
    <w:rsid w:val="00CB2B01"/>
    <w:rsid w:val="00CB38C2"/>
    <w:rsid w:val="00CB4365"/>
    <w:rsid w:val="00CB4A54"/>
    <w:rsid w:val="00CB5AC5"/>
    <w:rsid w:val="00CB6646"/>
    <w:rsid w:val="00CB668B"/>
    <w:rsid w:val="00CB6A08"/>
    <w:rsid w:val="00CB6E5A"/>
    <w:rsid w:val="00CB706A"/>
    <w:rsid w:val="00CC013B"/>
    <w:rsid w:val="00CC0680"/>
    <w:rsid w:val="00CC07C7"/>
    <w:rsid w:val="00CC0862"/>
    <w:rsid w:val="00CC0A9E"/>
    <w:rsid w:val="00CC18AE"/>
    <w:rsid w:val="00CC1936"/>
    <w:rsid w:val="00CC1C5E"/>
    <w:rsid w:val="00CC2D21"/>
    <w:rsid w:val="00CC3856"/>
    <w:rsid w:val="00CC3BF2"/>
    <w:rsid w:val="00CC3E57"/>
    <w:rsid w:val="00CC43E1"/>
    <w:rsid w:val="00CC4930"/>
    <w:rsid w:val="00CC4F0D"/>
    <w:rsid w:val="00CC5336"/>
    <w:rsid w:val="00CC5BBB"/>
    <w:rsid w:val="00CC7687"/>
    <w:rsid w:val="00CC7DCB"/>
    <w:rsid w:val="00CD0289"/>
    <w:rsid w:val="00CD0596"/>
    <w:rsid w:val="00CD086B"/>
    <w:rsid w:val="00CD0C0B"/>
    <w:rsid w:val="00CD0FE1"/>
    <w:rsid w:val="00CD1ABB"/>
    <w:rsid w:val="00CD1E63"/>
    <w:rsid w:val="00CD2751"/>
    <w:rsid w:val="00CD275B"/>
    <w:rsid w:val="00CD2B48"/>
    <w:rsid w:val="00CD2C1A"/>
    <w:rsid w:val="00CD39D5"/>
    <w:rsid w:val="00CD3AC4"/>
    <w:rsid w:val="00CD3CDA"/>
    <w:rsid w:val="00CD4899"/>
    <w:rsid w:val="00CD4EA7"/>
    <w:rsid w:val="00CD56D6"/>
    <w:rsid w:val="00CD632E"/>
    <w:rsid w:val="00CD667E"/>
    <w:rsid w:val="00CD6877"/>
    <w:rsid w:val="00CD70AC"/>
    <w:rsid w:val="00CD7289"/>
    <w:rsid w:val="00CD7679"/>
    <w:rsid w:val="00CE03DB"/>
    <w:rsid w:val="00CE1AE3"/>
    <w:rsid w:val="00CE3B8C"/>
    <w:rsid w:val="00CE4A08"/>
    <w:rsid w:val="00CE4A9A"/>
    <w:rsid w:val="00CE5B0E"/>
    <w:rsid w:val="00CE78D8"/>
    <w:rsid w:val="00CE7CAC"/>
    <w:rsid w:val="00CF048D"/>
    <w:rsid w:val="00CF06A7"/>
    <w:rsid w:val="00CF1763"/>
    <w:rsid w:val="00CF1CA4"/>
    <w:rsid w:val="00CF3C05"/>
    <w:rsid w:val="00CF4594"/>
    <w:rsid w:val="00CF4E67"/>
    <w:rsid w:val="00CF5CDE"/>
    <w:rsid w:val="00CF5EB7"/>
    <w:rsid w:val="00CF672C"/>
    <w:rsid w:val="00CF7339"/>
    <w:rsid w:val="00D01263"/>
    <w:rsid w:val="00D0153B"/>
    <w:rsid w:val="00D01AA2"/>
    <w:rsid w:val="00D01DB2"/>
    <w:rsid w:val="00D02443"/>
    <w:rsid w:val="00D02E1F"/>
    <w:rsid w:val="00D03A0F"/>
    <w:rsid w:val="00D0415F"/>
    <w:rsid w:val="00D0456D"/>
    <w:rsid w:val="00D04662"/>
    <w:rsid w:val="00D0659D"/>
    <w:rsid w:val="00D06E77"/>
    <w:rsid w:val="00D07326"/>
    <w:rsid w:val="00D0790F"/>
    <w:rsid w:val="00D103F1"/>
    <w:rsid w:val="00D121EF"/>
    <w:rsid w:val="00D129EA"/>
    <w:rsid w:val="00D12A0B"/>
    <w:rsid w:val="00D13CC8"/>
    <w:rsid w:val="00D15079"/>
    <w:rsid w:val="00D16288"/>
    <w:rsid w:val="00D16B5F"/>
    <w:rsid w:val="00D16BF6"/>
    <w:rsid w:val="00D16DFB"/>
    <w:rsid w:val="00D1703E"/>
    <w:rsid w:val="00D1748E"/>
    <w:rsid w:val="00D2044F"/>
    <w:rsid w:val="00D21A59"/>
    <w:rsid w:val="00D22482"/>
    <w:rsid w:val="00D2297F"/>
    <w:rsid w:val="00D22F91"/>
    <w:rsid w:val="00D23A53"/>
    <w:rsid w:val="00D245AF"/>
    <w:rsid w:val="00D24631"/>
    <w:rsid w:val="00D26595"/>
    <w:rsid w:val="00D26F80"/>
    <w:rsid w:val="00D27B17"/>
    <w:rsid w:val="00D30625"/>
    <w:rsid w:val="00D3090B"/>
    <w:rsid w:val="00D3105F"/>
    <w:rsid w:val="00D317F9"/>
    <w:rsid w:val="00D32A68"/>
    <w:rsid w:val="00D3540C"/>
    <w:rsid w:val="00D35FF4"/>
    <w:rsid w:val="00D369EC"/>
    <w:rsid w:val="00D36E22"/>
    <w:rsid w:val="00D36F9E"/>
    <w:rsid w:val="00D37D32"/>
    <w:rsid w:val="00D37E16"/>
    <w:rsid w:val="00D40366"/>
    <w:rsid w:val="00D40D25"/>
    <w:rsid w:val="00D418C2"/>
    <w:rsid w:val="00D41F2A"/>
    <w:rsid w:val="00D42303"/>
    <w:rsid w:val="00D430F7"/>
    <w:rsid w:val="00D43F58"/>
    <w:rsid w:val="00D443BD"/>
    <w:rsid w:val="00D44457"/>
    <w:rsid w:val="00D4495D"/>
    <w:rsid w:val="00D4616F"/>
    <w:rsid w:val="00D4762F"/>
    <w:rsid w:val="00D47C3C"/>
    <w:rsid w:val="00D47F78"/>
    <w:rsid w:val="00D502CA"/>
    <w:rsid w:val="00D50FA5"/>
    <w:rsid w:val="00D50FE9"/>
    <w:rsid w:val="00D5112D"/>
    <w:rsid w:val="00D52385"/>
    <w:rsid w:val="00D52E15"/>
    <w:rsid w:val="00D52F2A"/>
    <w:rsid w:val="00D537A8"/>
    <w:rsid w:val="00D540E2"/>
    <w:rsid w:val="00D549AA"/>
    <w:rsid w:val="00D555DC"/>
    <w:rsid w:val="00D55F08"/>
    <w:rsid w:val="00D561B5"/>
    <w:rsid w:val="00D567E4"/>
    <w:rsid w:val="00D56E75"/>
    <w:rsid w:val="00D5717B"/>
    <w:rsid w:val="00D578B4"/>
    <w:rsid w:val="00D57D2E"/>
    <w:rsid w:val="00D61486"/>
    <w:rsid w:val="00D6150E"/>
    <w:rsid w:val="00D61FE8"/>
    <w:rsid w:val="00D63445"/>
    <w:rsid w:val="00D6362C"/>
    <w:rsid w:val="00D63B82"/>
    <w:rsid w:val="00D64716"/>
    <w:rsid w:val="00D64EC8"/>
    <w:rsid w:val="00D64F91"/>
    <w:rsid w:val="00D665F9"/>
    <w:rsid w:val="00D66EF9"/>
    <w:rsid w:val="00D6736A"/>
    <w:rsid w:val="00D675D9"/>
    <w:rsid w:val="00D67BA3"/>
    <w:rsid w:val="00D70934"/>
    <w:rsid w:val="00D70F54"/>
    <w:rsid w:val="00D714AB"/>
    <w:rsid w:val="00D71C75"/>
    <w:rsid w:val="00D724A0"/>
    <w:rsid w:val="00D72536"/>
    <w:rsid w:val="00D72909"/>
    <w:rsid w:val="00D729CB"/>
    <w:rsid w:val="00D73950"/>
    <w:rsid w:val="00D73FE3"/>
    <w:rsid w:val="00D7405D"/>
    <w:rsid w:val="00D744E4"/>
    <w:rsid w:val="00D74828"/>
    <w:rsid w:val="00D76048"/>
    <w:rsid w:val="00D76F02"/>
    <w:rsid w:val="00D77642"/>
    <w:rsid w:val="00D77E91"/>
    <w:rsid w:val="00D81735"/>
    <w:rsid w:val="00D8185A"/>
    <w:rsid w:val="00D8230A"/>
    <w:rsid w:val="00D82527"/>
    <w:rsid w:val="00D8289C"/>
    <w:rsid w:val="00D82BCC"/>
    <w:rsid w:val="00D83E45"/>
    <w:rsid w:val="00D84A02"/>
    <w:rsid w:val="00D84CBC"/>
    <w:rsid w:val="00D866FE"/>
    <w:rsid w:val="00D86730"/>
    <w:rsid w:val="00D86BAF"/>
    <w:rsid w:val="00D9036B"/>
    <w:rsid w:val="00D903F2"/>
    <w:rsid w:val="00D9069F"/>
    <w:rsid w:val="00D909C3"/>
    <w:rsid w:val="00D909D4"/>
    <w:rsid w:val="00D90ED4"/>
    <w:rsid w:val="00D9113C"/>
    <w:rsid w:val="00D91224"/>
    <w:rsid w:val="00D919F4"/>
    <w:rsid w:val="00D923DB"/>
    <w:rsid w:val="00D93B3D"/>
    <w:rsid w:val="00D946ED"/>
    <w:rsid w:val="00D9497B"/>
    <w:rsid w:val="00D9558A"/>
    <w:rsid w:val="00D96118"/>
    <w:rsid w:val="00D9671C"/>
    <w:rsid w:val="00D96D90"/>
    <w:rsid w:val="00D97FB6"/>
    <w:rsid w:val="00DA0657"/>
    <w:rsid w:val="00DA0A88"/>
    <w:rsid w:val="00DA138A"/>
    <w:rsid w:val="00DA1E2B"/>
    <w:rsid w:val="00DA2D65"/>
    <w:rsid w:val="00DA356D"/>
    <w:rsid w:val="00DA3958"/>
    <w:rsid w:val="00DA44C0"/>
    <w:rsid w:val="00DA4799"/>
    <w:rsid w:val="00DA49BB"/>
    <w:rsid w:val="00DA4C6E"/>
    <w:rsid w:val="00DA4E5C"/>
    <w:rsid w:val="00DA55E8"/>
    <w:rsid w:val="00DA5763"/>
    <w:rsid w:val="00DA59A8"/>
    <w:rsid w:val="00DA6B80"/>
    <w:rsid w:val="00DA787E"/>
    <w:rsid w:val="00DB0170"/>
    <w:rsid w:val="00DB058F"/>
    <w:rsid w:val="00DB0EA9"/>
    <w:rsid w:val="00DB165C"/>
    <w:rsid w:val="00DB2AA3"/>
    <w:rsid w:val="00DB3053"/>
    <w:rsid w:val="00DB31BE"/>
    <w:rsid w:val="00DB4221"/>
    <w:rsid w:val="00DB4EA3"/>
    <w:rsid w:val="00DB5C31"/>
    <w:rsid w:val="00DB5C35"/>
    <w:rsid w:val="00DB646E"/>
    <w:rsid w:val="00DC04F3"/>
    <w:rsid w:val="00DC0B9F"/>
    <w:rsid w:val="00DC0C4C"/>
    <w:rsid w:val="00DC0DFC"/>
    <w:rsid w:val="00DC151F"/>
    <w:rsid w:val="00DC3805"/>
    <w:rsid w:val="00DC3B20"/>
    <w:rsid w:val="00DC3D41"/>
    <w:rsid w:val="00DC5B46"/>
    <w:rsid w:val="00DC5DA2"/>
    <w:rsid w:val="00DC698B"/>
    <w:rsid w:val="00DD09B2"/>
    <w:rsid w:val="00DD0A22"/>
    <w:rsid w:val="00DD0AAB"/>
    <w:rsid w:val="00DD155E"/>
    <w:rsid w:val="00DD1DE3"/>
    <w:rsid w:val="00DD1F1E"/>
    <w:rsid w:val="00DD2364"/>
    <w:rsid w:val="00DD2881"/>
    <w:rsid w:val="00DD2C39"/>
    <w:rsid w:val="00DD3428"/>
    <w:rsid w:val="00DD3926"/>
    <w:rsid w:val="00DD3961"/>
    <w:rsid w:val="00DD4310"/>
    <w:rsid w:val="00DD4C78"/>
    <w:rsid w:val="00DD4F13"/>
    <w:rsid w:val="00DD63A1"/>
    <w:rsid w:val="00DD63BA"/>
    <w:rsid w:val="00DD7F44"/>
    <w:rsid w:val="00DE113B"/>
    <w:rsid w:val="00DE1A44"/>
    <w:rsid w:val="00DE2E02"/>
    <w:rsid w:val="00DE30C5"/>
    <w:rsid w:val="00DE392F"/>
    <w:rsid w:val="00DE40C6"/>
    <w:rsid w:val="00DE4A3D"/>
    <w:rsid w:val="00DE4BBA"/>
    <w:rsid w:val="00DE5308"/>
    <w:rsid w:val="00DE7000"/>
    <w:rsid w:val="00DE70B9"/>
    <w:rsid w:val="00DE7AC6"/>
    <w:rsid w:val="00DF0FC0"/>
    <w:rsid w:val="00DF10DD"/>
    <w:rsid w:val="00DF1799"/>
    <w:rsid w:val="00DF3FDB"/>
    <w:rsid w:val="00DF4CF0"/>
    <w:rsid w:val="00DF58F0"/>
    <w:rsid w:val="00DF6237"/>
    <w:rsid w:val="00DF63D2"/>
    <w:rsid w:val="00E00D57"/>
    <w:rsid w:val="00E01D1C"/>
    <w:rsid w:val="00E01E4E"/>
    <w:rsid w:val="00E02C5A"/>
    <w:rsid w:val="00E02EA0"/>
    <w:rsid w:val="00E03067"/>
    <w:rsid w:val="00E03B4E"/>
    <w:rsid w:val="00E03BC7"/>
    <w:rsid w:val="00E04C71"/>
    <w:rsid w:val="00E054BA"/>
    <w:rsid w:val="00E069EA"/>
    <w:rsid w:val="00E07B5F"/>
    <w:rsid w:val="00E07B8A"/>
    <w:rsid w:val="00E1105A"/>
    <w:rsid w:val="00E11B3B"/>
    <w:rsid w:val="00E11FCE"/>
    <w:rsid w:val="00E12D79"/>
    <w:rsid w:val="00E12DBE"/>
    <w:rsid w:val="00E14BF9"/>
    <w:rsid w:val="00E1610D"/>
    <w:rsid w:val="00E161CE"/>
    <w:rsid w:val="00E21240"/>
    <w:rsid w:val="00E214E9"/>
    <w:rsid w:val="00E2239D"/>
    <w:rsid w:val="00E23151"/>
    <w:rsid w:val="00E232CC"/>
    <w:rsid w:val="00E242B5"/>
    <w:rsid w:val="00E25111"/>
    <w:rsid w:val="00E25151"/>
    <w:rsid w:val="00E252EF"/>
    <w:rsid w:val="00E26392"/>
    <w:rsid w:val="00E2768C"/>
    <w:rsid w:val="00E278EA"/>
    <w:rsid w:val="00E309AB"/>
    <w:rsid w:val="00E312A7"/>
    <w:rsid w:val="00E32382"/>
    <w:rsid w:val="00E33016"/>
    <w:rsid w:val="00E34D9B"/>
    <w:rsid w:val="00E34E62"/>
    <w:rsid w:val="00E35245"/>
    <w:rsid w:val="00E36647"/>
    <w:rsid w:val="00E367E9"/>
    <w:rsid w:val="00E37C92"/>
    <w:rsid w:val="00E37F44"/>
    <w:rsid w:val="00E40932"/>
    <w:rsid w:val="00E41390"/>
    <w:rsid w:val="00E4185C"/>
    <w:rsid w:val="00E418E2"/>
    <w:rsid w:val="00E41EBB"/>
    <w:rsid w:val="00E427BE"/>
    <w:rsid w:val="00E42F2C"/>
    <w:rsid w:val="00E42FED"/>
    <w:rsid w:val="00E433A5"/>
    <w:rsid w:val="00E43939"/>
    <w:rsid w:val="00E43BB6"/>
    <w:rsid w:val="00E43D8C"/>
    <w:rsid w:val="00E440DD"/>
    <w:rsid w:val="00E4512A"/>
    <w:rsid w:val="00E458B7"/>
    <w:rsid w:val="00E45A7E"/>
    <w:rsid w:val="00E45ABD"/>
    <w:rsid w:val="00E47A1D"/>
    <w:rsid w:val="00E50F86"/>
    <w:rsid w:val="00E523F9"/>
    <w:rsid w:val="00E5255F"/>
    <w:rsid w:val="00E52919"/>
    <w:rsid w:val="00E5319B"/>
    <w:rsid w:val="00E5331E"/>
    <w:rsid w:val="00E5332C"/>
    <w:rsid w:val="00E53426"/>
    <w:rsid w:val="00E535B5"/>
    <w:rsid w:val="00E53C74"/>
    <w:rsid w:val="00E54529"/>
    <w:rsid w:val="00E552A7"/>
    <w:rsid w:val="00E56201"/>
    <w:rsid w:val="00E56B4E"/>
    <w:rsid w:val="00E57361"/>
    <w:rsid w:val="00E57A4C"/>
    <w:rsid w:val="00E6066A"/>
    <w:rsid w:val="00E61DB0"/>
    <w:rsid w:val="00E62673"/>
    <w:rsid w:val="00E633FC"/>
    <w:rsid w:val="00E63A75"/>
    <w:rsid w:val="00E63A7E"/>
    <w:rsid w:val="00E64337"/>
    <w:rsid w:val="00E644B0"/>
    <w:rsid w:val="00E649E5"/>
    <w:rsid w:val="00E64D85"/>
    <w:rsid w:val="00E667E0"/>
    <w:rsid w:val="00E672C8"/>
    <w:rsid w:val="00E673A7"/>
    <w:rsid w:val="00E677BE"/>
    <w:rsid w:val="00E7099F"/>
    <w:rsid w:val="00E71661"/>
    <w:rsid w:val="00E720BC"/>
    <w:rsid w:val="00E72689"/>
    <w:rsid w:val="00E72778"/>
    <w:rsid w:val="00E72CBD"/>
    <w:rsid w:val="00E73C73"/>
    <w:rsid w:val="00E74355"/>
    <w:rsid w:val="00E74592"/>
    <w:rsid w:val="00E75BCD"/>
    <w:rsid w:val="00E77B67"/>
    <w:rsid w:val="00E80DE3"/>
    <w:rsid w:val="00E810FE"/>
    <w:rsid w:val="00E811E8"/>
    <w:rsid w:val="00E81B44"/>
    <w:rsid w:val="00E81FE9"/>
    <w:rsid w:val="00E82293"/>
    <w:rsid w:val="00E822A4"/>
    <w:rsid w:val="00E82E7D"/>
    <w:rsid w:val="00E832B2"/>
    <w:rsid w:val="00E842F5"/>
    <w:rsid w:val="00E84765"/>
    <w:rsid w:val="00E84E16"/>
    <w:rsid w:val="00E85500"/>
    <w:rsid w:val="00E859E2"/>
    <w:rsid w:val="00E85B8A"/>
    <w:rsid w:val="00E86174"/>
    <w:rsid w:val="00E878F1"/>
    <w:rsid w:val="00E904F9"/>
    <w:rsid w:val="00E9154E"/>
    <w:rsid w:val="00E915F9"/>
    <w:rsid w:val="00E91FC9"/>
    <w:rsid w:val="00E92B0C"/>
    <w:rsid w:val="00E93EE0"/>
    <w:rsid w:val="00E94DBE"/>
    <w:rsid w:val="00E95706"/>
    <w:rsid w:val="00E95CF4"/>
    <w:rsid w:val="00E95E33"/>
    <w:rsid w:val="00E96404"/>
    <w:rsid w:val="00E96CBE"/>
    <w:rsid w:val="00E975C5"/>
    <w:rsid w:val="00E97CFD"/>
    <w:rsid w:val="00EA0955"/>
    <w:rsid w:val="00EA0CCC"/>
    <w:rsid w:val="00EA13B4"/>
    <w:rsid w:val="00EA1B34"/>
    <w:rsid w:val="00EA24EE"/>
    <w:rsid w:val="00EA2D6C"/>
    <w:rsid w:val="00EA322D"/>
    <w:rsid w:val="00EA363B"/>
    <w:rsid w:val="00EA3D45"/>
    <w:rsid w:val="00EA488E"/>
    <w:rsid w:val="00EA4C05"/>
    <w:rsid w:val="00EA4C8F"/>
    <w:rsid w:val="00EA66A7"/>
    <w:rsid w:val="00EA6B29"/>
    <w:rsid w:val="00EA751B"/>
    <w:rsid w:val="00EB1465"/>
    <w:rsid w:val="00EB1E3B"/>
    <w:rsid w:val="00EB2612"/>
    <w:rsid w:val="00EB2BE4"/>
    <w:rsid w:val="00EB3D8C"/>
    <w:rsid w:val="00EB3E24"/>
    <w:rsid w:val="00EB4131"/>
    <w:rsid w:val="00EB5009"/>
    <w:rsid w:val="00EB778D"/>
    <w:rsid w:val="00EB7AD0"/>
    <w:rsid w:val="00EB7D73"/>
    <w:rsid w:val="00EC115C"/>
    <w:rsid w:val="00EC2425"/>
    <w:rsid w:val="00EC31AE"/>
    <w:rsid w:val="00EC3565"/>
    <w:rsid w:val="00EC36C1"/>
    <w:rsid w:val="00EC3B77"/>
    <w:rsid w:val="00EC466B"/>
    <w:rsid w:val="00EC4D75"/>
    <w:rsid w:val="00EC5424"/>
    <w:rsid w:val="00EC5540"/>
    <w:rsid w:val="00EC55BA"/>
    <w:rsid w:val="00EC5BD3"/>
    <w:rsid w:val="00EC5CC3"/>
    <w:rsid w:val="00EC6026"/>
    <w:rsid w:val="00EC7519"/>
    <w:rsid w:val="00EC76F7"/>
    <w:rsid w:val="00EC7CC2"/>
    <w:rsid w:val="00EC7E02"/>
    <w:rsid w:val="00ED01A0"/>
    <w:rsid w:val="00ED01B2"/>
    <w:rsid w:val="00ED2340"/>
    <w:rsid w:val="00ED2DAC"/>
    <w:rsid w:val="00ED3016"/>
    <w:rsid w:val="00ED5197"/>
    <w:rsid w:val="00ED559F"/>
    <w:rsid w:val="00ED5E92"/>
    <w:rsid w:val="00ED6061"/>
    <w:rsid w:val="00ED6146"/>
    <w:rsid w:val="00ED659C"/>
    <w:rsid w:val="00ED65CF"/>
    <w:rsid w:val="00ED719A"/>
    <w:rsid w:val="00ED7791"/>
    <w:rsid w:val="00ED7A2A"/>
    <w:rsid w:val="00EE16B6"/>
    <w:rsid w:val="00EE1AB4"/>
    <w:rsid w:val="00EE32ED"/>
    <w:rsid w:val="00EE4746"/>
    <w:rsid w:val="00EE4DCE"/>
    <w:rsid w:val="00EE5339"/>
    <w:rsid w:val="00EE6BC3"/>
    <w:rsid w:val="00EE6CB1"/>
    <w:rsid w:val="00EE6E08"/>
    <w:rsid w:val="00EE708B"/>
    <w:rsid w:val="00EE7897"/>
    <w:rsid w:val="00EF008B"/>
    <w:rsid w:val="00EF0457"/>
    <w:rsid w:val="00EF0642"/>
    <w:rsid w:val="00EF19F1"/>
    <w:rsid w:val="00EF4831"/>
    <w:rsid w:val="00EF5216"/>
    <w:rsid w:val="00EF5BCD"/>
    <w:rsid w:val="00EF5CB4"/>
    <w:rsid w:val="00F005E7"/>
    <w:rsid w:val="00F00A95"/>
    <w:rsid w:val="00F0272A"/>
    <w:rsid w:val="00F0297F"/>
    <w:rsid w:val="00F03937"/>
    <w:rsid w:val="00F045FF"/>
    <w:rsid w:val="00F054F3"/>
    <w:rsid w:val="00F05D8E"/>
    <w:rsid w:val="00F05DA5"/>
    <w:rsid w:val="00F0621F"/>
    <w:rsid w:val="00F07B28"/>
    <w:rsid w:val="00F10492"/>
    <w:rsid w:val="00F10980"/>
    <w:rsid w:val="00F114BA"/>
    <w:rsid w:val="00F11803"/>
    <w:rsid w:val="00F11BCB"/>
    <w:rsid w:val="00F11D02"/>
    <w:rsid w:val="00F12537"/>
    <w:rsid w:val="00F13897"/>
    <w:rsid w:val="00F1477F"/>
    <w:rsid w:val="00F14996"/>
    <w:rsid w:val="00F15576"/>
    <w:rsid w:val="00F15856"/>
    <w:rsid w:val="00F15AF5"/>
    <w:rsid w:val="00F15BBE"/>
    <w:rsid w:val="00F165E7"/>
    <w:rsid w:val="00F16811"/>
    <w:rsid w:val="00F17D57"/>
    <w:rsid w:val="00F17EB9"/>
    <w:rsid w:val="00F203B0"/>
    <w:rsid w:val="00F209F1"/>
    <w:rsid w:val="00F20F8C"/>
    <w:rsid w:val="00F21B9B"/>
    <w:rsid w:val="00F22060"/>
    <w:rsid w:val="00F23C6D"/>
    <w:rsid w:val="00F24286"/>
    <w:rsid w:val="00F25416"/>
    <w:rsid w:val="00F257A9"/>
    <w:rsid w:val="00F268FC"/>
    <w:rsid w:val="00F27639"/>
    <w:rsid w:val="00F279C5"/>
    <w:rsid w:val="00F27AA6"/>
    <w:rsid w:val="00F27E0B"/>
    <w:rsid w:val="00F27FCF"/>
    <w:rsid w:val="00F30220"/>
    <w:rsid w:val="00F30667"/>
    <w:rsid w:val="00F30701"/>
    <w:rsid w:val="00F3105F"/>
    <w:rsid w:val="00F3353C"/>
    <w:rsid w:val="00F33945"/>
    <w:rsid w:val="00F34DBF"/>
    <w:rsid w:val="00F35A22"/>
    <w:rsid w:val="00F35B5C"/>
    <w:rsid w:val="00F373FE"/>
    <w:rsid w:val="00F4035A"/>
    <w:rsid w:val="00F4087A"/>
    <w:rsid w:val="00F4089D"/>
    <w:rsid w:val="00F40A23"/>
    <w:rsid w:val="00F41966"/>
    <w:rsid w:val="00F420CE"/>
    <w:rsid w:val="00F42D4D"/>
    <w:rsid w:val="00F43221"/>
    <w:rsid w:val="00F43936"/>
    <w:rsid w:val="00F453EA"/>
    <w:rsid w:val="00F461ED"/>
    <w:rsid w:val="00F462FE"/>
    <w:rsid w:val="00F46FF0"/>
    <w:rsid w:val="00F47021"/>
    <w:rsid w:val="00F47BA8"/>
    <w:rsid w:val="00F47DB7"/>
    <w:rsid w:val="00F514BF"/>
    <w:rsid w:val="00F5194C"/>
    <w:rsid w:val="00F528E7"/>
    <w:rsid w:val="00F52CAD"/>
    <w:rsid w:val="00F52FC3"/>
    <w:rsid w:val="00F530F0"/>
    <w:rsid w:val="00F53A42"/>
    <w:rsid w:val="00F53EE8"/>
    <w:rsid w:val="00F543AE"/>
    <w:rsid w:val="00F55BC9"/>
    <w:rsid w:val="00F55CB1"/>
    <w:rsid w:val="00F564CF"/>
    <w:rsid w:val="00F60B46"/>
    <w:rsid w:val="00F6274F"/>
    <w:rsid w:val="00F62C49"/>
    <w:rsid w:val="00F63472"/>
    <w:rsid w:val="00F637DB"/>
    <w:rsid w:val="00F63B05"/>
    <w:rsid w:val="00F6445F"/>
    <w:rsid w:val="00F650DC"/>
    <w:rsid w:val="00F6519D"/>
    <w:rsid w:val="00F678E4"/>
    <w:rsid w:val="00F7080F"/>
    <w:rsid w:val="00F70DBF"/>
    <w:rsid w:val="00F71335"/>
    <w:rsid w:val="00F71738"/>
    <w:rsid w:val="00F71801"/>
    <w:rsid w:val="00F727AD"/>
    <w:rsid w:val="00F72ADF"/>
    <w:rsid w:val="00F73B25"/>
    <w:rsid w:val="00F7472F"/>
    <w:rsid w:val="00F74860"/>
    <w:rsid w:val="00F74CA2"/>
    <w:rsid w:val="00F74F6F"/>
    <w:rsid w:val="00F76311"/>
    <w:rsid w:val="00F7683B"/>
    <w:rsid w:val="00F76AE1"/>
    <w:rsid w:val="00F76CEE"/>
    <w:rsid w:val="00F77404"/>
    <w:rsid w:val="00F7789B"/>
    <w:rsid w:val="00F779C8"/>
    <w:rsid w:val="00F80000"/>
    <w:rsid w:val="00F803C9"/>
    <w:rsid w:val="00F806DD"/>
    <w:rsid w:val="00F80AE6"/>
    <w:rsid w:val="00F82231"/>
    <w:rsid w:val="00F82421"/>
    <w:rsid w:val="00F8381D"/>
    <w:rsid w:val="00F838D3"/>
    <w:rsid w:val="00F83F81"/>
    <w:rsid w:val="00F849EC"/>
    <w:rsid w:val="00F84EBF"/>
    <w:rsid w:val="00F85687"/>
    <w:rsid w:val="00F9003F"/>
    <w:rsid w:val="00F90904"/>
    <w:rsid w:val="00F90C6F"/>
    <w:rsid w:val="00F919EE"/>
    <w:rsid w:val="00F91CF0"/>
    <w:rsid w:val="00F91EC2"/>
    <w:rsid w:val="00F9223A"/>
    <w:rsid w:val="00F92F1C"/>
    <w:rsid w:val="00F93091"/>
    <w:rsid w:val="00F93972"/>
    <w:rsid w:val="00F945AE"/>
    <w:rsid w:val="00F94C31"/>
    <w:rsid w:val="00F95C80"/>
    <w:rsid w:val="00F9666A"/>
    <w:rsid w:val="00F96DF6"/>
    <w:rsid w:val="00FA0EDD"/>
    <w:rsid w:val="00FA1389"/>
    <w:rsid w:val="00FA1475"/>
    <w:rsid w:val="00FA14F8"/>
    <w:rsid w:val="00FA15FA"/>
    <w:rsid w:val="00FA1F6F"/>
    <w:rsid w:val="00FA2C63"/>
    <w:rsid w:val="00FA3564"/>
    <w:rsid w:val="00FA3A55"/>
    <w:rsid w:val="00FA3C0B"/>
    <w:rsid w:val="00FA56CC"/>
    <w:rsid w:val="00FA5D77"/>
    <w:rsid w:val="00FA5DD5"/>
    <w:rsid w:val="00FA6077"/>
    <w:rsid w:val="00FA6C1E"/>
    <w:rsid w:val="00FA7107"/>
    <w:rsid w:val="00FA76EB"/>
    <w:rsid w:val="00FA79EF"/>
    <w:rsid w:val="00FA7BE3"/>
    <w:rsid w:val="00FB06F5"/>
    <w:rsid w:val="00FB1249"/>
    <w:rsid w:val="00FB16F7"/>
    <w:rsid w:val="00FB20E9"/>
    <w:rsid w:val="00FB23F9"/>
    <w:rsid w:val="00FB3397"/>
    <w:rsid w:val="00FB3774"/>
    <w:rsid w:val="00FB3F76"/>
    <w:rsid w:val="00FB4573"/>
    <w:rsid w:val="00FB57B1"/>
    <w:rsid w:val="00FB6117"/>
    <w:rsid w:val="00FB6A9D"/>
    <w:rsid w:val="00FB7D57"/>
    <w:rsid w:val="00FC06FB"/>
    <w:rsid w:val="00FC06FF"/>
    <w:rsid w:val="00FC1154"/>
    <w:rsid w:val="00FC12FE"/>
    <w:rsid w:val="00FC1A53"/>
    <w:rsid w:val="00FC21E5"/>
    <w:rsid w:val="00FC3D7B"/>
    <w:rsid w:val="00FC4772"/>
    <w:rsid w:val="00FC4A6C"/>
    <w:rsid w:val="00FC4CBE"/>
    <w:rsid w:val="00FC5C30"/>
    <w:rsid w:val="00FC70E0"/>
    <w:rsid w:val="00FC74D0"/>
    <w:rsid w:val="00FC7F6E"/>
    <w:rsid w:val="00FD0DBE"/>
    <w:rsid w:val="00FD259A"/>
    <w:rsid w:val="00FD4368"/>
    <w:rsid w:val="00FD4CDA"/>
    <w:rsid w:val="00FD713F"/>
    <w:rsid w:val="00FD7780"/>
    <w:rsid w:val="00FE0F6D"/>
    <w:rsid w:val="00FE1609"/>
    <w:rsid w:val="00FE1CE9"/>
    <w:rsid w:val="00FE2CE1"/>
    <w:rsid w:val="00FE3163"/>
    <w:rsid w:val="00FE417D"/>
    <w:rsid w:val="00FE48C3"/>
    <w:rsid w:val="00FE5617"/>
    <w:rsid w:val="00FE57C8"/>
    <w:rsid w:val="00FE5F45"/>
    <w:rsid w:val="00FE74F9"/>
    <w:rsid w:val="00FE7D7F"/>
    <w:rsid w:val="00FF0188"/>
    <w:rsid w:val="00FF10F6"/>
    <w:rsid w:val="00FF145B"/>
    <w:rsid w:val="00FF192C"/>
    <w:rsid w:val="00FF29D5"/>
    <w:rsid w:val="00FF2FBE"/>
    <w:rsid w:val="00FF3D6B"/>
    <w:rsid w:val="00FF4395"/>
    <w:rsid w:val="00FF57AB"/>
    <w:rsid w:val="00FF6109"/>
    <w:rsid w:val="00FF67D1"/>
    <w:rsid w:val="00FF690C"/>
    <w:rsid w:val="00FF69AA"/>
    <w:rsid w:val="00FF72A3"/>
    <w:rsid w:val="00FF751C"/>
    <w:rsid w:val="00FF7A69"/>
    <w:rsid w:val="00FF7C12"/>
    <w:rsid w:val="00FF7E95"/>
    <w:rsid w:val="00FF7EF3"/>
    <w:rsid w:val="010888FE"/>
    <w:rsid w:val="015CC322"/>
    <w:rsid w:val="01A25CCB"/>
    <w:rsid w:val="01F186CD"/>
    <w:rsid w:val="01F23FDB"/>
    <w:rsid w:val="01F2662D"/>
    <w:rsid w:val="0226E72E"/>
    <w:rsid w:val="02478EFD"/>
    <w:rsid w:val="03232D76"/>
    <w:rsid w:val="033CC0F5"/>
    <w:rsid w:val="03A19761"/>
    <w:rsid w:val="03B41C1C"/>
    <w:rsid w:val="03D8EADC"/>
    <w:rsid w:val="03D923B0"/>
    <w:rsid w:val="0455D9B6"/>
    <w:rsid w:val="046934C3"/>
    <w:rsid w:val="046AF720"/>
    <w:rsid w:val="04D401EC"/>
    <w:rsid w:val="04E41A5C"/>
    <w:rsid w:val="04F594D0"/>
    <w:rsid w:val="051E3EEE"/>
    <w:rsid w:val="05498339"/>
    <w:rsid w:val="054A559B"/>
    <w:rsid w:val="05828354"/>
    <w:rsid w:val="05894F1D"/>
    <w:rsid w:val="058DE39A"/>
    <w:rsid w:val="05B2F2A0"/>
    <w:rsid w:val="05D587F1"/>
    <w:rsid w:val="060C6BA7"/>
    <w:rsid w:val="0616023D"/>
    <w:rsid w:val="0622726F"/>
    <w:rsid w:val="06440A36"/>
    <w:rsid w:val="069DC248"/>
    <w:rsid w:val="069E9309"/>
    <w:rsid w:val="0741B0AB"/>
    <w:rsid w:val="0772C408"/>
    <w:rsid w:val="0799C3B8"/>
    <w:rsid w:val="07A3D2ED"/>
    <w:rsid w:val="07C103BF"/>
    <w:rsid w:val="088304C7"/>
    <w:rsid w:val="08853255"/>
    <w:rsid w:val="091A8732"/>
    <w:rsid w:val="0927F3CF"/>
    <w:rsid w:val="09647779"/>
    <w:rsid w:val="0964F37C"/>
    <w:rsid w:val="09753234"/>
    <w:rsid w:val="099ED3B2"/>
    <w:rsid w:val="0A482C60"/>
    <w:rsid w:val="0A697EB1"/>
    <w:rsid w:val="0ACF7FF0"/>
    <w:rsid w:val="0B0ED693"/>
    <w:rsid w:val="0B12933A"/>
    <w:rsid w:val="0BC0FD89"/>
    <w:rsid w:val="0BF73656"/>
    <w:rsid w:val="0BFD5E11"/>
    <w:rsid w:val="0C2E8EE9"/>
    <w:rsid w:val="0C5A9ED7"/>
    <w:rsid w:val="0C6C26BB"/>
    <w:rsid w:val="0CCA0FBC"/>
    <w:rsid w:val="0D2CC28A"/>
    <w:rsid w:val="0D5F2187"/>
    <w:rsid w:val="0DD32B67"/>
    <w:rsid w:val="0DDCBD7E"/>
    <w:rsid w:val="0DFC8A6F"/>
    <w:rsid w:val="0E0CA889"/>
    <w:rsid w:val="0E2DF09B"/>
    <w:rsid w:val="0E2E1A37"/>
    <w:rsid w:val="0E5083C9"/>
    <w:rsid w:val="0ED59771"/>
    <w:rsid w:val="0F1CA928"/>
    <w:rsid w:val="0FF9EAA0"/>
    <w:rsid w:val="100FE015"/>
    <w:rsid w:val="105A2A76"/>
    <w:rsid w:val="10B8119E"/>
    <w:rsid w:val="10D0174F"/>
    <w:rsid w:val="111A8FF6"/>
    <w:rsid w:val="1121A281"/>
    <w:rsid w:val="11A9595C"/>
    <w:rsid w:val="11F56A53"/>
    <w:rsid w:val="12455C77"/>
    <w:rsid w:val="124FA5E7"/>
    <w:rsid w:val="128412CC"/>
    <w:rsid w:val="1286F5DF"/>
    <w:rsid w:val="12940109"/>
    <w:rsid w:val="12AF3433"/>
    <w:rsid w:val="12B4D8C0"/>
    <w:rsid w:val="12CF88B4"/>
    <w:rsid w:val="12DB0F9F"/>
    <w:rsid w:val="12F96BFE"/>
    <w:rsid w:val="13033939"/>
    <w:rsid w:val="13135B4B"/>
    <w:rsid w:val="1313B828"/>
    <w:rsid w:val="13395140"/>
    <w:rsid w:val="13A9D4FF"/>
    <w:rsid w:val="13B3B15A"/>
    <w:rsid w:val="13D45C13"/>
    <w:rsid w:val="140A8B1A"/>
    <w:rsid w:val="14E838E7"/>
    <w:rsid w:val="1525763B"/>
    <w:rsid w:val="15416677"/>
    <w:rsid w:val="159AF681"/>
    <w:rsid w:val="159EC742"/>
    <w:rsid w:val="15C02FAE"/>
    <w:rsid w:val="15C0C538"/>
    <w:rsid w:val="15E6E77D"/>
    <w:rsid w:val="16034A48"/>
    <w:rsid w:val="162152AB"/>
    <w:rsid w:val="16427943"/>
    <w:rsid w:val="16534DEB"/>
    <w:rsid w:val="168B3678"/>
    <w:rsid w:val="16B56514"/>
    <w:rsid w:val="16C0C8C1"/>
    <w:rsid w:val="16C1469C"/>
    <w:rsid w:val="170FA68C"/>
    <w:rsid w:val="172D24D8"/>
    <w:rsid w:val="1780E076"/>
    <w:rsid w:val="1799E4C9"/>
    <w:rsid w:val="185D559F"/>
    <w:rsid w:val="1869E495"/>
    <w:rsid w:val="187D95A9"/>
    <w:rsid w:val="18976135"/>
    <w:rsid w:val="18C15C6C"/>
    <w:rsid w:val="1911B240"/>
    <w:rsid w:val="19369B85"/>
    <w:rsid w:val="193ECA38"/>
    <w:rsid w:val="19490E57"/>
    <w:rsid w:val="194FCCD1"/>
    <w:rsid w:val="19B91F05"/>
    <w:rsid w:val="1A0B5E76"/>
    <w:rsid w:val="1AC1723C"/>
    <w:rsid w:val="1AC7D096"/>
    <w:rsid w:val="1AFC5E87"/>
    <w:rsid w:val="1B686E42"/>
    <w:rsid w:val="1B7F0FA9"/>
    <w:rsid w:val="1C2C289E"/>
    <w:rsid w:val="1C3D088B"/>
    <w:rsid w:val="1C502498"/>
    <w:rsid w:val="1C55CC59"/>
    <w:rsid w:val="1C9AB080"/>
    <w:rsid w:val="1CBC6A1C"/>
    <w:rsid w:val="1D02B795"/>
    <w:rsid w:val="1D31AB7D"/>
    <w:rsid w:val="1D3B449A"/>
    <w:rsid w:val="1D48AB50"/>
    <w:rsid w:val="1D510590"/>
    <w:rsid w:val="1D7A264A"/>
    <w:rsid w:val="1D8F049D"/>
    <w:rsid w:val="1D92588E"/>
    <w:rsid w:val="1E2E72C8"/>
    <w:rsid w:val="1E6E4210"/>
    <w:rsid w:val="1E9EDF67"/>
    <w:rsid w:val="1EAD49C8"/>
    <w:rsid w:val="1EB7E3CA"/>
    <w:rsid w:val="1F103693"/>
    <w:rsid w:val="1F2D69D9"/>
    <w:rsid w:val="1F576514"/>
    <w:rsid w:val="1F5E3134"/>
    <w:rsid w:val="1F74E0DA"/>
    <w:rsid w:val="1F854912"/>
    <w:rsid w:val="1F9468B5"/>
    <w:rsid w:val="1FCD48A8"/>
    <w:rsid w:val="20BC56D7"/>
    <w:rsid w:val="20C9C921"/>
    <w:rsid w:val="215B1ECE"/>
    <w:rsid w:val="2172897D"/>
    <w:rsid w:val="217C4FA5"/>
    <w:rsid w:val="22251B1E"/>
    <w:rsid w:val="225AF72F"/>
    <w:rsid w:val="24088B79"/>
    <w:rsid w:val="24920B45"/>
    <w:rsid w:val="24A9CECD"/>
    <w:rsid w:val="24D1EBC8"/>
    <w:rsid w:val="25549C84"/>
    <w:rsid w:val="2576CCF7"/>
    <w:rsid w:val="258A66BB"/>
    <w:rsid w:val="25AD0589"/>
    <w:rsid w:val="2603E421"/>
    <w:rsid w:val="26276FDC"/>
    <w:rsid w:val="263F3087"/>
    <w:rsid w:val="26589E2F"/>
    <w:rsid w:val="266339D3"/>
    <w:rsid w:val="26D1600F"/>
    <w:rsid w:val="2701E3BB"/>
    <w:rsid w:val="2754E2CA"/>
    <w:rsid w:val="277037B2"/>
    <w:rsid w:val="277CC5EC"/>
    <w:rsid w:val="278C1396"/>
    <w:rsid w:val="279FF544"/>
    <w:rsid w:val="27FCE5A0"/>
    <w:rsid w:val="28019E74"/>
    <w:rsid w:val="289BDC12"/>
    <w:rsid w:val="28E8BB0D"/>
    <w:rsid w:val="28FB2868"/>
    <w:rsid w:val="2922F921"/>
    <w:rsid w:val="2942A419"/>
    <w:rsid w:val="295F5392"/>
    <w:rsid w:val="29AE38E7"/>
    <w:rsid w:val="29C9920A"/>
    <w:rsid w:val="29CAEA53"/>
    <w:rsid w:val="29DC264C"/>
    <w:rsid w:val="2AD04CC1"/>
    <w:rsid w:val="2AFEBF02"/>
    <w:rsid w:val="2B1D7C33"/>
    <w:rsid w:val="2BB7E747"/>
    <w:rsid w:val="2C0B7E02"/>
    <w:rsid w:val="2C43A8D5"/>
    <w:rsid w:val="2C8F11CB"/>
    <w:rsid w:val="2CC3D4C0"/>
    <w:rsid w:val="2CC7ACBB"/>
    <w:rsid w:val="2CCB1298"/>
    <w:rsid w:val="2CD3A00C"/>
    <w:rsid w:val="2CD5A976"/>
    <w:rsid w:val="2D27ED3C"/>
    <w:rsid w:val="2D3550CA"/>
    <w:rsid w:val="2D7ADC39"/>
    <w:rsid w:val="2DB45F92"/>
    <w:rsid w:val="2E1795C1"/>
    <w:rsid w:val="2E8A01BA"/>
    <w:rsid w:val="2EA88B21"/>
    <w:rsid w:val="2EC11546"/>
    <w:rsid w:val="2EC23EA2"/>
    <w:rsid w:val="2ECC36DF"/>
    <w:rsid w:val="2F36AA40"/>
    <w:rsid w:val="2F6CC247"/>
    <w:rsid w:val="2FC8B684"/>
    <w:rsid w:val="3034BBBB"/>
    <w:rsid w:val="304626C2"/>
    <w:rsid w:val="306D11D5"/>
    <w:rsid w:val="30B7742D"/>
    <w:rsid w:val="30FFB20A"/>
    <w:rsid w:val="316486E5"/>
    <w:rsid w:val="3182F2C2"/>
    <w:rsid w:val="31BA0348"/>
    <w:rsid w:val="31C99D3F"/>
    <w:rsid w:val="31D08C1C"/>
    <w:rsid w:val="3208E236"/>
    <w:rsid w:val="320CBDB6"/>
    <w:rsid w:val="323D8DA7"/>
    <w:rsid w:val="323ECFC7"/>
    <w:rsid w:val="32945876"/>
    <w:rsid w:val="32AC508F"/>
    <w:rsid w:val="32B699FF"/>
    <w:rsid w:val="32CB3B5E"/>
    <w:rsid w:val="33005746"/>
    <w:rsid w:val="34A1B215"/>
    <w:rsid w:val="34CEE6A5"/>
    <w:rsid w:val="34E07572"/>
    <w:rsid w:val="3523E213"/>
    <w:rsid w:val="352C5431"/>
    <w:rsid w:val="35438557"/>
    <w:rsid w:val="3571496F"/>
    <w:rsid w:val="359AA0BD"/>
    <w:rsid w:val="35D162BE"/>
    <w:rsid w:val="35E059B7"/>
    <w:rsid w:val="36137618"/>
    <w:rsid w:val="3616B04F"/>
    <w:rsid w:val="3692FF45"/>
    <w:rsid w:val="36FBF99F"/>
    <w:rsid w:val="37065ED9"/>
    <w:rsid w:val="3809B49D"/>
    <w:rsid w:val="3847BB26"/>
    <w:rsid w:val="384CFAF9"/>
    <w:rsid w:val="38DC1053"/>
    <w:rsid w:val="391B9213"/>
    <w:rsid w:val="395D53E1"/>
    <w:rsid w:val="39D8A7D0"/>
    <w:rsid w:val="39E998D2"/>
    <w:rsid w:val="3A0D11DE"/>
    <w:rsid w:val="3A814A6D"/>
    <w:rsid w:val="3A8D0E28"/>
    <w:rsid w:val="3AD72816"/>
    <w:rsid w:val="3AFF4854"/>
    <w:rsid w:val="3C0A3149"/>
    <w:rsid w:val="3C1B1D31"/>
    <w:rsid w:val="3C1D1ACE"/>
    <w:rsid w:val="3C48C957"/>
    <w:rsid w:val="3C658ACF"/>
    <w:rsid w:val="3CAC805C"/>
    <w:rsid w:val="3CD0B184"/>
    <w:rsid w:val="3CD9F88A"/>
    <w:rsid w:val="3D078E5D"/>
    <w:rsid w:val="3D346735"/>
    <w:rsid w:val="3D4556BD"/>
    <w:rsid w:val="3D525E78"/>
    <w:rsid w:val="3DC11523"/>
    <w:rsid w:val="3DE6EFB2"/>
    <w:rsid w:val="3DEDD959"/>
    <w:rsid w:val="3DF638B7"/>
    <w:rsid w:val="3F8358B8"/>
    <w:rsid w:val="3F8FB60A"/>
    <w:rsid w:val="3F905ECC"/>
    <w:rsid w:val="3FBB0C12"/>
    <w:rsid w:val="3FF3B81B"/>
    <w:rsid w:val="4074DB55"/>
    <w:rsid w:val="409AD75B"/>
    <w:rsid w:val="40B974E4"/>
    <w:rsid w:val="40DCE6B1"/>
    <w:rsid w:val="413B8924"/>
    <w:rsid w:val="4157875E"/>
    <w:rsid w:val="415A527F"/>
    <w:rsid w:val="419E31AF"/>
    <w:rsid w:val="41D8C900"/>
    <w:rsid w:val="42A94BFC"/>
    <w:rsid w:val="42ED87D1"/>
    <w:rsid w:val="42F218D9"/>
    <w:rsid w:val="4366B83F"/>
    <w:rsid w:val="43901F41"/>
    <w:rsid w:val="43C21567"/>
    <w:rsid w:val="43F53387"/>
    <w:rsid w:val="441FFC97"/>
    <w:rsid w:val="446F7F91"/>
    <w:rsid w:val="44BC4EC0"/>
    <w:rsid w:val="44D9D0DF"/>
    <w:rsid w:val="4523EC00"/>
    <w:rsid w:val="456C459C"/>
    <w:rsid w:val="46F1E27B"/>
    <w:rsid w:val="46FB2B8F"/>
    <w:rsid w:val="4767F769"/>
    <w:rsid w:val="483A680B"/>
    <w:rsid w:val="48565DD9"/>
    <w:rsid w:val="485BBA5C"/>
    <w:rsid w:val="489DC9E4"/>
    <w:rsid w:val="48A1A6EF"/>
    <w:rsid w:val="493564D3"/>
    <w:rsid w:val="493F65D5"/>
    <w:rsid w:val="49478FC9"/>
    <w:rsid w:val="496065E8"/>
    <w:rsid w:val="49A056BF"/>
    <w:rsid w:val="49A479A9"/>
    <w:rsid w:val="49F0DA01"/>
    <w:rsid w:val="4A39DA67"/>
    <w:rsid w:val="4A431A64"/>
    <w:rsid w:val="4A5C56CE"/>
    <w:rsid w:val="4A810CC8"/>
    <w:rsid w:val="4AE2D6A0"/>
    <w:rsid w:val="4B2EBDFB"/>
    <w:rsid w:val="4B58C628"/>
    <w:rsid w:val="4B872E5A"/>
    <w:rsid w:val="4C0D3EBF"/>
    <w:rsid w:val="4C3AF466"/>
    <w:rsid w:val="4C419DD9"/>
    <w:rsid w:val="4C458D35"/>
    <w:rsid w:val="4C9B0628"/>
    <w:rsid w:val="4CA1A639"/>
    <w:rsid w:val="4CBE5975"/>
    <w:rsid w:val="4CD09814"/>
    <w:rsid w:val="4CEB6380"/>
    <w:rsid w:val="4D0C6118"/>
    <w:rsid w:val="4D235B29"/>
    <w:rsid w:val="4D35BFDC"/>
    <w:rsid w:val="4D59DA4B"/>
    <w:rsid w:val="4D88DEDC"/>
    <w:rsid w:val="4DC70A82"/>
    <w:rsid w:val="4DFF54D9"/>
    <w:rsid w:val="4E2E15B5"/>
    <w:rsid w:val="4E81582C"/>
    <w:rsid w:val="4E8E2794"/>
    <w:rsid w:val="4E9E62A8"/>
    <w:rsid w:val="4EB24618"/>
    <w:rsid w:val="4F427464"/>
    <w:rsid w:val="4F60B846"/>
    <w:rsid w:val="4F951705"/>
    <w:rsid w:val="4FEBA471"/>
    <w:rsid w:val="5034EE1C"/>
    <w:rsid w:val="503DAF2A"/>
    <w:rsid w:val="504579F0"/>
    <w:rsid w:val="50A992F5"/>
    <w:rsid w:val="50CE7039"/>
    <w:rsid w:val="50EA3893"/>
    <w:rsid w:val="50F0A203"/>
    <w:rsid w:val="50FD9ED8"/>
    <w:rsid w:val="510F0CD6"/>
    <w:rsid w:val="515A3780"/>
    <w:rsid w:val="51777446"/>
    <w:rsid w:val="5180DA57"/>
    <w:rsid w:val="519F7A90"/>
    <w:rsid w:val="52146325"/>
    <w:rsid w:val="52CA8972"/>
    <w:rsid w:val="52E5C929"/>
    <w:rsid w:val="531344A7"/>
    <w:rsid w:val="531D8E17"/>
    <w:rsid w:val="531F2048"/>
    <w:rsid w:val="533C6D58"/>
    <w:rsid w:val="53568F2C"/>
    <w:rsid w:val="5391C043"/>
    <w:rsid w:val="53C13385"/>
    <w:rsid w:val="53CC8834"/>
    <w:rsid w:val="5424A80C"/>
    <w:rsid w:val="54D71B52"/>
    <w:rsid w:val="54DC481D"/>
    <w:rsid w:val="55480F1E"/>
    <w:rsid w:val="55749112"/>
    <w:rsid w:val="561A507F"/>
    <w:rsid w:val="5682BDD1"/>
    <w:rsid w:val="5684A9A5"/>
    <w:rsid w:val="56A42FA0"/>
    <w:rsid w:val="56B399C2"/>
    <w:rsid w:val="56EAE8F0"/>
    <w:rsid w:val="57271A11"/>
    <w:rsid w:val="573E0E27"/>
    <w:rsid w:val="574476DA"/>
    <w:rsid w:val="57B37AEB"/>
    <w:rsid w:val="587D3146"/>
    <w:rsid w:val="58A7485B"/>
    <w:rsid w:val="58B78782"/>
    <w:rsid w:val="58CE828B"/>
    <w:rsid w:val="59354FD0"/>
    <w:rsid w:val="5937CCC5"/>
    <w:rsid w:val="59A513A3"/>
    <w:rsid w:val="59CE2A26"/>
    <w:rsid w:val="59F4CFAB"/>
    <w:rsid w:val="59F641FA"/>
    <w:rsid w:val="5A089097"/>
    <w:rsid w:val="5A0C8589"/>
    <w:rsid w:val="5A2FA4B0"/>
    <w:rsid w:val="5A62DDB3"/>
    <w:rsid w:val="5A80F007"/>
    <w:rsid w:val="5AB5F483"/>
    <w:rsid w:val="5ACBAB43"/>
    <w:rsid w:val="5AD14554"/>
    <w:rsid w:val="5AF983F4"/>
    <w:rsid w:val="5B18EFFC"/>
    <w:rsid w:val="5B35939C"/>
    <w:rsid w:val="5B465CD6"/>
    <w:rsid w:val="5BB06CF5"/>
    <w:rsid w:val="5C05CE24"/>
    <w:rsid w:val="5C169FF5"/>
    <w:rsid w:val="5C4CF7D9"/>
    <w:rsid w:val="5C9C5F05"/>
    <w:rsid w:val="5CE1B596"/>
    <w:rsid w:val="5D27179D"/>
    <w:rsid w:val="5D7AD824"/>
    <w:rsid w:val="5D963AD2"/>
    <w:rsid w:val="5DB96C98"/>
    <w:rsid w:val="5DE7D95B"/>
    <w:rsid w:val="5DE8C83A"/>
    <w:rsid w:val="5DFF0A46"/>
    <w:rsid w:val="5EDB646A"/>
    <w:rsid w:val="5F0EE2D5"/>
    <w:rsid w:val="5F13B76A"/>
    <w:rsid w:val="5F3431E1"/>
    <w:rsid w:val="5F3E6FBC"/>
    <w:rsid w:val="5FB91F64"/>
    <w:rsid w:val="5FBAED6E"/>
    <w:rsid w:val="5FD4E29D"/>
    <w:rsid w:val="5FF1C7AF"/>
    <w:rsid w:val="6008FBE6"/>
    <w:rsid w:val="60310DC1"/>
    <w:rsid w:val="60351288"/>
    <w:rsid w:val="61091F90"/>
    <w:rsid w:val="611E061F"/>
    <w:rsid w:val="61AF78CB"/>
    <w:rsid w:val="61BBD010"/>
    <w:rsid w:val="61D78378"/>
    <w:rsid w:val="62063475"/>
    <w:rsid w:val="6208CA3F"/>
    <w:rsid w:val="620FFA9D"/>
    <w:rsid w:val="62515A82"/>
    <w:rsid w:val="628C6937"/>
    <w:rsid w:val="6299BCF5"/>
    <w:rsid w:val="62A4EFF1"/>
    <w:rsid w:val="62D208B1"/>
    <w:rsid w:val="63104014"/>
    <w:rsid w:val="63611613"/>
    <w:rsid w:val="6361EEB4"/>
    <w:rsid w:val="63DA3E2A"/>
    <w:rsid w:val="63F76A72"/>
    <w:rsid w:val="640FF91E"/>
    <w:rsid w:val="642C61C8"/>
    <w:rsid w:val="64662C09"/>
    <w:rsid w:val="647417EA"/>
    <w:rsid w:val="64B27869"/>
    <w:rsid w:val="64CD38F6"/>
    <w:rsid w:val="64FA1FCB"/>
    <w:rsid w:val="653BBFA1"/>
    <w:rsid w:val="656AE1F6"/>
    <w:rsid w:val="657257EA"/>
    <w:rsid w:val="659DA3C2"/>
    <w:rsid w:val="65D69D59"/>
    <w:rsid w:val="664DB5A3"/>
    <w:rsid w:val="66972EB9"/>
    <w:rsid w:val="66AB179F"/>
    <w:rsid w:val="66AE1E83"/>
    <w:rsid w:val="6703197D"/>
    <w:rsid w:val="675BC129"/>
    <w:rsid w:val="67622F02"/>
    <w:rsid w:val="67F2AFE7"/>
    <w:rsid w:val="67F99CAB"/>
    <w:rsid w:val="68464BF1"/>
    <w:rsid w:val="68C3F82A"/>
    <w:rsid w:val="68FAE5F7"/>
    <w:rsid w:val="690D99B0"/>
    <w:rsid w:val="69689AD1"/>
    <w:rsid w:val="6985E98C"/>
    <w:rsid w:val="69BE390F"/>
    <w:rsid w:val="69F8038A"/>
    <w:rsid w:val="6A0A206A"/>
    <w:rsid w:val="6A4CBD6F"/>
    <w:rsid w:val="6A926648"/>
    <w:rsid w:val="6AA6C92A"/>
    <w:rsid w:val="6B1142AF"/>
    <w:rsid w:val="6B182172"/>
    <w:rsid w:val="6B936181"/>
    <w:rsid w:val="6BB62256"/>
    <w:rsid w:val="6BBA5CB2"/>
    <w:rsid w:val="6BF7D090"/>
    <w:rsid w:val="6C4F5CA4"/>
    <w:rsid w:val="6C54BB52"/>
    <w:rsid w:val="6C7AE335"/>
    <w:rsid w:val="6CB365A5"/>
    <w:rsid w:val="6CB44C07"/>
    <w:rsid w:val="6D8A8358"/>
    <w:rsid w:val="6D97111E"/>
    <w:rsid w:val="6DF8F112"/>
    <w:rsid w:val="6E48E425"/>
    <w:rsid w:val="6E6648F1"/>
    <w:rsid w:val="6E7A01FE"/>
    <w:rsid w:val="6ED11C16"/>
    <w:rsid w:val="6EF77EE2"/>
    <w:rsid w:val="6F12045D"/>
    <w:rsid w:val="6F46B5AE"/>
    <w:rsid w:val="6F8F2DC3"/>
    <w:rsid w:val="6FA99DD3"/>
    <w:rsid w:val="6FB7B4C4"/>
    <w:rsid w:val="704297FD"/>
    <w:rsid w:val="70443722"/>
    <w:rsid w:val="7074C234"/>
    <w:rsid w:val="707CC9AF"/>
    <w:rsid w:val="70EDC07D"/>
    <w:rsid w:val="712A8512"/>
    <w:rsid w:val="715449A0"/>
    <w:rsid w:val="72104BAF"/>
    <w:rsid w:val="7227E79F"/>
    <w:rsid w:val="7255D0CA"/>
    <w:rsid w:val="728D6CD9"/>
    <w:rsid w:val="72B6B319"/>
    <w:rsid w:val="730B76A3"/>
    <w:rsid w:val="7311149E"/>
    <w:rsid w:val="73312DCE"/>
    <w:rsid w:val="734CBD41"/>
    <w:rsid w:val="736EEE84"/>
    <w:rsid w:val="7375B1C1"/>
    <w:rsid w:val="7384822F"/>
    <w:rsid w:val="7436994E"/>
    <w:rsid w:val="745D135B"/>
    <w:rsid w:val="74D21363"/>
    <w:rsid w:val="74FCE0C3"/>
    <w:rsid w:val="75CFFF0F"/>
    <w:rsid w:val="75DB852A"/>
    <w:rsid w:val="7609BD5C"/>
    <w:rsid w:val="763FF186"/>
    <w:rsid w:val="76CE4BFE"/>
    <w:rsid w:val="76FA67D3"/>
    <w:rsid w:val="772A5A9A"/>
    <w:rsid w:val="77848691"/>
    <w:rsid w:val="77ED195E"/>
    <w:rsid w:val="77F04790"/>
    <w:rsid w:val="78188DFA"/>
    <w:rsid w:val="785AB829"/>
    <w:rsid w:val="78788BEE"/>
    <w:rsid w:val="78F58DB2"/>
    <w:rsid w:val="79871CF0"/>
    <w:rsid w:val="7997C432"/>
    <w:rsid w:val="7A096131"/>
    <w:rsid w:val="7A5C6BC9"/>
    <w:rsid w:val="7A9537C9"/>
    <w:rsid w:val="7AAE5304"/>
    <w:rsid w:val="7AD4B4D8"/>
    <w:rsid w:val="7AEBF748"/>
    <w:rsid w:val="7AEECA5B"/>
    <w:rsid w:val="7B0A7423"/>
    <w:rsid w:val="7B181B90"/>
    <w:rsid w:val="7B1EB55A"/>
    <w:rsid w:val="7B3B8D5D"/>
    <w:rsid w:val="7B509780"/>
    <w:rsid w:val="7BB35B66"/>
    <w:rsid w:val="7BC48BA5"/>
    <w:rsid w:val="7C313ACF"/>
    <w:rsid w:val="7C552A2D"/>
    <w:rsid w:val="7CB3EBF1"/>
    <w:rsid w:val="7CEAB5E2"/>
    <w:rsid w:val="7CEBFF1D"/>
    <w:rsid w:val="7D053689"/>
    <w:rsid w:val="7D068906"/>
    <w:rsid w:val="7D2B6475"/>
    <w:rsid w:val="7E7EC933"/>
    <w:rsid w:val="7E8E0134"/>
    <w:rsid w:val="7EF97659"/>
    <w:rsid w:val="7F22FD92"/>
    <w:rsid w:val="7FB574AC"/>
    <w:rsid w:val="7FB66B13"/>
    <w:rsid w:val="7FDBB8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B70DA"/>
  <w15:docId w15:val="{AD0AA8A6-3686-46CF-A427-0FDF9751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EB778D"/>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778D"/>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477D5A"/>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aliases w:val="Fußnotentextf,fn,Footnote Text Char Char,footnotes,Footnote Text Char2 Char,Footnote Text Char Char1 Char,Footnote Text Char2 Char Char Char,Footnote Text Char1 Char Char Char Char,Footnote Text Char Char Char Char Char Char,Footnote,f"/>
    <w:basedOn w:val="Normal"/>
    <w:link w:val="FootnoteTextChar"/>
    <w:uiPriority w:val="99"/>
    <w:unhideWhenUsed/>
    <w:qFormat/>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aliases w:val="Fußnotentextf Char,fn Char,Footnote Text Char Char Char,footnotes Char,Footnote Text Char2 Char Char,Footnote Text Char Char1 Char Char,Footnote Text Char2 Char Char Char Char,Footnote Text Char1 Char Char Char Char Char,Footnote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styleId="UnresolvedMention">
    <w:name w:val="Unresolved Mention"/>
    <w:basedOn w:val="DefaultParagraphFont"/>
    <w:uiPriority w:val="99"/>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BVI fnr,cal"/>
    <w:uiPriority w:val="99"/>
    <w:rsid w:val="00AC731C"/>
    <w:rPr>
      <w:vertAlign w:val="superscript"/>
    </w:rPr>
  </w:style>
  <w:style w:type="paragraph" w:customStyle="1" w:styleId="WDBody">
    <w:name w:val="WD Body"/>
    <w:aliases w:val="Body,AFW Body,Normal Arial,AFW Memo Body,AFW Mins,NuGen Body Numbered,AMEC Body,Body (IACC),NG Body Numbered,Infin Body Numbered,Vat Body Numbered,Body (DIO PSP)"/>
    <w:link w:val="NormalArialChar"/>
    <w:qFormat/>
    <w:rsid w:val="009A3605"/>
    <w:pPr>
      <w:spacing w:after="160" w:line="240" w:lineRule="atLeast"/>
    </w:pPr>
    <w:rPr>
      <w:rFonts w:ascii="Segoe UI" w:eastAsia="Calibri" w:hAnsi="Segoe UI"/>
      <w:color w:val="000000"/>
      <w:szCs w:val="22"/>
      <w:lang w:eastAsia="en-US"/>
    </w:rPr>
  </w:style>
  <w:style w:type="character" w:customStyle="1" w:styleId="NormalArialChar">
    <w:name w:val="Normal Arial Char"/>
    <w:link w:val="WDBody"/>
    <w:rsid w:val="009A3605"/>
    <w:rPr>
      <w:rFonts w:ascii="Segoe UI" w:eastAsia="Calibri" w:hAnsi="Segoe UI"/>
      <w:color w:val="000000"/>
      <w:szCs w:val="22"/>
      <w:lang w:eastAsia="en-US"/>
    </w:rPr>
  </w:style>
  <w:style w:type="paragraph" w:customStyle="1" w:styleId="paragraph">
    <w:name w:val="paragraph"/>
    <w:basedOn w:val="Normal"/>
    <w:rsid w:val="00745F03"/>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745F03"/>
  </w:style>
  <w:style w:type="character" w:customStyle="1" w:styleId="eop">
    <w:name w:val="eop"/>
    <w:basedOn w:val="DefaultParagraphFont"/>
    <w:rsid w:val="00745F03"/>
  </w:style>
  <w:style w:type="paragraph" w:styleId="BodyText3">
    <w:name w:val="Body Text 3"/>
    <w:basedOn w:val="Normal"/>
    <w:link w:val="BodyText3Char"/>
    <w:uiPriority w:val="99"/>
    <w:semiHidden/>
    <w:unhideWhenUsed/>
    <w:rsid w:val="00A671D7"/>
    <w:rPr>
      <w:sz w:val="16"/>
      <w:szCs w:val="16"/>
    </w:rPr>
  </w:style>
  <w:style w:type="character" w:customStyle="1" w:styleId="BodyText3Char">
    <w:name w:val="Body Text 3 Char"/>
    <w:basedOn w:val="DefaultParagraphFont"/>
    <w:link w:val="BodyText3"/>
    <w:uiPriority w:val="99"/>
    <w:semiHidden/>
    <w:rsid w:val="00A671D7"/>
    <w:rPr>
      <w:sz w:val="16"/>
      <w:szCs w:val="16"/>
      <w:lang w:eastAsia="en-US"/>
    </w:rPr>
  </w:style>
  <w:style w:type="paragraph" w:customStyle="1" w:styleId="Default">
    <w:name w:val="Default"/>
    <w:rsid w:val="002F6C5A"/>
    <w:pPr>
      <w:autoSpaceDE w:val="0"/>
      <w:autoSpaceDN w:val="0"/>
      <w:adjustRightInd w:val="0"/>
    </w:pPr>
    <w:rPr>
      <w:rFonts w:eastAsia="Calibri" w:cs="Arial"/>
      <w:color w:val="000000"/>
      <w:sz w:val="24"/>
      <w:szCs w:val="24"/>
    </w:rPr>
  </w:style>
  <w:style w:type="character" w:styleId="Mention">
    <w:name w:val="Mention"/>
    <w:basedOn w:val="DefaultParagraphFont"/>
    <w:uiPriority w:val="99"/>
    <w:unhideWhenUsed/>
    <w:rsid w:val="0008597E"/>
    <w:rPr>
      <w:color w:val="2B579A"/>
      <w:shd w:val="clear" w:color="auto" w:fill="E6E6E6"/>
    </w:rPr>
  </w:style>
  <w:style w:type="paragraph" w:styleId="Revision">
    <w:name w:val="Revision"/>
    <w:hidden/>
    <w:uiPriority w:val="99"/>
    <w:semiHidden/>
    <w:rsid w:val="006A0765"/>
    <w:rPr>
      <w:sz w:val="24"/>
      <w:szCs w:val="22"/>
      <w:lang w:eastAsia="en-US"/>
    </w:rPr>
  </w:style>
  <w:style w:type="character" w:styleId="Emphasis">
    <w:name w:val="Emphasis"/>
    <w:basedOn w:val="DefaultParagraphFont"/>
    <w:uiPriority w:val="20"/>
    <w:qFormat/>
    <w:rsid w:val="00CE4A9A"/>
    <w:rPr>
      <w:i/>
      <w:iCs/>
    </w:rPr>
  </w:style>
  <w:style w:type="paragraph" w:customStyle="1" w:styleId="ESIntro">
    <w:name w:val="ES Intro"/>
    <w:basedOn w:val="Normal"/>
    <w:qFormat/>
    <w:rsid w:val="00BD5FAF"/>
    <w:pPr>
      <w:keepNext/>
      <w:spacing w:before="0" w:after="360" w:line="260" w:lineRule="exact"/>
      <w:ind w:right="-1"/>
    </w:pPr>
    <w:rPr>
      <w:rFonts w:ascii="Open Sans" w:eastAsia="Open Sans" w:hAnsi="Open Sans"/>
      <w:noProof/>
      <w:color w:val="575756"/>
      <w:sz w:val="22"/>
      <w:szCs w:val="26"/>
      <w:lang w:eastAsia="en-GB"/>
    </w:rPr>
  </w:style>
  <w:style w:type="paragraph" w:customStyle="1" w:styleId="WDTable">
    <w:name w:val="WD Table"/>
    <w:aliases w:val="Table Content,AFW Table"/>
    <w:basedOn w:val="WDBody"/>
    <w:qFormat/>
    <w:rsid w:val="007E6670"/>
    <w:pPr>
      <w:spacing w:after="0" w:line="240" w:lineRule="auto"/>
    </w:pPr>
    <w:rPr>
      <w:rFonts w:eastAsiaTheme="minorHAnsi" w:cstheme="minorBidi"/>
      <w:sz w:val="16"/>
    </w:rPr>
  </w:style>
  <w:style w:type="character" w:customStyle="1" w:styleId="superscript0">
    <w:name w:val="superscript"/>
    <w:basedOn w:val="DefaultParagraphFont"/>
    <w:rsid w:val="00A039C0"/>
  </w:style>
  <w:style w:type="paragraph" w:styleId="EndnoteText">
    <w:name w:val="endnote text"/>
    <w:basedOn w:val="Normal"/>
    <w:link w:val="EndnoteTextChar"/>
    <w:uiPriority w:val="99"/>
    <w:semiHidden/>
    <w:unhideWhenUsed/>
    <w:rsid w:val="007D64C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D64C7"/>
    <w:rPr>
      <w:lang w:eastAsia="en-US"/>
    </w:rPr>
  </w:style>
  <w:style w:type="character" w:styleId="EndnoteReference">
    <w:name w:val="endnote reference"/>
    <w:basedOn w:val="DefaultParagraphFont"/>
    <w:uiPriority w:val="99"/>
    <w:semiHidden/>
    <w:unhideWhenUsed/>
    <w:rsid w:val="007D6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4381140">
      <w:bodyDiv w:val="1"/>
      <w:marLeft w:val="0"/>
      <w:marRight w:val="0"/>
      <w:marTop w:val="0"/>
      <w:marBottom w:val="0"/>
      <w:divBdr>
        <w:top w:val="none" w:sz="0" w:space="0" w:color="auto"/>
        <w:left w:val="none" w:sz="0" w:space="0" w:color="auto"/>
        <w:bottom w:val="none" w:sz="0" w:space="0" w:color="auto"/>
        <w:right w:val="none" w:sz="0" w:space="0" w:color="auto"/>
      </w:divBdr>
      <w:divsChild>
        <w:div w:id="16126230">
          <w:marLeft w:val="0"/>
          <w:marRight w:val="0"/>
          <w:marTop w:val="0"/>
          <w:marBottom w:val="0"/>
          <w:divBdr>
            <w:top w:val="none" w:sz="0" w:space="0" w:color="auto"/>
            <w:left w:val="none" w:sz="0" w:space="0" w:color="auto"/>
            <w:bottom w:val="none" w:sz="0" w:space="0" w:color="auto"/>
            <w:right w:val="none" w:sz="0" w:space="0" w:color="auto"/>
          </w:divBdr>
        </w:div>
        <w:div w:id="1274897372">
          <w:marLeft w:val="0"/>
          <w:marRight w:val="0"/>
          <w:marTop w:val="0"/>
          <w:marBottom w:val="0"/>
          <w:divBdr>
            <w:top w:val="none" w:sz="0" w:space="0" w:color="auto"/>
            <w:left w:val="none" w:sz="0" w:space="0" w:color="auto"/>
            <w:bottom w:val="none" w:sz="0" w:space="0" w:color="auto"/>
            <w:right w:val="none" w:sz="0" w:space="0" w:color="auto"/>
          </w:divBdr>
        </w:div>
        <w:div w:id="1447237308">
          <w:marLeft w:val="0"/>
          <w:marRight w:val="0"/>
          <w:marTop w:val="0"/>
          <w:marBottom w:val="0"/>
          <w:divBdr>
            <w:top w:val="none" w:sz="0" w:space="0" w:color="auto"/>
            <w:left w:val="none" w:sz="0" w:space="0" w:color="auto"/>
            <w:bottom w:val="none" w:sz="0" w:space="0" w:color="auto"/>
            <w:right w:val="none" w:sz="0" w:space="0" w:color="auto"/>
          </w:divBdr>
        </w:div>
      </w:divsChild>
    </w:div>
    <w:div w:id="35742711">
      <w:bodyDiv w:val="1"/>
      <w:marLeft w:val="0"/>
      <w:marRight w:val="0"/>
      <w:marTop w:val="0"/>
      <w:marBottom w:val="0"/>
      <w:divBdr>
        <w:top w:val="none" w:sz="0" w:space="0" w:color="auto"/>
        <w:left w:val="none" w:sz="0" w:space="0" w:color="auto"/>
        <w:bottom w:val="none" w:sz="0" w:space="0" w:color="auto"/>
        <w:right w:val="none" w:sz="0" w:space="0" w:color="auto"/>
      </w:divBdr>
    </w:div>
    <w:div w:id="51851148">
      <w:bodyDiv w:val="1"/>
      <w:marLeft w:val="0"/>
      <w:marRight w:val="0"/>
      <w:marTop w:val="0"/>
      <w:marBottom w:val="0"/>
      <w:divBdr>
        <w:top w:val="none" w:sz="0" w:space="0" w:color="auto"/>
        <w:left w:val="none" w:sz="0" w:space="0" w:color="auto"/>
        <w:bottom w:val="none" w:sz="0" w:space="0" w:color="auto"/>
        <w:right w:val="none" w:sz="0" w:space="0" w:color="auto"/>
      </w:divBdr>
    </w:div>
    <w:div w:id="87433046">
      <w:bodyDiv w:val="1"/>
      <w:marLeft w:val="0"/>
      <w:marRight w:val="0"/>
      <w:marTop w:val="0"/>
      <w:marBottom w:val="0"/>
      <w:divBdr>
        <w:top w:val="none" w:sz="0" w:space="0" w:color="auto"/>
        <w:left w:val="none" w:sz="0" w:space="0" w:color="auto"/>
        <w:bottom w:val="none" w:sz="0" w:space="0" w:color="auto"/>
        <w:right w:val="none" w:sz="0" w:space="0" w:color="auto"/>
      </w:divBdr>
    </w:div>
    <w:div w:id="178279318">
      <w:bodyDiv w:val="1"/>
      <w:marLeft w:val="0"/>
      <w:marRight w:val="0"/>
      <w:marTop w:val="0"/>
      <w:marBottom w:val="0"/>
      <w:divBdr>
        <w:top w:val="none" w:sz="0" w:space="0" w:color="auto"/>
        <w:left w:val="none" w:sz="0" w:space="0" w:color="auto"/>
        <w:bottom w:val="none" w:sz="0" w:space="0" w:color="auto"/>
        <w:right w:val="none" w:sz="0" w:space="0" w:color="auto"/>
      </w:divBdr>
      <w:divsChild>
        <w:div w:id="379786262">
          <w:marLeft w:val="0"/>
          <w:marRight w:val="0"/>
          <w:marTop w:val="0"/>
          <w:marBottom w:val="0"/>
          <w:divBdr>
            <w:top w:val="none" w:sz="0" w:space="0" w:color="auto"/>
            <w:left w:val="none" w:sz="0" w:space="0" w:color="auto"/>
            <w:bottom w:val="none" w:sz="0" w:space="0" w:color="auto"/>
            <w:right w:val="none" w:sz="0" w:space="0" w:color="auto"/>
          </w:divBdr>
        </w:div>
        <w:div w:id="393890475">
          <w:marLeft w:val="0"/>
          <w:marRight w:val="0"/>
          <w:marTop w:val="0"/>
          <w:marBottom w:val="0"/>
          <w:divBdr>
            <w:top w:val="none" w:sz="0" w:space="0" w:color="auto"/>
            <w:left w:val="none" w:sz="0" w:space="0" w:color="auto"/>
            <w:bottom w:val="none" w:sz="0" w:space="0" w:color="auto"/>
            <w:right w:val="none" w:sz="0" w:space="0" w:color="auto"/>
          </w:divBdr>
        </w:div>
        <w:div w:id="451897504">
          <w:marLeft w:val="0"/>
          <w:marRight w:val="0"/>
          <w:marTop w:val="0"/>
          <w:marBottom w:val="0"/>
          <w:divBdr>
            <w:top w:val="none" w:sz="0" w:space="0" w:color="auto"/>
            <w:left w:val="none" w:sz="0" w:space="0" w:color="auto"/>
            <w:bottom w:val="none" w:sz="0" w:space="0" w:color="auto"/>
            <w:right w:val="none" w:sz="0" w:space="0" w:color="auto"/>
          </w:divBdr>
        </w:div>
        <w:div w:id="483131832">
          <w:marLeft w:val="0"/>
          <w:marRight w:val="0"/>
          <w:marTop w:val="0"/>
          <w:marBottom w:val="0"/>
          <w:divBdr>
            <w:top w:val="none" w:sz="0" w:space="0" w:color="auto"/>
            <w:left w:val="none" w:sz="0" w:space="0" w:color="auto"/>
            <w:bottom w:val="none" w:sz="0" w:space="0" w:color="auto"/>
            <w:right w:val="none" w:sz="0" w:space="0" w:color="auto"/>
          </w:divBdr>
        </w:div>
        <w:div w:id="884680133">
          <w:marLeft w:val="0"/>
          <w:marRight w:val="0"/>
          <w:marTop w:val="0"/>
          <w:marBottom w:val="0"/>
          <w:divBdr>
            <w:top w:val="none" w:sz="0" w:space="0" w:color="auto"/>
            <w:left w:val="none" w:sz="0" w:space="0" w:color="auto"/>
            <w:bottom w:val="none" w:sz="0" w:space="0" w:color="auto"/>
            <w:right w:val="none" w:sz="0" w:space="0" w:color="auto"/>
          </w:divBdr>
        </w:div>
      </w:divsChild>
    </w:div>
    <w:div w:id="235669414">
      <w:bodyDiv w:val="1"/>
      <w:marLeft w:val="0"/>
      <w:marRight w:val="0"/>
      <w:marTop w:val="0"/>
      <w:marBottom w:val="0"/>
      <w:divBdr>
        <w:top w:val="none" w:sz="0" w:space="0" w:color="auto"/>
        <w:left w:val="none" w:sz="0" w:space="0" w:color="auto"/>
        <w:bottom w:val="none" w:sz="0" w:space="0" w:color="auto"/>
        <w:right w:val="none" w:sz="0" w:space="0" w:color="auto"/>
      </w:divBdr>
      <w:divsChild>
        <w:div w:id="556745176">
          <w:marLeft w:val="0"/>
          <w:marRight w:val="0"/>
          <w:marTop w:val="0"/>
          <w:marBottom w:val="0"/>
          <w:divBdr>
            <w:top w:val="none" w:sz="0" w:space="0" w:color="auto"/>
            <w:left w:val="none" w:sz="0" w:space="0" w:color="auto"/>
            <w:bottom w:val="none" w:sz="0" w:space="0" w:color="auto"/>
            <w:right w:val="none" w:sz="0" w:space="0" w:color="auto"/>
          </w:divBdr>
          <w:divsChild>
            <w:div w:id="829753736">
              <w:marLeft w:val="0"/>
              <w:marRight w:val="0"/>
              <w:marTop w:val="0"/>
              <w:marBottom w:val="0"/>
              <w:divBdr>
                <w:top w:val="none" w:sz="0" w:space="0" w:color="auto"/>
                <w:left w:val="none" w:sz="0" w:space="0" w:color="auto"/>
                <w:bottom w:val="none" w:sz="0" w:space="0" w:color="auto"/>
                <w:right w:val="none" w:sz="0" w:space="0" w:color="auto"/>
              </w:divBdr>
              <w:divsChild>
                <w:div w:id="1605074133">
                  <w:marLeft w:val="8"/>
                  <w:marRight w:val="0"/>
                  <w:marTop w:val="0"/>
                  <w:marBottom w:val="0"/>
                  <w:divBdr>
                    <w:top w:val="none" w:sz="0" w:space="0" w:color="auto"/>
                    <w:left w:val="none" w:sz="0" w:space="0" w:color="auto"/>
                    <w:bottom w:val="none" w:sz="0" w:space="0" w:color="auto"/>
                    <w:right w:val="none" w:sz="0" w:space="0" w:color="auto"/>
                  </w:divBdr>
                </w:div>
              </w:divsChild>
            </w:div>
            <w:div w:id="1028064165">
              <w:marLeft w:val="0"/>
              <w:marRight w:val="0"/>
              <w:marTop w:val="0"/>
              <w:marBottom w:val="0"/>
              <w:divBdr>
                <w:top w:val="none" w:sz="0" w:space="0" w:color="auto"/>
                <w:left w:val="none" w:sz="0" w:space="0" w:color="auto"/>
                <w:bottom w:val="none" w:sz="0" w:space="0" w:color="auto"/>
                <w:right w:val="none" w:sz="0" w:space="0" w:color="auto"/>
              </w:divBdr>
              <w:divsChild>
                <w:div w:id="1053694395">
                  <w:marLeft w:val="8"/>
                  <w:marRight w:val="0"/>
                  <w:marTop w:val="0"/>
                  <w:marBottom w:val="0"/>
                  <w:divBdr>
                    <w:top w:val="none" w:sz="0" w:space="0" w:color="auto"/>
                    <w:left w:val="none" w:sz="0" w:space="0" w:color="auto"/>
                    <w:bottom w:val="none" w:sz="0" w:space="0" w:color="auto"/>
                    <w:right w:val="none" w:sz="0" w:space="0" w:color="auto"/>
                  </w:divBdr>
                </w:div>
              </w:divsChild>
            </w:div>
            <w:div w:id="1825198104">
              <w:marLeft w:val="0"/>
              <w:marRight w:val="0"/>
              <w:marTop w:val="0"/>
              <w:marBottom w:val="0"/>
              <w:divBdr>
                <w:top w:val="none" w:sz="0" w:space="0" w:color="auto"/>
                <w:left w:val="none" w:sz="0" w:space="0" w:color="auto"/>
                <w:bottom w:val="none" w:sz="0" w:space="0" w:color="auto"/>
                <w:right w:val="none" w:sz="0" w:space="0" w:color="auto"/>
              </w:divBdr>
              <w:divsChild>
                <w:div w:id="55431338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72469">
      <w:bodyDiv w:val="1"/>
      <w:marLeft w:val="0"/>
      <w:marRight w:val="0"/>
      <w:marTop w:val="0"/>
      <w:marBottom w:val="0"/>
      <w:divBdr>
        <w:top w:val="none" w:sz="0" w:space="0" w:color="auto"/>
        <w:left w:val="none" w:sz="0" w:space="0" w:color="auto"/>
        <w:bottom w:val="none" w:sz="0" w:space="0" w:color="auto"/>
        <w:right w:val="none" w:sz="0" w:space="0" w:color="auto"/>
      </w:divBdr>
    </w:div>
    <w:div w:id="309360618">
      <w:bodyDiv w:val="1"/>
      <w:marLeft w:val="0"/>
      <w:marRight w:val="0"/>
      <w:marTop w:val="0"/>
      <w:marBottom w:val="0"/>
      <w:divBdr>
        <w:top w:val="none" w:sz="0" w:space="0" w:color="auto"/>
        <w:left w:val="none" w:sz="0" w:space="0" w:color="auto"/>
        <w:bottom w:val="none" w:sz="0" w:space="0" w:color="auto"/>
        <w:right w:val="none" w:sz="0" w:space="0" w:color="auto"/>
      </w:divBdr>
    </w:div>
    <w:div w:id="335108774">
      <w:bodyDiv w:val="1"/>
      <w:marLeft w:val="0"/>
      <w:marRight w:val="0"/>
      <w:marTop w:val="0"/>
      <w:marBottom w:val="0"/>
      <w:divBdr>
        <w:top w:val="none" w:sz="0" w:space="0" w:color="auto"/>
        <w:left w:val="none" w:sz="0" w:space="0" w:color="auto"/>
        <w:bottom w:val="none" w:sz="0" w:space="0" w:color="auto"/>
        <w:right w:val="none" w:sz="0" w:space="0" w:color="auto"/>
      </w:divBdr>
    </w:div>
    <w:div w:id="358823912">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31901867">
      <w:bodyDiv w:val="1"/>
      <w:marLeft w:val="0"/>
      <w:marRight w:val="0"/>
      <w:marTop w:val="0"/>
      <w:marBottom w:val="0"/>
      <w:divBdr>
        <w:top w:val="none" w:sz="0" w:space="0" w:color="auto"/>
        <w:left w:val="none" w:sz="0" w:space="0" w:color="auto"/>
        <w:bottom w:val="none" w:sz="0" w:space="0" w:color="auto"/>
        <w:right w:val="none" w:sz="0" w:space="0" w:color="auto"/>
      </w:divBdr>
    </w:div>
    <w:div w:id="466045781">
      <w:bodyDiv w:val="1"/>
      <w:marLeft w:val="0"/>
      <w:marRight w:val="0"/>
      <w:marTop w:val="0"/>
      <w:marBottom w:val="0"/>
      <w:divBdr>
        <w:top w:val="none" w:sz="0" w:space="0" w:color="auto"/>
        <w:left w:val="none" w:sz="0" w:space="0" w:color="auto"/>
        <w:bottom w:val="none" w:sz="0" w:space="0" w:color="auto"/>
        <w:right w:val="none" w:sz="0" w:space="0" w:color="auto"/>
      </w:divBdr>
    </w:div>
    <w:div w:id="491524558">
      <w:bodyDiv w:val="1"/>
      <w:marLeft w:val="0"/>
      <w:marRight w:val="0"/>
      <w:marTop w:val="0"/>
      <w:marBottom w:val="0"/>
      <w:divBdr>
        <w:top w:val="none" w:sz="0" w:space="0" w:color="auto"/>
        <w:left w:val="none" w:sz="0" w:space="0" w:color="auto"/>
        <w:bottom w:val="none" w:sz="0" w:space="0" w:color="auto"/>
        <w:right w:val="none" w:sz="0" w:space="0" w:color="auto"/>
      </w:divBdr>
    </w:div>
    <w:div w:id="531309720">
      <w:bodyDiv w:val="1"/>
      <w:marLeft w:val="0"/>
      <w:marRight w:val="0"/>
      <w:marTop w:val="0"/>
      <w:marBottom w:val="0"/>
      <w:divBdr>
        <w:top w:val="none" w:sz="0" w:space="0" w:color="auto"/>
        <w:left w:val="none" w:sz="0" w:space="0" w:color="auto"/>
        <w:bottom w:val="none" w:sz="0" w:space="0" w:color="auto"/>
        <w:right w:val="none" w:sz="0" w:space="0" w:color="auto"/>
      </w:divBdr>
      <w:divsChild>
        <w:div w:id="109328335">
          <w:marLeft w:val="0"/>
          <w:marRight w:val="0"/>
          <w:marTop w:val="0"/>
          <w:marBottom w:val="0"/>
          <w:divBdr>
            <w:top w:val="none" w:sz="0" w:space="0" w:color="auto"/>
            <w:left w:val="none" w:sz="0" w:space="0" w:color="auto"/>
            <w:bottom w:val="none" w:sz="0" w:space="0" w:color="auto"/>
            <w:right w:val="none" w:sz="0" w:space="0" w:color="auto"/>
          </w:divBdr>
        </w:div>
        <w:div w:id="249438076">
          <w:marLeft w:val="0"/>
          <w:marRight w:val="0"/>
          <w:marTop w:val="0"/>
          <w:marBottom w:val="0"/>
          <w:divBdr>
            <w:top w:val="none" w:sz="0" w:space="0" w:color="auto"/>
            <w:left w:val="none" w:sz="0" w:space="0" w:color="auto"/>
            <w:bottom w:val="none" w:sz="0" w:space="0" w:color="auto"/>
            <w:right w:val="none" w:sz="0" w:space="0" w:color="auto"/>
          </w:divBdr>
        </w:div>
        <w:div w:id="335153377">
          <w:marLeft w:val="0"/>
          <w:marRight w:val="0"/>
          <w:marTop w:val="0"/>
          <w:marBottom w:val="0"/>
          <w:divBdr>
            <w:top w:val="none" w:sz="0" w:space="0" w:color="auto"/>
            <w:left w:val="none" w:sz="0" w:space="0" w:color="auto"/>
            <w:bottom w:val="none" w:sz="0" w:space="0" w:color="auto"/>
            <w:right w:val="none" w:sz="0" w:space="0" w:color="auto"/>
          </w:divBdr>
        </w:div>
        <w:div w:id="814300402">
          <w:marLeft w:val="0"/>
          <w:marRight w:val="0"/>
          <w:marTop w:val="0"/>
          <w:marBottom w:val="0"/>
          <w:divBdr>
            <w:top w:val="none" w:sz="0" w:space="0" w:color="auto"/>
            <w:left w:val="none" w:sz="0" w:space="0" w:color="auto"/>
            <w:bottom w:val="none" w:sz="0" w:space="0" w:color="auto"/>
            <w:right w:val="none" w:sz="0" w:space="0" w:color="auto"/>
          </w:divBdr>
        </w:div>
        <w:div w:id="816646970">
          <w:marLeft w:val="0"/>
          <w:marRight w:val="0"/>
          <w:marTop w:val="0"/>
          <w:marBottom w:val="0"/>
          <w:divBdr>
            <w:top w:val="none" w:sz="0" w:space="0" w:color="auto"/>
            <w:left w:val="none" w:sz="0" w:space="0" w:color="auto"/>
            <w:bottom w:val="none" w:sz="0" w:space="0" w:color="auto"/>
            <w:right w:val="none" w:sz="0" w:space="0" w:color="auto"/>
          </w:divBdr>
        </w:div>
        <w:div w:id="833103553">
          <w:marLeft w:val="0"/>
          <w:marRight w:val="0"/>
          <w:marTop w:val="0"/>
          <w:marBottom w:val="0"/>
          <w:divBdr>
            <w:top w:val="none" w:sz="0" w:space="0" w:color="auto"/>
            <w:left w:val="none" w:sz="0" w:space="0" w:color="auto"/>
            <w:bottom w:val="none" w:sz="0" w:space="0" w:color="auto"/>
            <w:right w:val="none" w:sz="0" w:space="0" w:color="auto"/>
          </w:divBdr>
        </w:div>
        <w:div w:id="845244175">
          <w:marLeft w:val="0"/>
          <w:marRight w:val="0"/>
          <w:marTop w:val="0"/>
          <w:marBottom w:val="0"/>
          <w:divBdr>
            <w:top w:val="none" w:sz="0" w:space="0" w:color="auto"/>
            <w:left w:val="none" w:sz="0" w:space="0" w:color="auto"/>
            <w:bottom w:val="none" w:sz="0" w:space="0" w:color="auto"/>
            <w:right w:val="none" w:sz="0" w:space="0" w:color="auto"/>
          </w:divBdr>
        </w:div>
        <w:div w:id="877351172">
          <w:marLeft w:val="0"/>
          <w:marRight w:val="0"/>
          <w:marTop w:val="0"/>
          <w:marBottom w:val="0"/>
          <w:divBdr>
            <w:top w:val="none" w:sz="0" w:space="0" w:color="auto"/>
            <w:left w:val="none" w:sz="0" w:space="0" w:color="auto"/>
            <w:bottom w:val="none" w:sz="0" w:space="0" w:color="auto"/>
            <w:right w:val="none" w:sz="0" w:space="0" w:color="auto"/>
          </w:divBdr>
        </w:div>
        <w:div w:id="881556273">
          <w:marLeft w:val="0"/>
          <w:marRight w:val="0"/>
          <w:marTop w:val="0"/>
          <w:marBottom w:val="0"/>
          <w:divBdr>
            <w:top w:val="none" w:sz="0" w:space="0" w:color="auto"/>
            <w:left w:val="none" w:sz="0" w:space="0" w:color="auto"/>
            <w:bottom w:val="none" w:sz="0" w:space="0" w:color="auto"/>
            <w:right w:val="none" w:sz="0" w:space="0" w:color="auto"/>
          </w:divBdr>
        </w:div>
        <w:div w:id="908425025">
          <w:marLeft w:val="0"/>
          <w:marRight w:val="0"/>
          <w:marTop w:val="0"/>
          <w:marBottom w:val="0"/>
          <w:divBdr>
            <w:top w:val="none" w:sz="0" w:space="0" w:color="auto"/>
            <w:left w:val="none" w:sz="0" w:space="0" w:color="auto"/>
            <w:bottom w:val="none" w:sz="0" w:space="0" w:color="auto"/>
            <w:right w:val="none" w:sz="0" w:space="0" w:color="auto"/>
          </w:divBdr>
        </w:div>
        <w:div w:id="969437905">
          <w:marLeft w:val="0"/>
          <w:marRight w:val="0"/>
          <w:marTop w:val="0"/>
          <w:marBottom w:val="0"/>
          <w:divBdr>
            <w:top w:val="none" w:sz="0" w:space="0" w:color="auto"/>
            <w:left w:val="none" w:sz="0" w:space="0" w:color="auto"/>
            <w:bottom w:val="none" w:sz="0" w:space="0" w:color="auto"/>
            <w:right w:val="none" w:sz="0" w:space="0" w:color="auto"/>
          </w:divBdr>
        </w:div>
        <w:div w:id="995573055">
          <w:marLeft w:val="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1040973941">
          <w:marLeft w:val="0"/>
          <w:marRight w:val="0"/>
          <w:marTop w:val="0"/>
          <w:marBottom w:val="0"/>
          <w:divBdr>
            <w:top w:val="none" w:sz="0" w:space="0" w:color="auto"/>
            <w:left w:val="none" w:sz="0" w:space="0" w:color="auto"/>
            <w:bottom w:val="none" w:sz="0" w:space="0" w:color="auto"/>
            <w:right w:val="none" w:sz="0" w:space="0" w:color="auto"/>
          </w:divBdr>
        </w:div>
        <w:div w:id="1063483015">
          <w:marLeft w:val="0"/>
          <w:marRight w:val="0"/>
          <w:marTop w:val="0"/>
          <w:marBottom w:val="0"/>
          <w:divBdr>
            <w:top w:val="none" w:sz="0" w:space="0" w:color="auto"/>
            <w:left w:val="none" w:sz="0" w:space="0" w:color="auto"/>
            <w:bottom w:val="none" w:sz="0" w:space="0" w:color="auto"/>
            <w:right w:val="none" w:sz="0" w:space="0" w:color="auto"/>
          </w:divBdr>
          <w:divsChild>
            <w:div w:id="509373315">
              <w:marLeft w:val="0"/>
              <w:marRight w:val="0"/>
              <w:marTop w:val="0"/>
              <w:marBottom w:val="0"/>
              <w:divBdr>
                <w:top w:val="none" w:sz="0" w:space="0" w:color="auto"/>
                <w:left w:val="none" w:sz="0" w:space="0" w:color="auto"/>
                <w:bottom w:val="none" w:sz="0" w:space="0" w:color="auto"/>
                <w:right w:val="none" w:sz="0" w:space="0" w:color="auto"/>
              </w:divBdr>
            </w:div>
            <w:div w:id="569927659">
              <w:marLeft w:val="0"/>
              <w:marRight w:val="0"/>
              <w:marTop w:val="0"/>
              <w:marBottom w:val="0"/>
              <w:divBdr>
                <w:top w:val="none" w:sz="0" w:space="0" w:color="auto"/>
                <w:left w:val="none" w:sz="0" w:space="0" w:color="auto"/>
                <w:bottom w:val="none" w:sz="0" w:space="0" w:color="auto"/>
                <w:right w:val="none" w:sz="0" w:space="0" w:color="auto"/>
              </w:divBdr>
            </w:div>
          </w:divsChild>
        </w:div>
        <w:div w:id="1123185172">
          <w:marLeft w:val="0"/>
          <w:marRight w:val="0"/>
          <w:marTop w:val="0"/>
          <w:marBottom w:val="0"/>
          <w:divBdr>
            <w:top w:val="none" w:sz="0" w:space="0" w:color="auto"/>
            <w:left w:val="none" w:sz="0" w:space="0" w:color="auto"/>
            <w:bottom w:val="none" w:sz="0" w:space="0" w:color="auto"/>
            <w:right w:val="none" w:sz="0" w:space="0" w:color="auto"/>
          </w:divBdr>
        </w:div>
        <w:div w:id="1171868737">
          <w:marLeft w:val="0"/>
          <w:marRight w:val="0"/>
          <w:marTop w:val="0"/>
          <w:marBottom w:val="0"/>
          <w:divBdr>
            <w:top w:val="none" w:sz="0" w:space="0" w:color="auto"/>
            <w:left w:val="none" w:sz="0" w:space="0" w:color="auto"/>
            <w:bottom w:val="none" w:sz="0" w:space="0" w:color="auto"/>
            <w:right w:val="none" w:sz="0" w:space="0" w:color="auto"/>
          </w:divBdr>
          <w:divsChild>
            <w:div w:id="431822607">
              <w:marLeft w:val="0"/>
              <w:marRight w:val="0"/>
              <w:marTop w:val="0"/>
              <w:marBottom w:val="0"/>
              <w:divBdr>
                <w:top w:val="none" w:sz="0" w:space="0" w:color="auto"/>
                <w:left w:val="none" w:sz="0" w:space="0" w:color="auto"/>
                <w:bottom w:val="none" w:sz="0" w:space="0" w:color="auto"/>
                <w:right w:val="none" w:sz="0" w:space="0" w:color="auto"/>
              </w:divBdr>
            </w:div>
            <w:div w:id="600065217">
              <w:marLeft w:val="0"/>
              <w:marRight w:val="0"/>
              <w:marTop w:val="0"/>
              <w:marBottom w:val="0"/>
              <w:divBdr>
                <w:top w:val="none" w:sz="0" w:space="0" w:color="auto"/>
                <w:left w:val="none" w:sz="0" w:space="0" w:color="auto"/>
                <w:bottom w:val="none" w:sz="0" w:space="0" w:color="auto"/>
                <w:right w:val="none" w:sz="0" w:space="0" w:color="auto"/>
              </w:divBdr>
            </w:div>
            <w:div w:id="833378250">
              <w:marLeft w:val="0"/>
              <w:marRight w:val="0"/>
              <w:marTop w:val="0"/>
              <w:marBottom w:val="0"/>
              <w:divBdr>
                <w:top w:val="none" w:sz="0" w:space="0" w:color="auto"/>
                <w:left w:val="none" w:sz="0" w:space="0" w:color="auto"/>
                <w:bottom w:val="none" w:sz="0" w:space="0" w:color="auto"/>
                <w:right w:val="none" w:sz="0" w:space="0" w:color="auto"/>
              </w:divBdr>
            </w:div>
            <w:div w:id="1544059125">
              <w:marLeft w:val="0"/>
              <w:marRight w:val="0"/>
              <w:marTop w:val="0"/>
              <w:marBottom w:val="0"/>
              <w:divBdr>
                <w:top w:val="none" w:sz="0" w:space="0" w:color="auto"/>
                <w:left w:val="none" w:sz="0" w:space="0" w:color="auto"/>
                <w:bottom w:val="none" w:sz="0" w:space="0" w:color="auto"/>
                <w:right w:val="none" w:sz="0" w:space="0" w:color="auto"/>
              </w:divBdr>
            </w:div>
            <w:div w:id="1978949978">
              <w:marLeft w:val="0"/>
              <w:marRight w:val="0"/>
              <w:marTop w:val="0"/>
              <w:marBottom w:val="0"/>
              <w:divBdr>
                <w:top w:val="none" w:sz="0" w:space="0" w:color="auto"/>
                <w:left w:val="none" w:sz="0" w:space="0" w:color="auto"/>
                <w:bottom w:val="none" w:sz="0" w:space="0" w:color="auto"/>
                <w:right w:val="none" w:sz="0" w:space="0" w:color="auto"/>
              </w:divBdr>
            </w:div>
          </w:divsChild>
        </w:div>
        <w:div w:id="1432820196">
          <w:marLeft w:val="0"/>
          <w:marRight w:val="0"/>
          <w:marTop w:val="0"/>
          <w:marBottom w:val="0"/>
          <w:divBdr>
            <w:top w:val="none" w:sz="0" w:space="0" w:color="auto"/>
            <w:left w:val="none" w:sz="0" w:space="0" w:color="auto"/>
            <w:bottom w:val="none" w:sz="0" w:space="0" w:color="auto"/>
            <w:right w:val="none" w:sz="0" w:space="0" w:color="auto"/>
          </w:divBdr>
        </w:div>
        <w:div w:id="1448936385">
          <w:marLeft w:val="0"/>
          <w:marRight w:val="0"/>
          <w:marTop w:val="0"/>
          <w:marBottom w:val="0"/>
          <w:divBdr>
            <w:top w:val="none" w:sz="0" w:space="0" w:color="auto"/>
            <w:left w:val="none" w:sz="0" w:space="0" w:color="auto"/>
            <w:bottom w:val="none" w:sz="0" w:space="0" w:color="auto"/>
            <w:right w:val="none" w:sz="0" w:space="0" w:color="auto"/>
          </w:divBdr>
        </w:div>
        <w:div w:id="1493326856">
          <w:marLeft w:val="0"/>
          <w:marRight w:val="0"/>
          <w:marTop w:val="0"/>
          <w:marBottom w:val="0"/>
          <w:divBdr>
            <w:top w:val="none" w:sz="0" w:space="0" w:color="auto"/>
            <w:left w:val="none" w:sz="0" w:space="0" w:color="auto"/>
            <w:bottom w:val="none" w:sz="0" w:space="0" w:color="auto"/>
            <w:right w:val="none" w:sz="0" w:space="0" w:color="auto"/>
          </w:divBdr>
        </w:div>
        <w:div w:id="1606379874">
          <w:marLeft w:val="0"/>
          <w:marRight w:val="0"/>
          <w:marTop w:val="0"/>
          <w:marBottom w:val="0"/>
          <w:divBdr>
            <w:top w:val="none" w:sz="0" w:space="0" w:color="auto"/>
            <w:left w:val="none" w:sz="0" w:space="0" w:color="auto"/>
            <w:bottom w:val="none" w:sz="0" w:space="0" w:color="auto"/>
            <w:right w:val="none" w:sz="0" w:space="0" w:color="auto"/>
          </w:divBdr>
        </w:div>
        <w:div w:id="2090346177">
          <w:marLeft w:val="0"/>
          <w:marRight w:val="0"/>
          <w:marTop w:val="0"/>
          <w:marBottom w:val="0"/>
          <w:divBdr>
            <w:top w:val="none" w:sz="0" w:space="0" w:color="auto"/>
            <w:left w:val="none" w:sz="0" w:space="0" w:color="auto"/>
            <w:bottom w:val="none" w:sz="0" w:space="0" w:color="auto"/>
            <w:right w:val="none" w:sz="0" w:space="0" w:color="auto"/>
          </w:divBdr>
          <w:divsChild>
            <w:div w:id="2039314560">
              <w:marLeft w:val="-75"/>
              <w:marRight w:val="0"/>
              <w:marTop w:val="30"/>
              <w:marBottom w:val="30"/>
              <w:divBdr>
                <w:top w:val="none" w:sz="0" w:space="0" w:color="auto"/>
                <w:left w:val="none" w:sz="0" w:space="0" w:color="auto"/>
                <w:bottom w:val="none" w:sz="0" w:space="0" w:color="auto"/>
                <w:right w:val="none" w:sz="0" w:space="0" w:color="auto"/>
              </w:divBdr>
              <w:divsChild>
                <w:div w:id="16661560">
                  <w:marLeft w:val="0"/>
                  <w:marRight w:val="0"/>
                  <w:marTop w:val="0"/>
                  <w:marBottom w:val="0"/>
                  <w:divBdr>
                    <w:top w:val="none" w:sz="0" w:space="0" w:color="auto"/>
                    <w:left w:val="none" w:sz="0" w:space="0" w:color="auto"/>
                    <w:bottom w:val="none" w:sz="0" w:space="0" w:color="auto"/>
                    <w:right w:val="none" w:sz="0" w:space="0" w:color="auto"/>
                  </w:divBdr>
                  <w:divsChild>
                    <w:div w:id="908492338">
                      <w:marLeft w:val="0"/>
                      <w:marRight w:val="0"/>
                      <w:marTop w:val="0"/>
                      <w:marBottom w:val="0"/>
                      <w:divBdr>
                        <w:top w:val="none" w:sz="0" w:space="0" w:color="auto"/>
                        <w:left w:val="none" w:sz="0" w:space="0" w:color="auto"/>
                        <w:bottom w:val="none" w:sz="0" w:space="0" w:color="auto"/>
                        <w:right w:val="none" w:sz="0" w:space="0" w:color="auto"/>
                      </w:divBdr>
                    </w:div>
                  </w:divsChild>
                </w:div>
                <w:div w:id="72437943">
                  <w:marLeft w:val="0"/>
                  <w:marRight w:val="0"/>
                  <w:marTop w:val="0"/>
                  <w:marBottom w:val="0"/>
                  <w:divBdr>
                    <w:top w:val="none" w:sz="0" w:space="0" w:color="auto"/>
                    <w:left w:val="none" w:sz="0" w:space="0" w:color="auto"/>
                    <w:bottom w:val="none" w:sz="0" w:space="0" w:color="auto"/>
                    <w:right w:val="none" w:sz="0" w:space="0" w:color="auto"/>
                  </w:divBdr>
                  <w:divsChild>
                    <w:div w:id="567960726">
                      <w:marLeft w:val="0"/>
                      <w:marRight w:val="0"/>
                      <w:marTop w:val="0"/>
                      <w:marBottom w:val="0"/>
                      <w:divBdr>
                        <w:top w:val="none" w:sz="0" w:space="0" w:color="auto"/>
                        <w:left w:val="none" w:sz="0" w:space="0" w:color="auto"/>
                        <w:bottom w:val="none" w:sz="0" w:space="0" w:color="auto"/>
                        <w:right w:val="none" w:sz="0" w:space="0" w:color="auto"/>
                      </w:divBdr>
                    </w:div>
                  </w:divsChild>
                </w:div>
                <w:div w:id="128596015">
                  <w:marLeft w:val="0"/>
                  <w:marRight w:val="0"/>
                  <w:marTop w:val="0"/>
                  <w:marBottom w:val="0"/>
                  <w:divBdr>
                    <w:top w:val="none" w:sz="0" w:space="0" w:color="auto"/>
                    <w:left w:val="none" w:sz="0" w:space="0" w:color="auto"/>
                    <w:bottom w:val="none" w:sz="0" w:space="0" w:color="auto"/>
                    <w:right w:val="none" w:sz="0" w:space="0" w:color="auto"/>
                  </w:divBdr>
                  <w:divsChild>
                    <w:div w:id="1874460932">
                      <w:marLeft w:val="0"/>
                      <w:marRight w:val="0"/>
                      <w:marTop w:val="0"/>
                      <w:marBottom w:val="0"/>
                      <w:divBdr>
                        <w:top w:val="none" w:sz="0" w:space="0" w:color="auto"/>
                        <w:left w:val="none" w:sz="0" w:space="0" w:color="auto"/>
                        <w:bottom w:val="none" w:sz="0" w:space="0" w:color="auto"/>
                        <w:right w:val="none" w:sz="0" w:space="0" w:color="auto"/>
                      </w:divBdr>
                    </w:div>
                  </w:divsChild>
                </w:div>
                <w:div w:id="131531334">
                  <w:marLeft w:val="0"/>
                  <w:marRight w:val="0"/>
                  <w:marTop w:val="0"/>
                  <w:marBottom w:val="0"/>
                  <w:divBdr>
                    <w:top w:val="none" w:sz="0" w:space="0" w:color="auto"/>
                    <w:left w:val="none" w:sz="0" w:space="0" w:color="auto"/>
                    <w:bottom w:val="none" w:sz="0" w:space="0" w:color="auto"/>
                    <w:right w:val="none" w:sz="0" w:space="0" w:color="auto"/>
                  </w:divBdr>
                  <w:divsChild>
                    <w:div w:id="1981154731">
                      <w:marLeft w:val="0"/>
                      <w:marRight w:val="0"/>
                      <w:marTop w:val="0"/>
                      <w:marBottom w:val="0"/>
                      <w:divBdr>
                        <w:top w:val="none" w:sz="0" w:space="0" w:color="auto"/>
                        <w:left w:val="none" w:sz="0" w:space="0" w:color="auto"/>
                        <w:bottom w:val="none" w:sz="0" w:space="0" w:color="auto"/>
                        <w:right w:val="none" w:sz="0" w:space="0" w:color="auto"/>
                      </w:divBdr>
                    </w:div>
                  </w:divsChild>
                </w:div>
                <w:div w:id="167714739">
                  <w:marLeft w:val="0"/>
                  <w:marRight w:val="0"/>
                  <w:marTop w:val="0"/>
                  <w:marBottom w:val="0"/>
                  <w:divBdr>
                    <w:top w:val="none" w:sz="0" w:space="0" w:color="auto"/>
                    <w:left w:val="none" w:sz="0" w:space="0" w:color="auto"/>
                    <w:bottom w:val="none" w:sz="0" w:space="0" w:color="auto"/>
                    <w:right w:val="none" w:sz="0" w:space="0" w:color="auto"/>
                  </w:divBdr>
                  <w:divsChild>
                    <w:div w:id="972906246">
                      <w:marLeft w:val="0"/>
                      <w:marRight w:val="0"/>
                      <w:marTop w:val="0"/>
                      <w:marBottom w:val="0"/>
                      <w:divBdr>
                        <w:top w:val="none" w:sz="0" w:space="0" w:color="auto"/>
                        <w:left w:val="none" w:sz="0" w:space="0" w:color="auto"/>
                        <w:bottom w:val="none" w:sz="0" w:space="0" w:color="auto"/>
                        <w:right w:val="none" w:sz="0" w:space="0" w:color="auto"/>
                      </w:divBdr>
                    </w:div>
                  </w:divsChild>
                </w:div>
                <w:div w:id="246040259">
                  <w:marLeft w:val="0"/>
                  <w:marRight w:val="0"/>
                  <w:marTop w:val="0"/>
                  <w:marBottom w:val="0"/>
                  <w:divBdr>
                    <w:top w:val="none" w:sz="0" w:space="0" w:color="auto"/>
                    <w:left w:val="none" w:sz="0" w:space="0" w:color="auto"/>
                    <w:bottom w:val="none" w:sz="0" w:space="0" w:color="auto"/>
                    <w:right w:val="none" w:sz="0" w:space="0" w:color="auto"/>
                  </w:divBdr>
                  <w:divsChild>
                    <w:div w:id="912199538">
                      <w:marLeft w:val="0"/>
                      <w:marRight w:val="0"/>
                      <w:marTop w:val="0"/>
                      <w:marBottom w:val="0"/>
                      <w:divBdr>
                        <w:top w:val="none" w:sz="0" w:space="0" w:color="auto"/>
                        <w:left w:val="none" w:sz="0" w:space="0" w:color="auto"/>
                        <w:bottom w:val="none" w:sz="0" w:space="0" w:color="auto"/>
                        <w:right w:val="none" w:sz="0" w:space="0" w:color="auto"/>
                      </w:divBdr>
                    </w:div>
                  </w:divsChild>
                </w:div>
                <w:div w:id="248201385">
                  <w:marLeft w:val="0"/>
                  <w:marRight w:val="0"/>
                  <w:marTop w:val="0"/>
                  <w:marBottom w:val="0"/>
                  <w:divBdr>
                    <w:top w:val="none" w:sz="0" w:space="0" w:color="auto"/>
                    <w:left w:val="none" w:sz="0" w:space="0" w:color="auto"/>
                    <w:bottom w:val="none" w:sz="0" w:space="0" w:color="auto"/>
                    <w:right w:val="none" w:sz="0" w:space="0" w:color="auto"/>
                  </w:divBdr>
                  <w:divsChild>
                    <w:div w:id="751509977">
                      <w:marLeft w:val="0"/>
                      <w:marRight w:val="0"/>
                      <w:marTop w:val="0"/>
                      <w:marBottom w:val="0"/>
                      <w:divBdr>
                        <w:top w:val="none" w:sz="0" w:space="0" w:color="auto"/>
                        <w:left w:val="none" w:sz="0" w:space="0" w:color="auto"/>
                        <w:bottom w:val="none" w:sz="0" w:space="0" w:color="auto"/>
                        <w:right w:val="none" w:sz="0" w:space="0" w:color="auto"/>
                      </w:divBdr>
                    </w:div>
                  </w:divsChild>
                </w:div>
                <w:div w:id="267736332">
                  <w:marLeft w:val="0"/>
                  <w:marRight w:val="0"/>
                  <w:marTop w:val="0"/>
                  <w:marBottom w:val="0"/>
                  <w:divBdr>
                    <w:top w:val="none" w:sz="0" w:space="0" w:color="auto"/>
                    <w:left w:val="none" w:sz="0" w:space="0" w:color="auto"/>
                    <w:bottom w:val="none" w:sz="0" w:space="0" w:color="auto"/>
                    <w:right w:val="none" w:sz="0" w:space="0" w:color="auto"/>
                  </w:divBdr>
                  <w:divsChild>
                    <w:div w:id="78523055">
                      <w:marLeft w:val="0"/>
                      <w:marRight w:val="0"/>
                      <w:marTop w:val="0"/>
                      <w:marBottom w:val="0"/>
                      <w:divBdr>
                        <w:top w:val="none" w:sz="0" w:space="0" w:color="auto"/>
                        <w:left w:val="none" w:sz="0" w:space="0" w:color="auto"/>
                        <w:bottom w:val="none" w:sz="0" w:space="0" w:color="auto"/>
                        <w:right w:val="none" w:sz="0" w:space="0" w:color="auto"/>
                      </w:divBdr>
                    </w:div>
                  </w:divsChild>
                </w:div>
                <w:div w:id="332533510">
                  <w:marLeft w:val="0"/>
                  <w:marRight w:val="0"/>
                  <w:marTop w:val="0"/>
                  <w:marBottom w:val="0"/>
                  <w:divBdr>
                    <w:top w:val="none" w:sz="0" w:space="0" w:color="auto"/>
                    <w:left w:val="none" w:sz="0" w:space="0" w:color="auto"/>
                    <w:bottom w:val="none" w:sz="0" w:space="0" w:color="auto"/>
                    <w:right w:val="none" w:sz="0" w:space="0" w:color="auto"/>
                  </w:divBdr>
                  <w:divsChild>
                    <w:div w:id="1312371149">
                      <w:marLeft w:val="0"/>
                      <w:marRight w:val="0"/>
                      <w:marTop w:val="0"/>
                      <w:marBottom w:val="0"/>
                      <w:divBdr>
                        <w:top w:val="none" w:sz="0" w:space="0" w:color="auto"/>
                        <w:left w:val="none" w:sz="0" w:space="0" w:color="auto"/>
                        <w:bottom w:val="none" w:sz="0" w:space="0" w:color="auto"/>
                        <w:right w:val="none" w:sz="0" w:space="0" w:color="auto"/>
                      </w:divBdr>
                    </w:div>
                  </w:divsChild>
                </w:div>
                <w:div w:id="387001859">
                  <w:marLeft w:val="0"/>
                  <w:marRight w:val="0"/>
                  <w:marTop w:val="0"/>
                  <w:marBottom w:val="0"/>
                  <w:divBdr>
                    <w:top w:val="none" w:sz="0" w:space="0" w:color="auto"/>
                    <w:left w:val="none" w:sz="0" w:space="0" w:color="auto"/>
                    <w:bottom w:val="none" w:sz="0" w:space="0" w:color="auto"/>
                    <w:right w:val="none" w:sz="0" w:space="0" w:color="auto"/>
                  </w:divBdr>
                  <w:divsChild>
                    <w:div w:id="1124925474">
                      <w:marLeft w:val="0"/>
                      <w:marRight w:val="0"/>
                      <w:marTop w:val="0"/>
                      <w:marBottom w:val="0"/>
                      <w:divBdr>
                        <w:top w:val="none" w:sz="0" w:space="0" w:color="auto"/>
                        <w:left w:val="none" w:sz="0" w:space="0" w:color="auto"/>
                        <w:bottom w:val="none" w:sz="0" w:space="0" w:color="auto"/>
                        <w:right w:val="none" w:sz="0" w:space="0" w:color="auto"/>
                      </w:divBdr>
                    </w:div>
                  </w:divsChild>
                </w:div>
                <w:div w:id="425420500">
                  <w:marLeft w:val="0"/>
                  <w:marRight w:val="0"/>
                  <w:marTop w:val="0"/>
                  <w:marBottom w:val="0"/>
                  <w:divBdr>
                    <w:top w:val="none" w:sz="0" w:space="0" w:color="auto"/>
                    <w:left w:val="none" w:sz="0" w:space="0" w:color="auto"/>
                    <w:bottom w:val="none" w:sz="0" w:space="0" w:color="auto"/>
                    <w:right w:val="none" w:sz="0" w:space="0" w:color="auto"/>
                  </w:divBdr>
                  <w:divsChild>
                    <w:div w:id="1563828273">
                      <w:marLeft w:val="0"/>
                      <w:marRight w:val="0"/>
                      <w:marTop w:val="0"/>
                      <w:marBottom w:val="0"/>
                      <w:divBdr>
                        <w:top w:val="none" w:sz="0" w:space="0" w:color="auto"/>
                        <w:left w:val="none" w:sz="0" w:space="0" w:color="auto"/>
                        <w:bottom w:val="none" w:sz="0" w:space="0" w:color="auto"/>
                        <w:right w:val="none" w:sz="0" w:space="0" w:color="auto"/>
                      </w:divBdr>
                    </w:div>
                  </w:divsChild>
                </w:div>
                <w:div w:id="441917609">
                  <w:marLeft w:val="0"/>
                  <w:marRight w:val="0"/>
                  <w:marTop w:val="0"/>
                  <w:marBottom w:val="0"/>
                  <w:divBdr>
                    <w:top w:val="none" w:sz="0" w:space="0" w:color="auto"/>
                    <w:left w:val="none" w:sz="0" w:space="0" w:color="auto"/>
                    <w:bottom w:val="none" w:sz="0" w:space="0" w:color="auto"/>
                    <w:right w:val="none" w:sz="0" w:space="0" w:color="auto"/>
                  </w:divBdr>
                  <w:divsChild>
                    <w:div w:id="1452744200">
                      <w:marLeft w:val="0"/>
                      <w:marRight w:val="0"/>
                      <w:marTop w:val="0"/>
                      <w:marBottom w:val="0"/>
                      <w:divBdr>
                        <w:top w:val="none" w:sz="0" w:space="0" w:color="auto"/>
                        <w:left w:val="none" w:sz="0" w:space="0" w:color="auto"/>
                        <w:bottom w:val="none" w:sz="0" w:space="0" w:color="auto"/>
                        <w:right w:val="none" w:sz="0" w:space="0" w:color="auto"/>
                      </w:divBdr>
                    </w:div>
                  </w:divsChild>
                </w:div>
                <w:div w:id="573584919">
                  <w:marLeft w:val="0"/>
                  <w:marRight w:val="0"/>
                  <w:marTop w:val="0"/>
                  <w:marBottom w:val="0"/>
                  <w:divBdr>
                    <w:top w:val="none" w:sz="0" w:space="0" w:color="auto"/>
                    <w:left w:val="none" w:sz="0" w:space="0" w:color="auto"/>
                    <w:bottom w:val="none" w:sz="0" w:space="0" w:color="auto"/>
                    <w:right w:val="none" w:sz="0" w:space="0" w:color="auto"/>
                  </w:divBdr>
                  <w:divsChild>
                    <w:div w:id="173112910">
                      <w:marLeft w:val="0"/>
                      <w:marRight w:val="0"/>
                      <w:marTop w:val="0"/>
                      <w:marBottom w:val="0"/>
                      <w:divBdr>
                        <w:top w:val="none" w:sz="0" w:space="0" w:color="auto"/>
                        <w:left w:val="none" w:sz="0" w:space="0" w:color="auto"/>
                        <w:bottom w:val="none" w:sz="0" w:space="0" w:color="auto"/>
                        <w:right w:val="none" w:sz="0" w:space="0" w:color="auto"/>
                      </w:divBdr>
                    </w:div>
                  </w:divsChild>
                </w:div>
                <w:div w:id="574363279">
                  <w:marLeft w:val="0"/>
                  <w:marRight w:val="0"/>
                  <w:marTop w:val="0"/>
                  <w:marBottom w:val="0"/>
                  <w:divBdr>
                    <w:top w:val="none" w:sz="0" w:space="0" w:color="auto"/>
                    <w:left w:val="none" w:sz="0" w:space="0" w:color="auto"/>
                    <w:bottom w:val="none" w:sz="0" w:space="0" w:color="auto"/>
                    <w:right w:val="none" w:sz="0" w:space="0" w:color="auto"/>
                  </w:divBdr>
                  <w:divsChild>
                    <w:div w:id="1422336240">
                      <w:marLeft w:val="0"/>
                      <w:marRight w:val="0"/>
                      <w:marTop w:val="0"/>
                      <w:marBottom w:val="0"/>
                      <w:divBdr>
                        <w:top w:val="none" w:sz="0" w:space="0" w:color="auto"/>
                        <w:left w:val="none" w:sz="0" w:space="0" w:color="auto"/>
                        <w:bottom w:val="none" w:sz="0" w:space="0" w:color="auto"/>
                        <w:right w:val="none" w:sz="0" w:space="0" w:color="auto"/>
                      </w:divBdr>
                    </w:div>
                  </w:divsChild>
                </w:div>
                <w:div w:id="615528291">
                  <w:marLeft w:val="0"/>
                  <w:marRight w:val="0"/>
                  <w:marTop w:val="0"/>
                  <w:marBottom w:val="0"/>
                  <w:divBdr>
                    <w:top w:val="none" w:sz="0" w:space="0" w:color="auto"/>
                    <w:left w:val="none" w:sz="0" w:space="0" w:color="auto"/>
                    <w:bottom w:val="none" w:sz="0" w:space="0" w:color="auto"/>
                    <w:right w:val="none" w:sz="0" w:space="0" w:color="auto"/>
                  </w:divBdr>
                  <w:divsChild>
                    <w:div w:id="1785267628">
                      <w:marLeft w:val="0"/>
                      <w:marRight w:val="0"/>
                      <w:marTop w:val="0"/>
                      <w:marBottom w:val="0"/>
                      <w:divBdr>
                        <w:top w:val="none" w:sz="0" w:space="0" w:color="auto"/>
                        <w:left w:val="none" w:sz="0" w:space="0" w:color="auto"/>
                        <w:bottom w:val="none" w:sz="0" w:space="0" w:color="auto"/>
                        <w:right w:val="none" w:sz="0" w:space="0" w:color="auto"/>
                      </w:divBdr>
                    </w:div>
                  </w:divsChild>
                </w:div>
                <w:div w:id="815681415">
                  <w:marLeft w:val="0"/>
                  <w:marRight w:val="0"/>
                  <w:marTop w:val="0"/>
                  <w:marBottom w:val="0"/>
                  <w:divBdr>
                    <w:top w:val="none" w:sz="0" w:space="0" w:color="auto"/>
                    <w:left w:val="none" w:sz="0" w:space="0" w:color="auto"/>
                    <w:bottom w:val="none" w:sz="0" w:space="0" w:color="auto"/>
                    <w:right w:val="none" w:sz="0" w:space="0" w:color="auto"/>
                  </w:divBdr>
                  <w:divsChild>
                    <w:div w:id="599488034">
                      <w:marLeft w:val="0"/>
                      <w:marRight w:val="0"/>
                      <w:marTop w:val="0"/>
                      <w:marBottom w:val="0"/>
                      <w:divBdr>
                        <w:top w:val="none" w:sz="0" w:space="0" w:color="auto"/>
                        <w:left w:val="none" w:sz="0" w:space="0" w:color="auto"/>
                        <w:bottom w:val="none" w:sz="0" w:space="0" w:color="auto"/>
                        <w:right w:val="none" w:sz="0" w:space="0" w:color="auto"/>
                      </w:divBdr>
                    </w:div>
                  </w:divsChild>
                </w:div>
                <w:div w:id="825635492">
                  <w:marLeft w:val="0"/>
                  <w:marRight w:val="0"/>
                  <w:marTop w:val="0"/>
                  <w:marBottom w:val="0"/>
                  <w:divBdr>
                    <w:top w:val="none" w:sz="0" w:space="0" w:color="auto"/>
                    <w:left w:val="none" w:sz="0" w:space="0" w:color="auto"/>
                    <w:bottom w:val="none" w:sz="0" w:space="0" w:color="auto"/>
                    <w:right w:val="none" w:sz="0" w:space="0" w:color="auto"/>
                  </w:divBdr>
                  <w:divsChild>
                    <w:div w:id="85812642">
                      <w:marLeft w:val="0"/>
                      <w:marRight w:val="0"/>
                      <w:marTop w:val="0"/>
                      <w:marBottom w:val="0"/>
                      <w:divBdr>
                        <w:top w:val="none" w:sz="0" w:space="0" w:color="auto"/>
                        <w:left w:val="none" w:sz="0" w:space="0" w:color="auto"/>
                        <w:bottom w:val="none" w:sz="0" w:space="0" w:color="auto"/>
                        <w:right w:val="none" w:sz="0" w:space="0" w:color="auto"/>
                      </w:divBdr>
                    </w:div>
                  </w:divsChild>
                </w:div>
                <w:div w:id="928002326">
                  <w:marLeft w:val="0"/>
                  <w:marRight w:val="0"/>
                  <w:marTop w:val="0"/>
                  <w:marBottom w:val="0"/>
                  <w:divBdr>
                    <w:top w:val="none" w:sz="0" w:space="0" w:color="auto"/>
                    <w:left w:val="none" w:sz="0" w:space="0" w:color="auto"/>
                    <w:bottom w:val="none" w:sz="0" w:space="0" w:color="auto"/>
                    <w:right w:val="none" w:sz="0" w:space="0" w:color="auto"/>
                  </w:divBdr>
                  <w:divsChild>
                    <w:div w:id="2045472467">
                      <w:marLeft w:val="0"/>
                      <w:marRight w:val="0"/>
                      <w:marTop w:val="0"/>
                      <w:marBottom w:val="0"/>
                      <w:divBdr>
                        <w:top w:val="none" w:sz="0" w:space="0" w:color="auto"/>
                        <w:left w:val="none" w:sz="0" w:space="0" w:color="auto"/>
                        <w:bottom w:val="none" w:sz="0" w:space="0" w:color="auto"/>
                        <w:right w:val="none" w:sz="0" w:space="0" w:color="auto"/>
                      </w:divBdr>
                    </w:div>
                  </w:divsChild>
                </w:div>
                <w:div w:id="977343760">
                  <w:marLeft w:val="0"/>
                  <w:marRight w:val="0"/>
                  <w:marTop w:val="0"/>
                  <w:marBottom w:val="0"/>
                  <w:divBdr>
                    <w:top w:val="none" w:sz="0" w:space="0" w:color="auto"/>
                    <w:left w:val="none" w:sz="0" w:space="0" w:color="auto"/>
                    <w:bottom w:val="none" w:sz="0" w:space="0" w:color="auto"/>
                    <w:right w:val="none" w:sz="0" w:space="0" w:color="auto"/>
                  </w:divBdr>
                  <w:divsChild>
                    <w:div w:id="1635863842">
                      <w:marLeft w:val="0"/>
                      <w:marRight w:val="0"/>
                      <w:marTop w:val="0"/>
                      <w:marBottom w:val="0"/>
                      <w:divBdr>
                        <w:top w:val="none" w:sz="0" w:space="0" w:color="auto"/>
                        <w:left w:val="none" w:sz="0" w:space="0" w:color="auto"/>
                        <w:bottom w:val="none" w:sz="0" w:space="0" w:color="auto"/>
                        <w:right w:val="none" w:sz="0" w:space="0" w:color="auto"/>
                      </w:divBdr>
                    </w:div>
                  </w:divsChild>
                </w:div>
                <w:div w:id="983853616">
                  <w:marLeft w:val="0"/>
                  <w:marRight w:val="0"/>
                  <w:marTop w:val="0"/>
                  <w:marBottom w:val="0"/>
                  <w:divBdr>
                    <w:top w:val="none" w:sz="0" w:space="0" w:color="auto"/>
                    <w:left w:val="none" w:sz="0" w:space="0" w:color="auto"/>
                    <w:bottom w:val="none" w:sz="0" w:space="0" w:color="auto"/>
                    <w:right w:val="none" w:sz="0" w:space="0" w:color="auto"/>
                  </w:divBdr>
                  <w:divsChild>
                    <w:div w:id="1859612471">
                      <w:marLeft w:val="0"/>
                      <w:marRight w:val="0"/>
                      <w:marTop w:val="0"/>
                      <w:marBottom w:val="0"/>
                      <w:divBdr>
                        <w:top w:val="none" w:sz="0" w:space="0" w:color="auto"/>
                        <w:left w:val="none" w:sz="0" w:space="0" w:color="auto"/>
                        <w:bottom w:val="none" w:sz="0" w:space="0" w:color="auto"/>
                        <w:right w:val="none" w:sz="0" w:space="0" w:color="auto"/>
                      </w:divBdr>
                    </w:div>
                  </w:divsChild>
                </w:div>
                <w:div w:id="985861266">
                  <w:marLeft w:val="0"/>
                  <w:marRight w:val="0"/>
                  <w:marTop w:val="0"/>
                  <w:marBottom w:val="0"/>
                  <w:divBdr>
                    <w:top w:val="none" w:sz="0" w:space="0" w:color="auto"/>
                    <w:left w:val="none" w:sz="0" w:space="0" w:color="auto"/>
                    <w:bottom w:val="none" w:sz="0" w:space="0" w:color="auto"/>
                    <w:right w:val="none" w:sz="0" w:space="0" w:color="auto"/>
                  </w:divBdr>
                  <w:divsChild>
                    <w:div w:id="551884356">
                      <w:marLeft w:val="0"/>
                      <w:marRight w:val="0"/>
                      <w:marTop w:val="0"/>
                      <w:marBottom w:val="0"/>
                      <w:divBdr>
                        <w:top w:val="none" w:sz="0" w:space="0" w:color="auto"/>
                        <w:left w:val="none" w:sz="0" w:space="0" w:color="auto"/>
                        <w:bottom w:val="none" w:sz="0" w:space="0" w:color="auto"/>
                        <w:right w:val="none" w:sz="0" w:space="0" w:color="auto"/>
                      </w:divBdr>
                    </w:div>
                  </w:divsChild>
                </w:div>
                <w:div w:id="1056707079">
                  <w:marLeft w:val="0"/>
                  <w:marRight w:val="0"/>
                  <w:marTop w:val="0"/>
                  <w:marBottom w:val="0"/>
                  <w:divBdr>
                    <w:top w:val="none" w:sz="0" w:space="0" w:color="auto"/>
                    <w:left w:val="none" w:sz="0" w:space="0" w:color="auto"/>
                    <w:bottom w:val="none" w:sz="0" w:space="0" w:color="auto"/>
                    <w:right w:val="none" w:sz="0" w:space="0" w:color="auto"/>
                  </w:divBdr>
                  <w:divsChild>
                    <w:div w:id="74865815">
                      <w:marLeft w:val="0"/>
                      <w:marRight w:val="0"/>
                      <w:marTop w:val="0"/>
                      <w:marBottom w:val="0"/>
                      <w:divBdr>
                        <w:top w:val="none" w:sz="0" w:space="0" w:color="auto"/>
                        <w:left w:val="none" w:sz="0" w:space="0" w:color="auto"/>
                        <w:bottom w:val="none" w:sz="0" w:space="0" w:color="auto"/>
                        <w:right w:val="none" w:sz="0" w:space="0" w:color="auto"/>
                      </w:divBdr>
                    </w:div>
                  </w:divsChild>
                </w:div>
                <w:div w:id="1120297533">
                  <w:marLeft w:val="0"/>
                  <w:marRight w:val="0"/>
                  <w:marTop w:val="0"/>
                  <w:marBottom w:val="0"/>
                  <w:divBdr>
                    <w:top w:val="none" w:sz="0" w:space="0" w:color="auto"/>
                    <w:left w:val="none" w:sz="0" w:space="0" w:color="auto"/>
                    <w:bottom w:val="none" w:sz="0" w:space="0" w:color="auto"/>
                    <w:right w:val="none" w:sz="0" w:space="0" w:color="auto"/>
                  </w:divBdr>
                  <w:divsChild>
                    <w:div w:id="1942370496">
                      <w:marLeft w:val="0"/>
                      <w:marRight w:val="0"/>
                      <w:marTop w:val="0"/>
                      <w:marBottom w:val="0"/>
                      <w:divBdr>
                        <w:top w:val="none" w:sz="0" w:space="0" w:color="auto"/>
                        <w:left w:val="none" w:sz="0" w:space="0" w:color="auto"/>
                        <w:bottom w:val="none" w:sz="0" w:space="0" w:color="auto"/>
                        <w:right w:val="none" w:sz="0" w:space="0" w:color="auto"/>
                      </w:divBdr>
                    </w:div>
                  </w:divsChild>
                </w:div>
                <w:div w:id="1194920017">
                  <w:marLeft w:val="0"/>
                  <w:marRight w:val="0"/>
                  <w:marTop w:val="0"/>
                  <w:marBottom w:val="0"/>
                  <w:divBdr>
                    <w:top w:val="none" w:sz="0" w:space="0" w:color="auto"/>
                    <w:left w:val="none" w:sz="0" w:space="0" w:color="auto"/>
                    <w:bottom w:val="none" w:sz="0" w:space="0" w:color="auto"/>
                    <w:right w:val="none" w:sz="0" w:space="0" w:color="auto"/>
                  </w:divBdr>
                  <w:divsChild>
                    <w:div w:id="1045908877">
                      <w:marLeft w:val="0"/>
                      <w:marRight w:val="0"/>
                      <w:marTop w:val="0"/>
                      <w:marBottom w:val="0"/>
                      <w:divBdr>
                        <w:top w:val="none" w:sz="0" w:space="0" w:color="auto"/>
                        <w:left w:val="none" w:sz="0" w:space="0" w:color="auto"/>
                        <w:bottom w:val="none" w:sz="0" w:space="0" w:color="auto"/>
                        <w:right w:val="none" w:sz="0" w:space="0" w:color="auto"/>
                      </w:divBdr>
                    </w:div>
                  </w:divsChild>
                </w:div>
                <w:div w:id="1357003734">
                  <w:marLeft w:val="0"/>
                  <w:marRight w:val="0"/>
                  <w:marTop w:val="0"/>
                  <w:marBottom w:val="0"/>
                  <w:divBdr>
                    <w:top w:val="none" w:sz="0" w:space="0" w:color="auto"/>
                    <w:left w:val="none" w:sz="0" w:space="0" w:color="auto"/>
                    <w:bottom w:val="none" w:sz="0" w:space="0" w:color="auto"/>
                    <w:right w:val="none" w:sz="0" w:space="0" w:color="auto"/>
                  </w:divBdr>
                  <w:divsChild>
                    <w:div w:id="2074038793">
                      <w:marLeft w:val="0"/>
                      <w:marRight w:val="0"/>
                      <w:marTop w:val="0"/>
                      <w:marBottom w:val="0"/>
                      <w:divBdr>
                        <w:top w:val="none" w:sz="0" w:space="0" w:color="auto"/>
                        <w:left w:val="none" w:sz="0" w:space="0" w:color="auto"/>
                        <w:bottom w:val="none" w:sz="0" w:space="0" w:color="auto"/>
                        <w:right w:val="none" w:sz="0" w:space="0" w:color="auto"/>
                      </w:divBdr>
                    </w:div>
                  </w:divsChild>
                </w:div>
                <w:div w:id="1462648800">
                  <w:marLeft w:val="0"/>
                  <w:marRight w:val="0"/>
                  <w:marTop w:val="0"/>
                  <w:marBottom w:val="0"/>
                  <w:divBdr>
                    <w:top w:val="none" w:sz="0" w:space="0" w:color="auto"/>
                    <w:left w:val="none" w:sz="0" w:space="0" w:color="auto"/>
                    <w:bottom w:val="none" w:sz="0" w:space="0" w:color="auto"/>
                    <w:right w:val="none" w:sz="0" w:space="0" w:color="auto"/>
                  </w:divBdr>
                  <w:divsChild>
                    <w:div w:id="295256027">
                      <w:marLeft w:val="0"/>
                      <w:marRight w:val="0"/>
                      <w:marTop w:val="0"/>
                      <w:marBottom w:val="0"/>
                      <w:divBdr>
                        <w:top w:val="none" w:sz="0" w:space="0" w:color="auto"/>
                        <w:left w:val="none" w:sz="0" w:space="0" w:color="auto"/>
                        <w:bottom w:val="none" w:sz="0" w:space="0" w:color="auto"/>
                        <w:right w:val="none" w:sz="0" w:space="0" w:color="auto"/>
                      </w:divBdr>
                    </w:div>
                  </w:divsChild>
                </w:div>
                <w:div w:id="1816144124">
                  <w:marLeft w:val="0"/>
                  <w:marRight w:val="0"/>
                  <w:marTop w:val="0"/>
                  <w:marBottom w:val="0"/>
                  <w:divBdr>
                    <w:top w:val="none" w:sz="0" w:space="0" w:color="auto"/>
                    <w:left w:val="none" w:sz="0" w:space="0" w:color="auto"/>
                    <w:bottom w:val="none" w:sz="0" w:space="0" w:color="auto"/>
                    <w:right w:val="none" w:sz="0" w:space="0" w:color="auto"/>
                  </w:divBdr>
                  <w:divsChild>
                    <w:div w:id="1593512494">
                      <w:marLeft w:val="0"/>
                      <w:marRight w:val="0"/>
                      <w:marTop w:val="0"/>
                      <w:marBottom w:val="0"/>
                      <w:divBdr>
                        <w:top w:val="none" w:sz="0" w:space="0" w:color="auto"/>
                        <w:left w:val="none" w:sz="0" w:space="0" w:color="auto"/>
                        <w:bottom w:val="none" w:sz="0" w:space="0" w:color="auto"/>
                        <w:right w:val="none" w:sz="0" w:space="0" w:color="auto"/>
                      </w:divBdr>
                    </w:div>
                  </w:divsChild>
                </w:div>
                <w:div w:id="1823308805">
                  <w:marLeft w:val="0"/>
                  <w:marRight w:val="0"/>
                  <w:marTop w:val="0"/>
                  <w:marBottom w:val="0"/>
                  <w:divBdr>
                    <w:top w:val="none" w:sz="0" w:space="0" w:color="auto"/>
                    <w:left w:val="none" w:sz="0" w:space="0" w:color="auto"/>
                    <w:bottom w:val="none" w:sz="0" w:space="0" w:color="auto"/>
                    <w:right w:val="none" w:sz="0" w:space="0" w:color="auto"/>
                  </w:divBdr>
                  <w:divsChild>
                    <w:div w:id="1729762755">
                      <w:marLeft w:val="0"/>
                      <w:marRight w:val="0"/>
                      <w:marTop w:val="0"/>
                      <w:marBottom w:val="0"/>
                      <w:divBdr>
                        <w:top w:val="none" w:sz="0" w:space="0" w:color="auto"/>
                        <w:left w:val="none" w:sz="0" w:space="0" w:color="auto"/>
                        <w:bottom w:val="none" w:sz="0" w:space="0" w:color="auto"/>
                        <w:right w:val="none" w:sz="0" w:space="0" w:color="auto"/>
                      </w:divBdr>
                    </w:div>
                  </w:divsChild>
                </w:div>
                <w:div w:id="1987541112">
                  <w:marLeft w:val="0"/>
                  <w:marRight w:val="0"/>
                  <w:marTop w:val="0"/>
                  <w:marBottom w:val="0"/>
                  <w:divBdr>
                    <w:top w:val="none" w:sz="0" w:space="0" w:color="auto"/>
                    <w:left w:val="none" w:sz="0" w:space="0" w:color="auto"/>
                    <w:bottom w:val="none" w:sz="0" w:space="0" w:color="auto"/>
                    <w:right w:val="none" w:sz="0" w:space="0" w:color="auto"/>
                  </w:divBdr>
                  <w:divsChild>
                    <w:div w:id="1473135290">
                      <w:marLeft w:val="0"/>
                      <w:marRight w:val="0"/>
                      <w:marTop w:val="0"/>
                      <w:marBottom w:val="0"/>
                      <w:divBdr>
                        <w:top w:val="none" w:sz="0" w:space="0" w:color="auto"/>
                        <w:left w:val="none" w:sz="0" w:space="0" w:color="auto"/>
                        <w:bottom w:val="none" w:sz="0" w:space="0" w:color="auto"/>
                        <w:right w:val="none" w:sz="0" w:space="0" w:color="auto"/>
                      </w:divBdr>
                    </w:div>
                  </w:divsChild>
                </w:div>
                <w:div w:id="1989240688">
                  <w:marLeft w:val="0"/>
                  <w:marRight w:val="0"/>
                  <w:marTop w:val="0"/>
                  <w:marBottom w:val="0"/>
                  <w:divBdr>
                    <w:top w:val="none" w:sz="0" w:space="0" w:color="auto"/>
                    <w:left w:val="none" w:sz="0" w:space="0" w:color="auto"/>
                    <w:bottom w:val="none" w:sz="0" w:space="0" w:color="auto"/>
                    <w:right w:val="none" w:sz="0" w:space="0" w:color="auto"/>
                  </w:divBdr>
                  <w:divsChild>
                    <w:div w:id="160585333">
                      <w:marLeft w:val="0"/>
                      <w:marRight w:val="0"/>
                      <w:marTop w:val="0"/>
                      <w:marBottom w:val="0"/>
                      <w:divBdr>
                        <w:top w:val="none" w:sz="0" w:space="0" w:color="auto"/>
                        <w:left w:val="none" w:sz="0" w:space="0" w:color="auto"/>
                        <w:bottom w:val="none" w:sz="0" w:space="0" w:color="auto"/>
                        <w:right w:val="none" w:sz="0" w:space="0" w:color="auto"/>
                      </w:divBdr>
                    </w:div>
                  </w:divsChild>
                </w:div>
                <w:div w:id="1993025432">
                  <w:marLeft w:val="0"/>
                  <w:marRight w:val="0"/>
                  <w:marTop w:val="0"/>
                  <w:marBottom w:val="0"/>
                  <w:divBdr>
                    <w:top w:val="none" w:sz="0" w:space="0" w:color="auto"/>
                    <w:left w:val="none" w:sz="0" w:space="0" w:color="auto"/>
                    <w:bottom w:val="none" w:sz="0" w:space="0" w:color="auto"/>
                    <w:right w:val="none" w:sz="0" w:space="0" w:color="auto"/>
                  </w:divBdr>
                  <w:divsChild>
                    <w:div w:id="701588066">
                      <w:marLeft w:val="0"/>
                      <w:marRight w:val="0"/>
                      <w:marTop w:val="0"/>
                      <w:marBottom w:val="0"/>
                      <w:divBdr>
                        <w:top w:val="none" w:sz="0" w:space="0" w:color="auto"/>
                        <w:left w:val="none" w:sz="0" w:space="0" w:color="auto"/>
                        <w:bottom w:val="none" w:sz="0" w:space="0" w:color="auto"/>
                        <w:right w:val="none" w:sz="0" w:space="0" w:color="auto"/>
                      </w:divBdr>
                    </w:div>
                  </w:divsChild>
                </w:div>
                <w:div w:id="2002730729">
                  <w:marLeft w:val="0"/>
                  <w:marRight w:val="0"/>
                  <w:marTop w:val="0"/>
                  <w:marBottom w:val="0"/>
                  <w:divBdr>
                    <w:top w:val="none" w:sz="0" w:space="0" w:color="auto"/>
                    <w:left w:val="none" w:sz="0" w:space="0" w:color="auto"/>
                    <w:bottom w:val="none" w:sz="0" w:space="0" w:color="auto"/>
                    <w:right w:val="none" w:sz="0" w:space="0" w:color="auto"/>
                  </w:divBdr>
                  <w:divsChild>
                    <w:div w:id="972371511">
                      <w:marLeft w:val="0"/>
                      <w:marRight w:val="0"/>
                      <w:marTop w:val="0"/>
                      <w:marBottom w:val="0"/>
                      <w:divBdr>
                        <w:top w:val="none" w:sz="0" w:space="0" w:color="auto"/>
                        <w:left w:val="none" w:sz="0" w:space="0" w:color="auto"/>
                        <w:bottom w:val="none" w:sz="0" w:space="0" w:color="auto"/>
                        <w:right w:val="none" w:sz="0" w:space="0" w:color="auto"/>
                      </w:divBdr>
                    </w:div>
                  </w:divsChild>
                </w:div>
                <w:div w:id="2048990725">
                  <w:marLeft w:val="0"/>
                  <w:marRight w:val="0"/>
                  <w:marTop w:val="0"/>
                  <w:marBottom w:val="0"/>
                  <w:divBdr>
                    <w:top w:val="none" w:sz="0" w:space="0" w:color="auto"/>
                    <w:left w:val="none" w:sz="0" w:space="0" w:color="auto"/>
                    <w:bottom w:val="none" w:sz="0" w:space="0" w:color="auto"/>
                    <w:right w:val="none" w:sz="0" w:space="0" w:color="auto"/>
                  </w:divBdr>
                  <w:divsChild>
                    <w:div w:id="1651981840">
                      <w:marLeft w:val="0"/>
                      <w:marRight w:val="0"/>
                      <w:marTop w:val="0"/>
                      <w:marBottom w:val="0"/>
                      <w:divBdr>
                        <w:top w:val="none" w:sz="0" w:space="0" w:color="auto"/>
                        <w:left w:val="none" w:sz="0" w:space="0" w:color="auto"/>
                        <w:bottom w:val="none" w:sz="0" w:space="0" w:color="auto"/>
                        <w:right w:val="none" w:sz="0" w:space="0" w:color="auto"/>
                      </w:divBdr>
                    </w:div>
                  </w:divsChild>
                </w:div>
                <w:div w:id="2080715177">
                  <w:marLeft w:val="0"/>
                  <w:marRight w:val="0"/>
                  <w:marTop w:val="0"/>
                  <w:marBottom w:val="0"/>
                  <w:divBdr>
                    <w:top w:val="none" w:sz="0" w:space="0" w:color="auto"/>
                    <w:left w:val="none" w:sz="0" w:space="0" w:color="auto"/>
                    <w:bottom w:val="none" w:sz="0" w:space="0" w:color="auto"/>
                    <w:right w:val="none" w:sz="0" w:space="0" w:color="auto"/>
                  </w:divBdr>
                  <w:divsChild>
                    <w:div w:id="403727280">
                      <w:marLeft w:val="0"/>
                      <w:marRight w:val="0"/>
                      <w:marTop w:val="0"/>
                      <w:marBottom w:val="0"/>
                      <w:divBdr>
                        <w:top w:val="none" w:sz="0" w:space="0" w:color="auto"/>
                        <w:left w:val="none" w:sz="0" w:space="0" w:color="auto"/>
                        <w:bottom w:val="none" w:sz="0" w:space="0" w:color="auto"/>
                        <w:right w:val="none" w:sz="0" w:space="0" w:color="auto"/>
                      </w:divBdr>
                    </w:div>
                  </w:divsChild>
                </w:div>
                <w:div w:id="2081439349">
                  <w:marLeft w:val="0"/>
                  <w:marRight w:val="0"/>
                  <w:marTop w:val="0"/>
                  <w:marBottom w:val="0"/>
                  <w:divBdr>
                    <w:top w:val="none" w:sz="0" w:space="0" w:color="auto"/>
                    <w:left w:val="none" w:sz="0" w:space="0" w:color="auto"/>
                    <w:bottom w:val="none" w:sz="0" w:space="0" w:color="auto"/>
                    <w:right w:val="none" w:sz="0" w:space="0" w:color="auto"/>
                  </w:divBdr>
                  <w:divsChild>
                    <w:div w:id="927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0513">
          <w:marLeft w:val="0"/>
          <w:marRight w:val="0"/>
          <w:marTop w:val="0"/>
          <w:marBottom w:val="0"/>
          <w:divBdr>
            <w:top w:val="none" w:sz="0" w:space="0" w:color="auto"/>
            <w:left w:val="none" w:sz="0" w:space="0" w:color="auto"/>
            <w:bottom w:val="none" w:sz="0" w:space="0" w:color="auto"/>
            <w:right w:val="none" w:sz="0" w:space="0" w:color="auto"/>
          </w:divBdr>
        </w:div>
        <w:div w:id="2134593945">
          <w:marLeft w:val="0"/>
          <w:marRight w:val="0"/>
          <w:marTop w:val="0"/>
          <w:marBottom w:val="0"/>
          <w:divBdr>
            <w:top w:val="none" w:sz="0" w:space="0" w:color="auto"/>
            <w:left w:val="none" w:sz="0" w:space="0" w:color="auto"/>
            <w:bottom w:val="none" w:sz="0" w:space="0" w:color="auto"/>
            <w:right w:val="none" w:sz="0" w:space="0" w:color="auto"/>
          </w:divBdr>
        </w:div>
      </w:divsChild>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12131631">
      <w:bodyDiv w:val="1"/>
      <w:marLeft w:val="0"/>
      <w:marRight w:val="0"/>
      <w:marTop w:val="0"/>
      <w:marBottom w:val="0"/>
      <w:divBdr>
        <w:top w:val="none" w:sz="0" w:space="0" w:color="auto"/>
        <w:left w:val="none" w:sz="0" w:space="0" w:color="auto"/>
        <w:bottom w:val="none" w:sz="0" w:space="0" w:color="auto"/>
        <w:right w:val="none" w:sz="0" w:space="0" w:color="auto"/>
      </w:divBdr>
    </w:div>
    <w:div w:id="615067336">
      <w:bodyDiv w:val="1"/>
      <w:marLeft w:val="0"/>
      <w:marRight w:val="0"/>
      <w:marTop w:val="0"/>
      <w:marBottom w:val="0"/>
      <w:divBdr>
        <w:top w:val="none" w:sz="0" w:space="0" w:color="auto"/>
        <w:left w:val="none" w:sz="0" w:space="0" w:color="auto"/>
        <w:bottom w:val="none" w:sz="0" w:space="0" w:color="auto"/>
        <w:right w:val="none" w:sz="0" w:space="0" w:color="auto"/>
      </w:divBdr>
      <w:divsChild>
        <w:div w:id="1510173827">
          <w:marLeft w:val="0"/>
          <w:marRight w:val="0"/>
          <w:marTop w:val="0"/>
          <w:marBottom w:val="0"/>
          <w:divBdr>
            <w:top w:val="none" w:sz="0" w:space="0" w:color="auto"/>
            <w:left w:val="none" w:sz="0" w:space="0" w:color="auto"/>
            <w:bottom w:val="none" w:sz="0" w:space="0" w:color="auto"/>
            <w:right w:val="none" w:sz="0" w:space="0" w:color="auto"/>
          </w:divBdr>
        </w:div>
        <w:div w:id="1804300527">
          <w:marLeft w:val="0"/>
          <w:marRight w:val="0"/>
          <w:marTop w:val="0"/>
          <w:marBottom w:val="0"/>
          <w:divBdr>
            <w:top w:val="none" w:sz="0" w:space="0" w:color="auto"/>
            <w:left w:val="none" w:sz="0" w:space="0" w:color="auto"/>
            <w:bottom w:val="none" w:sz="0" w:space="0" w:color="auto"/>
            <w:right w:val="none" w:sz="0" w:space="0" w:color="auto"/>
          </w:divBdr>
        </w:div>
      </w:divsChild>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00919950">
      <w:bodyDiv w:val="1"/>
      <w:marLeft w:val="0"/>
      <w:marRight w:val="0"/>
      <w:marTop w:val="0"/>
      <w:marBottom w:val="0"/>
      <w:divBdr>
        <w:top w:val="none" w:sz="0" w:space="0" w:color="auto"/>
        <w:left w:val="none" w:sz="0" w:space="0" w:color="auto"/>
        <w:bottom w:val="none" w:sz="0" w:space="0" w:color="auto"/>
        <w:right w:val="none" w:sz="0" w:space="0" w:color="auto"/>
      </w:divBdr>
    </w:div>
    <w:div w:id="932207989">
      <w:bodyDiv w:val="1"/>
      <w:marLeft w:val="0"/>
      <w:marRight w:val="0"/>
      <w:marTop w:val="0"/>
      <w:marBottom w:val="0"/>
      <w:divBdr>
        <w:top w:val="none" w:sz="0" w:space="0" w:color="auto"/>
        <w:left w:val="none" w:sz="0" w:space="0" w:color="auto"/>
        <w:bottom w:val="none" w:sz="0" w:space="0" w:color="auto"/>
        <w:right w:val="none" w:sz="0" w:space="0" w:color="auto"/>
      </w:divBdr>
    </w:div>
    <w:div w:id="1007443058">
      <w:bodyDiv w:val="1"/>
      <w:marLeft w:val="0"/>
      <w:marRight w:val="0"/>
      <w:marTop w:val="0"/>
      <w:marBottom w:val="0"/>
      <w:divBdr>
        <w:top w:val="none" w:sz="0" w:space="0" w:color="auto"/>
        <w:left w:val="none" w:sz="0" w:space="0" w:color="auto"/>
        <w:bottom w:val="none" w:sz="0" w:space="0" w:color="auto"/>
        <w:right w:val="none" w:sz="0" w:space="0" w:color="auto"/>
      </w:divBdr>
      <w:divsChild>
        <w:div w:id="175538090">
          <w:marLeft w:val="8"/>
          <w:marRight w:val="0"/>
          <w:marTop w:val="0"/>
          <w:marBottom w:val="0"/>
          <w:divBdr>
            <w:top w:val="none" w:sz="0" w:space="0" w:color="auto"/>
            <w:left w:val="none" w:sz="0" w:space="0" w:color="auto"/>
            <w:bottom w:val="none" w:sz="0" w:space="0" w:color="auto"/>
            <w:right w:val="none" w:sz="0" w:space="0" w:color="auto"/>
          </w:divBdr>
        </w:div>
        <w:div w:id="994456119">
          <w:marLeft w:val="8"/>
          <w:marRight w:val="0"/>
          <w:marTop w:val="0"/>
          <w:marBottom w:val="0"/>
          <w:divBdr>
            <w:top w:val="none" w:sz="0" w:space="0" w:color="auto"/>
            <w:left w:val="none" w:sz="0" w:space="0" w:color="auto"/>
            <w:bottom w:val="none" w:sz="0" w:space="0" w:color="auto"/>
            <w:right w:val="none" w:sz="0" w:space="0" w:color="auto"/>
          </w:divBdr>
        </w:div>
        <w:div w:id="1342584649">
          <w:marLeft w:val="8"/>
          <w:marRight w:val="0"/>
          <w:marTop w:val="0"/>
          <w:marBottom w:val="0"/>
          <w:divBdr>
            <w:top w:val="none" w:sz="0" w:space="0" w:color="auto"/>
            <w:left w:val="none" w:sz="0" w:space="0" w:color="auto"/>
            <w:bottom w:val="none" w:sz="0" w:space="0" w:color="auto"/>
            <w:right w:val="none" w:sz="0" w:space="0" w:color="auto"/>
          </w:divBdr>
        </w:div>
        <w:div w:id="1847280182">
          <w:marLeft w:val="8"/>
          <w:marRight w:val="0"/>
          <w:marTop w:val="0"/>
          <w:marBottom w:val="0"/>
          <w:divBdr>
            <w:top w:val="none" w:sz="0" w:space="0" w:color="auto"/>
            <w:left w:val="none" w:sz="0" w:space="0" w:color="auto"/>
            <w:bottom w:val="none" w:sz="0" w:space="0" w:color="auto"/>
            <w:right w:val="none" w:sz="0" w:space="0" w:color="auto"/>
          </w:divBdr>
        </w:div>
        <w:div w:id="1877960946">
          <w:marLeft w:val="0"/>
          <w:marRight w:val="0"/>
          <w:marTop w:val="0"/>
          <w:marBottom w:val="0"/>
          <w:divBdr>
            <w:top w:val="none" w:sz="0" w:space="0" w:color="auto"/>
            <w:left w:val="none" w:sz="0" w:space="0" w:color="auto"/>
            <w:bottom w:val="none" w:sz="0" w:space="0" w:color="auto"/>
            <w:right w:val="none" w:sz="0" w:space="0" w:color="auto"/>
          </w:divBdr>
          <w:divsChild>
            <w:div w:id="1622416535">
              <w:marLeft w:val="0"/>
              <w:marRight w:val="0"/>
              <w:marTop w:val="0"/>
              <w:marBottom w:val="0"/>
              <w:divBdr>
                <w:top w:val="none" w:sz="0" w:space="0" w:color="auto"/>
                <w:left w:val="none" w:sz="0" w:space="0" w:color="auto"/>
                <w:bottom w:val="none" w:sz="0" w:space="0" w:color="auto"/>
                <w:right w:val="none" w:sz="0" w:space="0" w:color="auto"/>
              </w:divBdr>
              <w:divsChild>
                <w:div w:id="1159148793">
                  <w:marLeft w:val="0"/>
                  <w:marRight w:val="0"/>
                  <w:marTop w:val="0"/>
                  <w:marBottom w:val="0"/>
                  <w:divBdr>
                    <w:top w:val="none" w:sz="0" w:space="0" w:color="auto"/>
                    <w:left w:val="none" w:sz="0" w:space="0" w:color="auto"/>
                    <w:bottom w:val="none" w:sz="0" w:space="0" w:color="auto"/>
                    <w:right w:val="none" w:sz="0" w:space="0" w:color="auto"/>
                  </w:divBdr>
                  <w:divsChild>
                    <w:div w:id="1698386501">
                      <w:marLeft w:val="16"/>
                      <w:marRight w:val="0"/>
                      <w:marTop w:val="0"/>
                      <w:marBottom w:val="0"/>
                      <w:divBdr>
                        <w:top w:val="none" w:sz="0" w:space="0" w:color="auto"/>
                        <w:left w:val="none" w:sz="0" w:space="0" w:color="auto"/>
                        <w:bottom w:val="none" w:sz="0" w:space="0" w:color="auto"/>
                        <w:right w:val="none" w:sz="0" w:space="0" w:color="auto"/>
                      </w:divBdr>
                    </w:div>
                  </w:divsChild>
                </w:div>
                <w:div w:id="1537892451">
                  <w:marLeft w:val="0"/>
                  <w:marRight w:val="0"/>
                  <w:marTop w:val="0"/>
                  <w:marBottom w:val="0"/>
                  <w:divBdr>
                    <w:top w:val="none" w:sz="0" w:space="0" w:color="auto"/>
                    <w:left w:val="none" w:sz="0" w:space="0" w:color="auto"/>
                    <w:bottom w:val="none" w:sz="0" w:space="0" w:color="auto"/>
                    <w:right w:val="none" w:sz="0" w:space="0" w:color="auto"/>
                  </w:divBdr>
                  <w:divsChild>
                    <w:div w:id="1164205275">
                      <w:marLeft w:val="16"/>
                      <w:marRight w:val="0"/>
                      <w:marTop w:val="0"/>
                      <w:marBottom w:val="0"/>
                      <w:divBdr>
                        <w:top w:val="none" w:sz="0" w:space="0" w:color="auto"/>
                        <w:left w:val="none" w:sz="0" w:space="0" w:color="auto"/>
                        <w:bottom w:val="none" w:sz="0" w:space="0" w:color="auto"/>
                        <w:right w:val="none" w:sz="0" w:space="0" w:color="auto"/>
                      </w:divBdr>
                    </w:div>
                  </w:divsChild>
                </w:div>
                <w:div w:id="2103918209">
                  <w:marLeft w:val="0"/>
                  <w:marRight w:val="0"/>
                  <w:marTop w:val="0"/>
                  <w:marBottom w:val="0"/>
                  <w:divBdr>
                    <w:top w:val="none" w:sz="0" w:space="0" w:color="auto"/>
                    <w:left w:val="none" w:sz="0" w:space="0" w:color="auto"/>
                    <w:bottom w:val="none" w:sz="0" w:space="0" w:color="auto"/>
                    <w:right w:val="none" w:sz="0" w:space="0" w:color="auto"/>
                  </w:divBdr>
                  <w:divsChild>
                    <w:div w:id="81990947">
                      <w:marLeft w:val="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18491">
      <w:bodyDiv w:val="1"/>
      <w:marLeft w:val="0"/>
      <w:marRight w:val="0"/>
      <w:marTop w:val="0"/>
      <w:marBottom w:val="0"/>
      <w:divBdr>
        <w:top w:val="none" w:sz="0" w:space="0" w:color="auto"/>
        <w:left w:val="none" w:sz="0" w:space="0" w:color="auto"/>
        <w:bottom w:val="none" w:sz="0" w:space="0" w:color="auto"/>
        <w:right w:val="none" w:sz="0" w:space="0" w:color="auto"/>
      </w:divBdr>
    </w:div>
    <w:div w:id="1086852075">
      <w:bodyDiv w:val="1"/>
      <w:marLeft w:val="0"/>
      <w:marRight w:val="0"/>
      <w:marTop w:val="0"/>
      <w:marBottom w:val="0"/>
      <w:divBdr>
        <w:top w:val="none" w:sz="0" w:space="0" w:color="auto"/>
        <w:left w:val="none" w:sz="0" w:space="0" w:color="auto"/>
        <w:bottom w:val="none" w:sz="0" w:space="0" w:color="auto"/>
        <w:right w:val="none" w:sz="0" w:space="0" w:color="auto"/>
      </w:divBdr>
      <w:divsChild>
        <w:div w:id="317151869">
          <w:marLeft w:val="0"/>
          <w:marRight w:val="0"/>
          <w:marTop w:val="0"/>
          <w:marBottom w:val="0"/>
          <w:divBdr>
            <w:top w:val="none" w:sz="0" w:space="0" w:color="auto"/>
            <w:left w:val="none" w:sz="0" w:space="0" w:color="auto"/>
            <w:bottom w:val="none" w:sz="0" w:space="0" w:color="auto"/>
            <w:right w:val="none" w:sz="0" w:space="0" w:color="auto"/>
          </w:divBdr>
        </w:div>
        <w:div w:id="584652823">
          <w:marLeft w:val="0"/>
          <w:marRight w:val="0"/>
          <w:marTop w:val="0"/>
          <w:marBottom w:val="0"/>
          <w:divBdr>
            <w:top w:val="none" w:sz="0" w:space="0" w:color="auto"/>
            <w:left w:val="none" w:sz="0" w:space="0" w:color="auto"/>
            <w:bottom w:val="none" w:sz="0" w:space="0" w:color="auto"/>
            <w:right w:val="none" w:sz="0" w:space="0" w:color="auto"/>
          </w:divBdr>
        </w:div>
        <w:div w:id="748580010">
          <w:marLeft w:val="0"/>
          <w:marRight w:val="0"/>
          <w:marTop w:val="0"/>
          <w:marBottom w:val="0"/>
          <w:divBdr>
            <w:top w:val="none" w:sz="0" w:space="0" w:color="auto"/>
            <w:left w:val="none" w:sz="0" w:space="0" w:color="auto"/>
            <w:bottom w:val="none" w:sz="0" w:space="0" w:color="auto"/>
            <w:right w:val="none" w:sz="0" w:space="0" w:color="auto"/>
          </w:divBdr>
        </w:div>
        <w:div w:id="1200237806">
          <w:marLeft w:val="0"/>
          <w:marRight w:val="0"/>
          <w:marTop w:val="0"/>
          <w:marBottom w:val="0"/>
          <w:divBdr>
            <w:top w:val="none" w:sz="0" w:space="0" w:color="auto"/>
            <w:left w:val="none" w:sz="0" w:space="0" w:color="auto"/>
            <w:bottom w:val="none" w:sz="0" w:space="0" w:color="auto"/>
            <w:right w:val="none" w:sz="0" w:space="0" w:color="auto"/>
          </w:divBdr>
        </w:div>
        <w:div w:id="1256551748">
          <w:marLeft w:val="0"/>
          <w:marRight w:val="0"/>
          <w:marTop w:val="0"/>
          <w:marBottom w:val="0"/>
          <w:divBdr>
            <w:top w:val="none" w:sz="0" w:space="0" w:color="auto"/>
            <w:left w:val="none" w:sz="0" w:space="0" w:color="auto"/>
            <w:bottom w:val="none" w:sz="0" w:space="0" w:color="auto"/>
            <w:right w:val="none" w:sz="0" w:space="0" w:color="auto"/>
          </w:divBdr>
        </w:div>
        <w:div w:id="1444303746">
          <w:marLeft w:val="0"/>
          <w:marRight w:val="0"/>
          <w:marTop w:val="0"/>
          <w:marBottom w:val="0"/>
          <w:divBdr>
            <w:top w:val="none" w:sz="0" w:space="0" w:color="auto"/>
            <w:left w:val="none" w:sz="0" w:space="0" w:color="auto"/>
            <w:bottom w:val="none" w:sz="0" w:space="0" w:color="auto"/>
            <w:right w:val="none" w:sz="0" w:space="0" w:color="auto"/>
          </w:divBdr>
        </w:div>
        <w:div w:id="1642420991">
          <w:marLeft w:val="0"/>
          <w:marRight w:val="0"/>
          <w:marTop w:val="0"/>
          <w:marBottom w:val="0"/>
          <w:divBdr>
            <w:top w:val="none" w:sz="0" w:space="0" w:color="auto"/>
            <w:left w:val="none" w:sz="0" w:space="0" w:color="auto"/>
            <w:bottom w:val="none" w:sz="0" w:space="0" w:color="auto"/>
            <w:right w:val="none" w:sz="0" w:space="0" w:color="auto"/>
          </w:divBdr>
        </w:div>
        <w:div w:id="1757090594">
          <w:marLeft w:val="0"/>
          <w:marRight w:val="0"/>
          <w:marTop w:val="0"/>
          <w:marBottom w:val="0"/>
          <w:divBdr>
            <w:top w:val="none" w:sz="0" w:space="0" w:color="auto"/>
            <w:left w:val="none" w:sz="0" w:space="0" w:color="auto"/>
            <w:bottom w:val="none" w:sz="0" w:space="0" w:color="auto"/>
            <w:right w:val="none" w:sz="0" w:space="0" w:color="auto"/>
          </w:divBdr>
        </w:div>
        <w:div w:id="1847743396">
          <w:marLeft w:val="0"/>
          <w:marRight w:val="0"/>
          <w:marTop w:val="0"/>
          <w:marBottom w:val="0"/>
          <w:divBdr>
            <w:top w:val="none" w:sz="0" w:space="0" w:color="auto"/>
            <w:left w:val="none" w:sz="0" w:space="0" w:color="auto"/>
            <w:bottom w:val="none" w:sz="0" w:space="0" w:color="auto"/>
            <w:right w:val="none" w:sz="0" w:space="0" w:color="auto"/>
          </w:divBdr>
        </w:div>
        <w:div w:id="1885293031">
          <w:marLeft w:val="0"/>
          <w:marRight w:val="0"/>
          <w:marTop w:val="0"/>
          <w:marBottom w:val="0"/>
          <w:divBdr>
            <w:top w:val="none" w:sz="0" w:space="0" w:color="auto"/>
            <w:left w:val="none" w:sz="0" w:space="0" w:color="auto"/>
            <w:bottom w:val="none" w:sz="0" w:space="0" w:color="auto"/>
            <w:right w:val="none" w:sz="0" w:space="0" w:color="auto"/>
          </w:divBdr>
        </w:div>
        <w:div w:id="2120908131">
          <w:marLeft w:val="0"/>
          <w:marRight w:val="0"/>
          <w:marTop w:val="0"/>
          <w:marBottom w:val="0"/>
          <w:divBdr>
            <w:top w:val="none" w:sz="0" w:space="0" w:color="auto"/>
            <w:left w:val="none" w:sz="0" w:space="0" w:color="auto"/>
            <w:bottom w:val="none" w:sz="0" w:space="0" w:color="auto"/>
            <w:right w:val="none" w:sz="0" w:space="0" w:color="auto"/>
          </w:divBdr>
        </w:div>
      </w:divsChild>
    </w:div>
    <w:div w:id="1257834518">
      <w:bodyDiv w:val="1"/>
      <w:marLeft w:val="0"/>
      <w:marRight w:val="0"/>
      <w:marTop w:val="0"/>
      <w:marBottom w:val="0"/>
      <w:divBdr>
        <w:top w:val="none" w:sz="0" w:space="0" w:color="auto"/>
        <w:left w:val="none" w:sz="0" w:space="0" w:color="auto"/>
        <w:bottom w:val="none" w:sz="0" w:space="0" w:color="auto"/>
        <w:right w:val="none" w:sz="0" w:space="0" w:color="auto"/>
      </w:divBdr>
    </w:div>
    <w:div w:id="1292247440">
      <w:bodyDiv w:val="1"/>
      <w:marLeft w:val="0"/>
      <w:marRight w:val="0"/>
      <w:marTop w:val="0"/>
      <w:marBottom w:val="0"/>
      <w:divBdr>
        <w:top w:val="none" w:sz="0" w:space="0" w:color="auto"/>
        <w:left w:val="none" w:sz="0" w:space="0" w:color="auto"/>
        <w:bottom w:val="none" w:sz="0" w:space="0" w:color="auto"/>
        <w:right w:val="none" w:sz="0" w:space="0" w:color="auto"/>
      </w:divBdr>
    </w:div>
    <w:div w:id="1295671260">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48293188">
      <w:bodyDiv w:val="1"/>
      <w:marLeft w:val="0"/>
      <w:marRight w:val="0"/>
      <w:marTop w:val="0"/>
      <w:marBottom w:val="0"/>
      <w:divBdr>
        <w:top w:val="none" w:sz="0" w:space="0" w:color="auto"/>
        <w:left w:val="none" w:sz="0" w:space="0" w:color="auto"/>
        <w:bottom w:val="none" w:sz="0" w:space="0" w:color="auto"/>
        <w:right w:val="none" w:sz="0" w:space="0" w:color="auto"/>
      </w:divBdr>
      <w:divsChild>
        <w:div w:id="200288401">
          <w:marLeft w:val="0"/>
          <w:marRight w:val="0"/>
          <w:marTop w:val="0"/>
          <w:marBottom w:val="0"/>
          <w:divBdr>
            <w:top w:val="none" w:sz="0" w:space="0" w:color="auto"/>
            <w:left w:val="none" w:sz="0" w:space="0" w:color="auto"/>
            <w:bottom w:val="none" w:sz="0" w:space="0" w:color="auto"/>
            <w:right w:val="none" w:sz="0" w:space="0" w:color="auto"/>
          </w:divBdr>
        </w:div>
        <w:div w:id="1388723384">
          <w:marLeft w:val="0"/>
          <w:marRight w:val="0"/>
          <w:marTop w:val="0"/>
          <w:marBottom w:val="0"/>
          <w:divBdr>
            <w:top w:val="none" w:sz="0" w:space="0" w:color="auto"/>
            <w:left w:val="none" w:sz="0" w:space="0" w:color="auto"/>
            <w:bottom w:val="none" w:sz="0" w:space="0" w:color="auto"/>
            <w:right w:val="none" w:sz="0" w:space="0" w:color="auto"/>
          </w:divBdr>
        </w:div>
        <w:div w:id="1409231134">
          <w:marLeft w:val="0"/>
          <w:marRight w:val="0"/>
          <w:marTop w:val="0"/>
          <w:marBottom w:val="0"/>
          <w:divBdr>
            <w:top w:val="none" w:sz="0" w:space="0" w:color="auto"/>
            <w:left w:val="none" w:sz="0" w:space="0" w:color="auto"/>
            <w:bottom w:val="none" w:sz="0" w:space="0" w:color="auto"/>
            <w:right w:val="none" w:sz="0" w:space="0" w:color="auto"/>
          </w:divBdr>
        </w:div>
      </w:divsChild>
    </w:div>
    <w:div w:id="1354308203">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2397389">
      <w:bodyDiv w:val="1"/>
      <w:marLeft w:val="0"/>
      <w:marRight w:val="0"/>
      <w:marTop w:val="0"/>
      <w:marBottom w:val="0"/>
      <w:divBdr>
        <w:top w:val="none" w:sz="0" w:space="0" w:color="auto"/>
        <w:left w:val="none" w:sz="0" w:space="0" w:color="auto"/>
        <w:bottom w:val="none" w:sz="0" w:space="0" w:color="auto"/>
        <w:right w:val="none" w:sz="0" w:space="0" w:color="auto"/>
      </w:divBdr>
    </w:div>
    <w:div w:id="1542741773">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795374">
      <w:bodyDiv w:val="1"/>
      <w:marLeft w:val="0"/>
      <w:marRight w:val="0"/>
      <w:marTop w:val="0"/>
      <w:marBottom w:val="0"/>
      <w:divBdr>
        <w:top w:val="none" w:sz="0" w:space="0" w:color="auto"/>
        <w:left w:val="none" w:sz="0" w:space="0" w:color="auto"/>
        <w:bottom w:val="none" w:sz="0" w:space="0" w:color="auto"/>
        <w:right w:val="none" w:sz="0" w:space="0" w:color="auto"/>
      </w:divBdr>
      <w:divsChild>
        <w:div w:id="464812697">
          <w:marLeft w:val="0"/>
          <w:marRight w:val="0"/>
          <w:marTop w:val="0"/>
          <w:marBottom w:val="0"/>
          <w:divBdr>
            <w:top w:val="none" w:sz="0" w:space="0" w:color="auto"/>
            <w:left w:val="none" w:sz="0" w:space="0" w:color="auto"/>
            <w:bottom w:val="none" w:sz="0" w:space="0" w:color="auto"/>
            <w:right w:val="none" w:sz="0" w:space="0" w:color="auto"/>
          </w:divBdr>
        </w:div>
        <w:div w:id="658268493">
          <w:marLeft w:val="0"/>
          <w:marRight w:val="0"/>
          <w:marTop w:val="0"/>
          <w:marBottom w:val="0"/>
          <w:divBdr>
            <w:top w:val="none" w:sz="0" w:space="0" w:color="auto"/>
            <w:left w:val="none" w:sz="0" w:space="0" w:color="auto"/>
            <w:bottom w:val="none" w:sz="0" w:space="0" w:color="auto"/>
            <w:right w:val="none" w:sz="0" w:space="0" w:color="auto"/>
          </w:divBdr>
        </w:div>
        <w:div w:id="1587836567">
          <w:marLeft w:val="0"/>
          <w:marRight w:val="0"/>
          <w:marTop w:val="0"/>
          <w:marBottom w:val="0"/>
          <w:divBdr>
            <w:top w:val="none" w:sz="0" w:space="0" w:color="auto"/>
            <w:left w:val="none" w:sz="0" w:space="0" w:color="auto"/>
            <w:bottom w:val="none" w:sz="0" w:space="0" w:color="auto"/>
            <w:right w:val="none" w:sz="0" w:space="0" w:color="auto"/>
          </w:divBdr>
        </w:div>
        <w:div w:id="1915313634">
          <w:marLeft w:val="0"/>
          <w:marRight w:val="0"/>
          <w:marTop w:val="0"/>
          <w:marBottom w:val="0"/>
          <w:divBdr>
            <w:top w:val="none" w:sz="0" w:space="0" w:color="auto"/>
            <w:left w:val="none" w:sz="0" w:space="0" w:color="auto"/>
            <w:bottom w:val="none" w:sz="0" w:space="0" w:color="auto"/>
            <w:right w:val="none" w:sz="0" w:space="0" w:color="auto"/>
          </w:divBdr>
        </w:div>
      </w:divsChild>
    </w:div>
    <w:div w:id="1596788687">
      <w:bodyDiv w:val="1"/>
      <w:marLeft w:val="0"/>
      <w:marRight w:val="0"/>
      <w:marTop w:val="0"/>
      <w:marBottom w:val="0"/>
      <w:divBdr>
        <w:top w:val="none" w:sz="0" w:space="0" w:color="auto"/>
        <w:left w:val="none" w:sz="0" w:space="0" w:color="auto"/>
        <w:bottom w:val="none" w:sz="0" w:space="0" w:color="auto"/>
        <w:right w:val="none" w:sz="0" w:space="0" w:color="auto"/>
      </w:divBdr>
    </w:div>
    <w:div w:id="1635603765">
      <w:bodyDiv w:val="1"/>
      <w:marLeft w:val="0"/>
      <w:marRight w:val="0"/>
      <w:marTop w:val="0"/>
      <w:marBottom w:val="0"/>
      <w:divBdr>
        <w:top w:val="none" w:sz="0" w:space="0" w:color="auto"/>
        <w:left w:val="none" w:sz="0" w:space="0" w:color="auto"/>
        <w:bottom w:val="none" w:sz="0" w:space="0" w:color="auto"/>
        <w:right w:val="none" w:sz="0" w:space="0" w:color="auto"/>
      </w:divBdr>
    </w:div>
    <w:div w:id="1701931046">
      <w:bodyDiv w:val="1"/>
      <w:marLeft w:val="0"/>
      <w:marRight w:val="0"/>
      <w:marTop w:val="0"/>
      <w:marBottom w:val="0"/>
      <w:divBdr>
        <w:top w:val="none" w:sz="0" w:space="0" w:color="auto"/>
        <w:left w:val="none" w:sz="0" w:space="0" w:color="auto"/>
        <w:bottom w:val="none" w:sz="0" w:space="0" w:color="auto"/>
        <w:right w:val="none" w:sz="0" w:space="0" w:color="auto"/>
      </w:divBdr>
    </w:div>
    <w:div w:id="1756508009">
      <w:bodyDiv w:val="1"/>
      <w:marLeft w:val="0"/>
      <w:marRight w:val="0"/>
      <w:marTop w:val="0"/>
      <w:marBottom w:val="0"/>
      <w:divBdr>
        <w:top w:val="none" w:sz="0" w:space="0" w:color="auto"/>
        <w:left w:val="none" w:sz="0" w:space="0" w:color="auto"/>
        <w:bottom w:val="none" w:sz="0" w:space="0" w:color="auto"/>
        <w:right w:val="none" w:sz="0" w:space="0" w:color="auto"/>
      </w:divBdr>
      <w:divsChild>
        <w:div w:id="74714462">
          <w:marLeft w:val="0"/>
          <w:marRight w:val="0"/>
          <w:marTop w:val="0"/>
          <w:marBottom w:val="0"/>
          <w:divBdr>
            <w:top w:val="none" w:sz="0" w:space="0" w:color="auto"/>
            <w:left w:val="none" w:sz="0" w:space="0" w:color="auto"/>
            <w:bottom w:val="none" w:sz="0" w:space="0" w:color="auto"/>
            <w:right w:val="none" w:sz="0" w:space="0" w:color="auto"/>
          </w:divBdr>
          <w:divsChild>
            <w:div w:id="648364668">
              <w:marLeft w:val="0"/>
              <w:marRight w:val="0"/>
              <w:marTop w:val="0"/>
              <w:marBottom w:val="0"/>
              <w:divBdr>
                <w:top w:val="none" w:sz="0" w:space="0" w:color="auto"/>
                <w:left w:val="none" w:sz="0" w:space="0" w:color="auto"/>
                <w:bottom w:val="none" w:sz="0" w:space="0" w:color="auto"/>
                <w:right w:val="none" w:sz="0" w:space="0" w:color="auto"/>
              </w:divBdr>
              <w:divsChild>
                <w:div w:id="1024673688">
                  <w:marLeft w:val="8"/>
                  <w:marRight w:val="0"/>
                  <w:marTop w:val="0"/>
                  <w:marBottom w:val="0"/>
                  <w:divBdr>
                    <w:top w:val="none" w:sz="0" w:space="0" w:color="auto"/>
                    <w:left w:val="none" w:sz="0" w:space="0" w:color="auto"/>
                    <w:bottom w:val="none" w:sz="0" w:space="0" w:color="auto"/>
                    <w:right w:val="none" w:sz="0" w:space="0" w:color="auto"/>
                  </w:divBdr>
                </w:div>
              </w:divsChild>
            </w:div>
            <w:div w:id="1257909678">
              <w:marLeft w:val="0"/>
              <w:marRight w:val="0"/>
              <w:marTop w:val="0"/>
              <w:marBottom w:val="0"/>
              <w:divBdr>
                <w:top w:val="none" w:sz="0" w:space="0" w:color="auto"/>
                <w:left w:val="none" w:sz="0" w:space="0" w:color="auto"/>
                <w:bottom w:val="none" w:sz="0" w:space="0" w:color="auto"/>
                <w:right w:val="none" w:sz="0" w:space="0" w:color="auto"/>
              </w:divBdr>
              <w:divsChild>
                <w:div w:id="1017737533">
                  <w:marLeft w:val="8"/>
                  <w:marRight w:val="0"/>
                  <w:marTop w:val="0"/>
                  <w:marBottom w:val="0"/>
                  <w:divBdr>
                    <w:top w:val="none" w:sz="0" w:space="0" w:color="auto"/>
                    <w:left w:val="none" w:sz="0" w:space="0" w:color="auto"/>
                    <w:bottom w:val="none" w:sz="0" w:space="0" w:color="auto"/>
                    <w:right w:val="none" w:sz="0" w:space="0" w:color="auto"/>
                  </w:divBdr>
                </w:div>
              </w:divsChild>
            </w:div>
            <w:div w:id="1564028637">
              <w:marLeft w:val="0"/>
              <w:marRight w:val="0"/>
              <w:marTop w:val="0"/>
              <w:marBottom w:val="0"/>
              <w:divBdr>
                <w:top w:val="none" w:sz="0" w:space="0" w:color="auto"/>
                <w:left w:val="none" w:sz="0" w:space="0" w:color="auto"/>
                <w:bottom w:val="none" w:sz="0" w:space="0" w:color="auto"/>
                <w:right w:val="none" w:sz="0" w:space="0" w:color="auto"/>
              </w:divBdr>
              <w:divsChild>
                <w:div w:id="512114678">
                  <w:marLeft w:val="8"/>
                  <w:marRight w:val="0"/>
                  <w:marTop w:val="0"/>
                  <w:marBottom w:val="0"/>
                  <w:divBdr>
                    <w:top w:val="none" w:sz="0" w:space="0" w:color="auto"/>
                    <w:left w:val="none" w:sz="0" w:space="0" w:color="auto"/>
                    <w:bottom w:val="none" w:sz="0" w:space="0" w:color="auto"/>
                    <w:right w:val="none" w:sz="0" w:space="0" w:color="auto"/>
                  </w:divBdr>
                </w:div>
              </w:divsChild>
            </w:div>
            <w:div w:id="1682659159">
              <w:marLeft w:val="0"/>
              <w:marRight w:val="0"/>
              <w:marTop w:val="0"/>
              <w:marBottom w:val="0"/>
              <w:divBdr>
                <w:top w:val="none" w:sz="0" w:space="0" w:color="auto"/>
                <w:left w:val="none" w:sz="0" w:space="0" w:color="auto"/>
                <w:bottom w:val="none" w:sz="0" w:space="0" w:color="auto"/>
                <w:right w:val="none" w:sz="0" w:space="0" w:color="auto"/>
              </w:divBdr>
              <w:divsChild>
                <w:div w:id="2073039679">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1057">
      <w:bodyDiv w:val="1"/>
      <w:marLeft w:val="0"/>
      <w:marRight w:val="0"/>
      <w:marTop w:val="0"/>
      <w:marBottom w:val="0"/>
      <w:divBdr>
        <w:top w:val="none" w:sz="0" w:space="0" w:color="auto"/>
        <w:left w:val="none" w:sz="0" w:space="0" w:color="auto"/>
        <w:bottom w:val="none" w:sz="0" w:space="0" w:color="auto"/>
        <w:right w:val="none" w:sz="0" w:space="0" w:color="auto"/>
      </w:divBdr>
    </w:div>
    <w:div w:id="1845974401">
      <w:bodyDiv w:val="1"/>
      <w:marLeft w:val="0"/>
      <w:marRight w:val="0"/>
      <w:marTop w:val="0"/>
      <w:marBottom w:val="0"/>
      <w:divBdr>
        <w:top w:val="none" w:sz="0" w:space="0" w:color="auto"/>
        <w:left w:val="none" w:sz="0" w:space="0" w:color="auto"/>
        <w:bottom w:val="none" w:sz="0" w:space="0" w:color="auto"/>
        <w:right w:val="none" w:sz="0" w:space="0" w:color="auto"/>
      </w:divBdr>
    </w:div>
    <w:div w:id="1856455148">
      <w:bodyDiv w:val="1"/>
      <w:marLeft w:val="0"/>
      <w:marRight w:val="0"/>
      <w:marTop w:val="0"/>
      <w:marBottom w:val="0"/>
      <w:divBdr>
        <w:top w:val="none" w:sz="0" w:space="0" w:color="auto"/>
        <w:left w:val="none" w:sz="0" w:space="0" w:color="auto"/>
        <w:bottom w:val="none" w:sz="0" w:space="0" w:color="auto"/>
        <w:right w:val="none" w:sz="0" w:space="0" w:color="auto"/>
      </w:divBdr>
    </w:div>
    <w:div w:id="1984576327">
      <w:bodyDiv w:val="1"/>
      <w:marLeft w:val="0"/>
      <w:marRight w:val="0"/>
      <w:marTop w:val="0"/>
      <w:marBottom w:val="0"/>
      <w:divBdr>
        <w:top w:val="none" w:sz="0" w:space="0" w:color="auto"/>
        <w:left w:val="none" w:sz="0" w:space="0" w:color="auto"/>
        <w:bottom w:val="none" w:sz="0" w:space="0" w:color="auto"/>
        <w:right w:val="none" w:sz="0" w:space="0" w:color="auto"/>
      </w:divBdr>
    </w:div>
    <w:div w:id="1990599288">
      <w:bodyDiv w:val="1"/>
      <w:marLeft w:val="0"/>
      <w:marRight w:val="0"/>
      <w:marTop w:val="0"/>
      <w:marBottom w:val="0"/>
      <w:divBdr>
        <w:top w:val="none" w:sz="0" w:space="0" w:color="auto"/>
        <w:left w:val="none" w:sz="0" w:space="0" w:color="auto"/>
        <w:bottom w:val="none" w:sz="0" w:space="0" w:color="auto"/>
        <w:right w:val="none" w:sz="0" w:space="0" w:color="auto"/>
      </w:divBdr>
      <w:divsChild>
        <w:div w:id="92825907">
          <w:marLeft w:val="0"/>
          <w:marRight w:val="0"/>
          <w:marTop w:val="0"/>
          <w:marBottom w:val="0"/>
          <w:divBdr>
            <w:top w:val="none" w:sz="0" w:space="0" w:color="auto"/>
            <w:left w:val="none" w:sz="0" w:space="0" w:color="auto"/>
            <w:bottom w:val="none" w:sz="0" w:space="0" w:color="auto"/>
            <w:right w:val="none" w:sz="0" w:space="0" w:color="auto"/>
          </w:divBdr>
        </w:div>
        <w:div w:id="1151676973">
          <w:marLeft w:val="0"/>
          <w:marRight w:val="0"/>
          <w:marTop w:val="0"/>
          <w:marBottom w:val="0"/>
          <w:divBdr>
            <w:top w:val="none" w:sz="0" w:space="0" w:color="auto"/>
            <w:left w:val="none" w:sz="0" w:space="0" w:color="auto"/>
            <w:bottom w:val="none" w:sz="0" w:space="0" w:color="auto"/>
            <w:right w:val="none" w:sz="0" w:space="0" w:color="auto"/>
          </w:divBdr>
        </w:div>
      </w:divsChild>
    </w:div>
    <w:div w:id="2021467849">
      <w:bodyDiv w:val="1"/>
      <w:marLeft w:val="0"/>
      <w:marRight w:val="0"/>
      <w:marTop w:val="0"/>
      <w:marBottom w:val="0"/>
      <w:divBdr>
        <w:top w:val="none" w:sz="0" w:space="0" w:color="auto"/>
        <w:left w:val="none" w:sz="0" w:space="0" w:color="auto"/>
        <w:bottom w:val="none" w:sz="0" w:space="0" w:color="auto"/>
        <w:right w:val="none" w:sz="0" w:space="0" w:color="auto"/>
      </w:divBdr>
    </w:div>
    <w:div w:id="2027319798">
      <w:bodyDiv w:val="1"/>
      <w:marLeft w:val="0"/>
      <w:marRight w:val="0"/>
      <w:marTop w:val="0"/>
      <w:marBottom w:val="0"/>
      <w:divBdr>
        <w:top w:val="none" w:sz="0" w:space="0" w:color="auto"/>
        <w:left w:val="none" w:sz="0" w:space="0" w:color="auto"/>
        <w:bottom w:val="none" w:sz="0" w:space="0" w:color="auto"/>
        <w:right w:val="none" w:sz="0" w:space="0" w:color="auto"/>
      </w:divBdr>
      <w:divsChild>
        <w:div w:id="1141187910">
          <w:marLeft w:val="0"/>
          <w:marRight w:val="0"/>
          <w:marTop w:val="0"/>
          <w:marBottom w:val="0"/>
          <w:divBdr>
            <w:top w:val="none" w:sz="0" w:space="0" w:color="auto"/>
            <w:left w:val="none" w:sz="0" w:space="0" w:color="auto"/>
            <w:bottom w:val="none" w:sz="0" w:space="0" w:color="auto"/>
            <w:right w:val="none" w:sz="0" w:space="0" w:color="auto"/>
          </w:divBdr>
          <w:divsChild>
            <w:div w:id="259529478">
              <w:marLeft w:val="0"/>
              <w:marRight w:val="0"/>
              <w:marTop w:val="0"/>
              <w:marBottom w:val="0"/>
              <w:divBdr>
                <w:top w:val="none" w:sz="0" w:space="0" w:color="auto"/>
                <w:left w:val="none" w:sz="0" w:space="0" w:color="auto"/>
                <w:bottom w:val="none" w:sz="0" w:space="0" w:color="auto"/>
                <w:right w:val="none" w:sz="0" w:space="0" w:color="auto"/>
              </w:divBdr>
            </w:div>
            <w:div w:id="5509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0793">
      <w:bodyDiv w:val="1"/>
      <w:marLeft w:val="0"/>
      <w:marRight w:val="0"/>
      <w:marTop w:val="0"/>
      <w:marBottom w:val="0"/>
      <w:divBdr>
        <w:top w:val="none" w:sz="0" w:space="0" w:color="auto"/>
        <w:left w:val="none" w:sz="0" w:space="0" w:color="auto"/>
        <w:bottom w:val="none" w:sz="0" w:space="0" w:color="auto"/>
        <w:right w:val="none" w:sz="0" w:space="0" w:color="auto"/>
      </w:divBdr>
    </w:div>
    <w:div w:id="21189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se.gov.uk/pic/1-jan-changes.htm" TargetMode="External"/><Relationship Id="rId26" Type="http://schemas.openxmlformats.org/officeDocument/2006/relationships/hyperlink" Target="https://www.gov.uk/government/publications/clean-air-strategy-2019" TargetMode="External"/><Relationship Id="rId39" Type="http://schemas.openxmlformats.org/officeDocument/2006/relationships/hyperlink" Target="https://icer.org.uk/wp-content/uploads/2020/03/UC14161.3-An-assessment-of-the-levels-of-persistent-organic-pollutants-POPs-in-waste-electronic-and-electrical-equipment-in-England-and-Wales-FINAL-REPORT.pdf" TargetMode="External"/><Relationship Id="rId21" Type="http://schemas.openxmlformats.org/officeDocument/2006/relationships/hyperlink" Target="bookmark://EA_2007" TargetMode="External"/><Relationship Id="rId34" Type="http://schemas.openxmlformats.org/officeDocument/2006/relationships/hyperlink" Target="https://www.eurochlor.org/wp-content/uploads/2019/04/sd/sd5-hexachlorobutadiene-final.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OPs@defra.gov.uk" TargetMode="External"/><Relationship Id="rId20" Type="http://schemas.openxmlformats.org/officeDocument/2006/relationships/hyperlink" Target="https://ocean.ices.dk/OHAT/" TargetMode="External"/><Relationship Id="rId29" Type="http://schemas.openxmlformats.org/officeDocument/2006/relationships/hyperlink" Target="https://uk-air.defra.gov.uk/library/reports?section_id=13&amp;sort=title" TargetMode="External"/><Relationship Id="rId41" Type="http://schemas.openxmlformats.org/officeDocument/2006/relationships/hyperlink" Target="http://www.pops.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scot/isbn/9781800046627" TargetMode="External"/><Relationship Id="rId32" Type="http://schemas.openxmlformats.org/officeDocument/2006/relationships/hyperlink" Target="http://randd.defra.gov.uk/Default.aspx?Menu=Menu&amp;Module=More&amp;Location=None&amp;ProjectID=20057" TargetMode="External"/><Relationship Id="rId37" Type="http://schemas.openxmlformats.org/officeDocument/2006/relationships/hyperlink" Target="https://www.gov.uk/government/publications/environment-agency-strategy-for-safe-and-sustainable-sludge-use/environment-agency-strategy-for-safe-and-sustainable-sludge-use" TargetMode="External"/><Relationship Id="rId40" Type="http://schemas.openxmlformats.org/officeDocument/2006/relationships/hyperlink" Target="https://moat.cefas.co.uk/pressures-from-human-activities/contaminants/" TargetMode="Externa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23" Type="http://schemas.openxmlformats.org/officeDocument/2006/relationships/hyperlink" Target="https://www.gov.scot/publications/environment-strategy-scotland-vision-outcomes/pages/3/" TargetMode="External"/><Relationship Id="rId28" Type="http://schemas.openxmlformats.org/officeDocument/2006/relationships/hyperlink" Target="https://moat.cefas.co.uk/pressures-from-human-activities/contaminants/" TargetMode="External"/><Relationship Id="rId36" Type="http://schemas.openxmlformats.org/officeDocument/2006/relationships/hyperlink" Target="https://www.gov.uk/government/publications/chlorinated-paraffins-with-carbon-chain-lengths-in-the-range-c14-17" TargetMode="External"/><Relationship Id="rId10" Type="http://schemas.openxmlformats.org/officeDocument/2006/relationships/footnotes" Target="footnotes.xml"/><Relationship Id="rId19" Type="http://schemas.openxmlformats.org/officeDocument/2006/relationships/hyperlink" Target="https://www.gov.uk/guidance/importing-and-exporting-waste" TargetMode="External"/><Relationship Id="rId31" Type="http://schemas.openxmlformats.org/officeDocument/2006/relationships/hyperlink" Target="https://ocean.ices.dk/OHA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hyperlink" Target="https://www.gov.uk/government/publications/25-year-environment-plan" TargetMode="External"/><Relationship Id="rId27" Type="http://schemas.openxmlformats.org/officeDocument/2006/relationships/image" Target="media/image3.png"/><Relationship Id="rId30" Type="http://schemas.openxmlformats.org/officeDocument/2006/relationships/hyperlink" Target="https://www.gov.uk/government/consultations/river-basin-planning-challenges-and-choices" TargetMode="External"/><Relationship Id="rId35" Type="http://schemas.openxmlformats.org/officeDocument/2006/relationships/hyperlink" Target="http://sciencesearch.defra.gov.uk/Document.aspx?Document=14870_ES11_DestructionofPOPs_FINAL.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chm.pops.int/Implementation/NIPs/NIPTransmission/tabid/253/Default.aspx" TargetMode="External"/><Relationship Id="rId25" Type="http://schemas.openxmlformats.org/officeDocument/2006/relationships/hyperlink" Target="https://www.gov.uk/government/publications/chlorinated-paraffins-with-carbon-chain-lengths-in-the-range-c14-17" TargetMode="External"/><Relationship Id="rId33" Type="http://schemas.openxmlformats.org/officeDocument/2006/relationships/hyperlink" Target="https://www.umweltbundesamt.de/sites/default/files/medien/378/publikationen/texte_35_2015_identification_of_potentially_pop-containing_wastes.pdf" TargetMode="External"/><Relationship Id="rId38" Type="http://schemas.openxmlformats.org/officeDocument/2006/relationships/hyperlink" Target="https://prdldnrbm-data-sharing.s3.eu-west-2.amazonaws.com/Challenges+and+choices+2020+link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classify-some-waste-electrical-devices-components-and-wastes-from-their-treatment" TargetMode="External"/><Relationship Id="rId2" Type="http://schemas.openxmlformats.org/officeDocument/2006/relationships/hyperlink" Target="https://eur03.safelinks.protection.outlook.com/?url=http%3A%2F%2Fwww.daera-ni.gov.uk%2Fclean_air_strategy_discussion_document&amp;data=04%7C01%7CAlison.Elliott%40defra.gov.uk%7Cecdbe9bfca144d719ba108d8cf61d098%7C770a245002274c6290c74e38537f1102%7C1%7C0%7C637487366315605126%7CUnknown%7CTWFpbGZsb3d8eyJWIjoiMC4wLjAwMDAiLCJQIjoiV2luMzIiLCJBTiI6Ik1haWwiLCJXVCI6Mn0%3D%7C1000&amp;sdata=%2FkAx8m1waYqUU5GJpecxSd1xx1xmEpnfys%2BG6EdXtYY%3D&amp;reserved=0" TargetMode="External"/><Relationship Id="rId1" Type="http://schemas.openxmlformats.org/officeDocument/2006/relationships/hyperlink" Target="https://www.legislation.gov.uk/uksi/2020/489/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dlc_EmailReceivedUTC xmlns="6dfd283e-d7c6-4db4-b263-522c893cd078" xsi:nil="true"/>
    <dlc_EmailTo xmlns="6dfd283e-d7c6-4db4-b263-522c893cd078" xsi:nil="true"/>
    <dlc_EmailSubject xmlns="6dfd283e-d7c6-4db4-b263-522c893cd078" xsi:nil="true"/>
    <dlc_EmailSentUTC xmlns="6dfd283e-d7c6-4db4-b263-522c893cd078" xsi:nil="true"/>
    <TaxCatchAllLabel xmlns="662745e8-e224-48e8-a2e3-254862b8c2f5"/>
    <bcb1675984d34ae3a1ed6b6e433c98de xmlns="6dfd283e-d7c6-4db4-b263-522c893cd078">
      <Terms xmlns="http://schemas.microsoft.com/office/infopath/2007/PartnerControls"/>
    </bcb1675984d34ae3a1ed6b6e433c98de>
    <peb8f3fab875401ca34a9f28cac46400 xmlns="6dfd283e-d7c6-4db4-b263-522c893cd078">
      <Terms xmlns="http://schemas.microsoft.com/office/infopath/2007/PartnerControls"/>
    </peb8f3fab875401ca34a9f28cac46400>
    <dlc_EmailCC xmlns="6dfd283e-d7c6-4db4-b263-522c893cd078" xsi:nil="true"/>
    <dlc_EmailFrom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Stockholm Convention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CPHW  International Chemicals and Implementation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255E6857F4D254F9842C2C0E02DFEC6" ma:contentTypeVersion="72" ma:contentTypeDescription="new Document or upload" ma:contentTypeScope="" ma:versionID="f8d880a618e10fc6c5f24872eab3ae60">
  <xsd:schema xmlns:xsd="http://www.w3.org/2001/XMLSchema" xmlns:xs="http://www.w3.org/2001/XMLSchema" xmlns:p="http://schemas.microsoft.com/office/2006/metadata/properties" xmlns:ns2="6dfd283e-d7c6-4db4-b263-522c893cd078" xmlns:ns3="662745e8-e224-48e8-a2e3-254862b8c2f5" xmlns:ns4="f11b711a-085e-410d-b213-66097d4e1c8b" targetNamespace="http://schemas.microsoft.com/office/2006/metadata/properties" ma:root="true" ma:fieldsID="815af2c860b69ba8f625d2536b99d1fb" ns2:_="" ns3:_="" ns4:_="">
    <xsd:import namespace="6dfd283e-d7c6-4db4-b263-522c893cd078"/>
    <xsd:import namespace="662745e8-e224-48e8-a2e3-254862b8c2f5"/>
    <xsd:import namespace="f11b711a-085e-410d-b213-66097d4e1c8b"/>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CPHW  International Chemicals and Implementation" ma:internalName="Team">
      <xsd:simpleType>
        <xsd:restriction base="dms:Text"/>
      </xsd:simpleType>
    </xsd:element>
    <xsd:element name="Topic" ma:index="18" nillable="true" ma:displayName="Topic" ma:default="Stockholm Conven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d2976f41-4415-4caa-8344-a6ae0370877c}"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d2976f41-4415-4caa-8344-a6ae0370877c}"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b711a-085e-410d-b213-66097d4e1c8b"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4B114C0A-B882-49D4-B2A1-D21F1E7415C9}">
  <ds:schemaRefs>
    <ds:schemaRef ds:uri="Microsoft.SharePoint.Taxonomy.ContentTypeSync"/>
  </ds:schemaRefs>
</ds:datastoreItem>
</file>

<file path=customXml/itemProps3.xml><?xml version="1.0" encoding="utf-8"?>
<ds:datastoreItem xmlns:ds="http://schemas.openxmlformats.org/officeDocument/2006/customXml" ds:itemID="{AC51279B-FA34-41F3-A0AF-02939304D409}">
  <ds:schemaRefs>
    <ds:schemaRef ds:uri="6dfd283e-d7c6-4db4-b263-522c893cd078"/>
    <ds:schemaRef ds:uri="http://www.w3.org/XML/1998/namespace"/>
    <ds:schemaRef ds:uri="http://purl.org/dc/elements/1.1/"/>
    <ds:schemaRef ds:uri="http://schemas.microsoft.com/office/infopath/2007/PartnerControls"/>
    <ds:schemaRef ds:uri="http://schemas.openxmlformats.org/package/2006/metadata/core-properties"/>
    <ds:schemaRef ds:uri="f11b711a-085e-410d-b213-66097d4e1c8b"/>
    <ds:schemaRef ds:uri="http://schemas.microsoft.com/office/2006/documentManagement/types"/>
    <ds:schemaRef ds:uri="http://schemas.microsoft.com/office/2006/metadata/properties"/>
    <ds:schemaRef ds:uri="662745e8-e224-48e8-a2e3-254862b8c2f5"/>
    <ds:schemaRef ds:uri="http://purl.org/dc/dcmitype/"/>
    <ds:schemaRef ds:uri="http://purl.org/dc/terms/"/>
  </ds:schemaRefs>
</ds:datastoreItem>
</file>

<file path=customXml/itemProps4.xml><?xml version="1.0" encoding="utf-8"?>
<ds:datastoreItem xmlns:ds="http://schemas.openxmlformats.org/officeDocument/2006/customXml" ds:itemID="{748DEAFB-F6AB-4626-A3CF-07265046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f11b711a-085e-410d-b213-66097d4e1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014AD-6DEA-42C9-9CF5-102B63B7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1</TotalTime>
  <Pages>64</Pages>
  <Words>18717</Words>
  <Characters>106690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125157</CharactersWithSpaces>
  <SharedDoc>false</SharedDoc>
  <HyperlinkBase/>
  <HLinks>
    <vt:vector size="330" baseType="variant">
      <vt:variant>
        <vt:i4>4456529</vt:i4>
      </vt:variant>
      <vt:variant>
        <vt:i4>222</vt:i4>
      </vt:variant>
      <vt:variant>
        <vt:i4>0</vt:i4>
      </vt:variant>
      <vt:variant>
        <vt:i4>5</vt:i4>
      </vt:variant>
      <vt:variant>
        <vt:lpwstr>http://www.pops.int/</vt:lpwstr>
      </vt:variant>
      <vt:variant>
        <vt:lpwstr/>
      </vt:variant>
      <vt:variant>
        <vt:i4>6684781</vt:i4>
      </vt:variant>
      <vt:variant>
        <vt:i4>219</vt:i4>
      </vt:variant>
      <vt:variant>
        <vt:i4>0</vt:i4>
      </vt:variant>
      <vt:variant>
        <vt:i4>5</vt:i4>
      </vt:variant>
      <vt:variant>
        <vt:lpwstr>https://moat.cefas.co.uk/pressures-from-human-activities/contaminants/</vt:lpwstr>
      </vt:variant>
      <vt:variant>
        <vt:lpwstr/>
      </vt:variant>
      <vt:variant>
        <vt:i4>5767183</vt:i4>
      </vt:variant>
      <vt:variant>
        <vt:i4>216</vt:i4>
      </vt:variant>
      <vt:variant>
        <vt:i4>0</vt:i4>
      </vt:variant>
      <vt:variant>
        <vt:i4>5</vt:i4>
      </vt:variant>
      <vt:variant>
        <vt:lpwstr>https://icer.org.uk/wp-content/uploads/2020/03/UC14161.3-An-assessment-of-the-levels-of-persistent-organic-pollutants-POPs-in-waste-electronic-and-electrical-equipment-in-England-and-Wales-FINAL-REPORT.pdf</vt:lpwstr>
      </vt:variant>
      <vt:variant>
        <vt:lpwstr/>
      </vt:variant>
      <vt:variant>
        <vt:i4>7471142</vt:i4>
      </vt:variant>
      <vt:variant>
        <vt:i4>213</vt:i4>
      </vt:variant>
      <vt:variant>
        <vt:i4>0</vt:i4>
      </vt:variant>
      <vt:variant>
        <vt:i4>5</vt:i4>
      </vt:variant>
      <vt:variant>
        <vt:lpwstr>https://prdldnrbm-data-sharing.s3.eu-west-2.amazonaws.com/Challenges+and+choices+2020+links.pdf</vt:lpwstr>
      </vt:variant>
      <vt:variant>
        <vt:lpwstr/>
      </vt:variant>
      <vt:variant>
        <vt:i4>4128867</vt:i4>
      </vt:variant>
      <vt:variant>
        <vt:i4>210</vt:i4>
      </vt:variant>
      <vt:variant>
        <vt:i4>0</vt:i4>
      </vt:variant>
      <vt:variant>
        <vt:i4>5</vt:i4>
      </vt:variant>
      <vt:variant>
        <vt:lpwstr>https://www.gov.uk/government/publications/environment-agency-strategy-for-safe-and-sustainable-sludge-use/environment-agency-strategy-for-safe-and-sustainable-sludge-use</vt:lpwstr>
      </vt:variant>
      <vt:variant>
        <vt:lpwstr/>
      </vt:variant>
      <vt:variant>
        <vt:i4>6881399</vt:i4>
      </vt:variant>
      <vt:variant>
        <vt:i4>207</vt:i4>
      </vt:variant>
      <vt:variant>
        <vt:i4>0</vt:i4>
      </vt:variant>
      <vt:variant>
        <vt:i4>5</vt:i4>
      </vt:variant>
      <vt:variant>
        <vt:lpwstr>https://www.gov.uk/government/publications/chlorinated-paraffins-with-carbon-chain-lengths-in-the-range-c14-17</vt:lpwstr>
      </vt:variant>
      <vt:variant>
        <vt:lpwstr/>
      </vt:variant>
      <vt:variant>
        <vt:i4>8126537</vt:i4>
      </vt:variant>
      <vt:variant>
        <vt:i4>204</vt:i4>
      </vt:variant>
      <vt:variant>
        <vt:i4>0</vt:i4>
      </vt:variant>
      <vt:variant>
        <vt:i4>5</vt:i4>
      </vt:variant>
      <vt:variant>
        <vt:lpwstr>http://sciencesearch.defra.gov.uk/Document.aspx?Document=14870_ES11_DestructionofPOPs_FINAL.PDF</vt:lpwstr>
      </vt:variant>
      <vt:variant>
        <vt:lpwstr/>
      </vt:variant>
      <vt:variant>
        <vt:i4>6029385</vt:i4>
      </vt:variant>
      <vt:variant>
        <vt:i4>201</vt:i4>
      </vt:variant>
      <vt:variant>
        <vt:i4>0</vt:i4>
      </vt:variant>
      <vt:variant>
        <vt:i4>5</vt:i4>
      </vt:variant>
      <vt:variant>
        <vt:lpwstr>https://www.eurochlor.org/wp-content/uploads/2019/04/sd/sd5-hexachlorobutadiene-final.pdf</vt:lpwstr>
      </vt:variant>
      <vt:variant>
        <vt:lpwstr/>
      </vt:variant>
      <vt:variant>
        <vt:i4>4456488</vt:i4>
      </vt:variant>
      <vt:variant>
        <vt:i4>198</vt:i4>
      </vt:variant>
      <vt:variant>
        <vt:i4>0</vt:i4>
      </vt:variant>
      <vt:variant>
        <vt:i4>5</vt:i4>
      </vt:variant>
      <vt:variant>
        <vt:lpwstr>https://www.umweltbundesamt.de/sites/default/files/medien/378/publikationen/texte_35_2015_identification_of_potentially_pop-containing_wastes.pdf</vt:lpwstr>
      </vt:variant>
      <vt:variant>
        <vt:lpwstr/>
      </vt:variant>
      <vt:variant>
        <vt:i4>3539050</vt:i4>
      </vt:variant>
      <vt:variant>
        <vt:i4>195</vt:i4>
      </vt:variant>
      <vt:variant>
        <vt:i4>0</vt:i4>
      </vt:variant>
      <vt:variant>
        <vt:i4>5</vt:i4>
      </vt:variant>
      <vt:variant>
        <vt:lpwstr>http://randd.defra.gov.uk/Default.aspx?Menu=Menu&amp;Module=More&amp;Location=None&amp;ProjectID=20057</vt:lpwstr>
      </vt:variant>
      <vt:variant>
        <vt:lpwstr/>
      </vt:variant>
      <vt:variant>
        <vt:i4>7995491</vt:i4>
      </vt:variant>
      <vt:variant>
        <vt:i4>192</vt:i4>
      </vt:variant>
      <vt:variant>
        <vt:i4>0</vt:i4>
      </vt:variant>
      <vt:variant>
        <vt:i4>5</vt:i4>
      </vt:variant>
      <vt:variant>
        <vt:lpwstr>https://ocean.ices.dk/OHAT/</vt:lpwstr>
      </vt:variant>
      <vt:variant>
        <vt:lpwstr/>
      </vt:variant>
      <vt:variant>
        <vt:i4>7536688</vt:i4>
      </vt:variant>
      <vt:variant>
        <vt:i4>189</vt:i4>
      </vt:variant>
      <vt:variant>
        <vt:i4>0</vt:i4>
      </vt:variant>
      <vt:variant>
        <vt:i4>5</vt:i4>
      </vt:variant>
      <vt:variant>
        <vt:lpwstr>https://www.gov.uk/government/consultations/river-basin-planning-challenges-and-choices</vt:lpwstr>
      </vt:variant>
      <vt:variant>
        <vt:lpwstr/>
      </vt:variant>
      <vt:variant>
        <vt:i4>6946832</vt:i4>
      </vt:variant>
      <vt:variant>
        <vt:i4>186</vt:i4>
      </vt:variant>
      <vt:variant>
        <vt:i4>0</vt:i4>
      </vt:variant>
      <vt:variant>
        <vt:i4>5</vt:i4>
      </vt:variant>
      <vt:variant>
        <vt:lpwstr>https://uk-air.defra.gov.uk/library/reports?section_id=13&amp;sort=title</vt:lpwstr>
      </vt:variant>
      <vt:variant>
        <vt:lpwstr/>
      </vt:variant>
      <vt:variant>
        <vt:i4>6684781</vt:i4>
      </vt:variant>
      <vt:variant>
        <vt:i4>183</vt:i4>
      </vt:variant>
      <vt:variant>
        <vt:i4>0</vt:i4>
      </vt:variant>
      <vt:variant>
        <vt:i4>5</vt:i4>
      </vt:variant>
      <vt:variant>
        <vt:lpwstr>https://moat.cefas.co.uk/pressures-from-human-activities/contaminants/</vt:lpwstr>
      </vt:variant>
      <vt:variant>
        <vt:lpwstr/>
      </vt:variant>
      <vt:variant>
        <vt:i4>7471138</vt:i4>
      </vt:variant>
      <vt:variant>
        <vt:i4>180</vt:i4>
      </vt:variant>
      <vt:variant>
        <vt:i4>0</vt:i4>
      </vt:variant>
      <vt:variant>
        <vt:i4>5</vt:i4>
      </vt:variant>
      <vt:variant>
        <vt:lpwstr>https://www.gov.uk/government/publications/clean-air-strategy-2019</vt:lpwstr>
      </vt:variant>
      <vt:variant>
        <vt:lpwstr/>
      </vt:variant>
      <vt:variant>
        <vt:i4>6881399</vt:i4>
      </vt:variant>
      <vt:variant>
        <vt:i4>177</vt:i4>
      </vt:variant>
      <vt:variant>
        <vt:i4>0</vt:i4>
      </vt:variant>
      <vt:variant>
        <vt:i4>5</vt:i4>
      </vt:variant>
      <vt:variant>
        <vt:lpwstr>https://www.gov.uk/government/publications/chlorinated-paraffins-with-carbon-chain-lengths-in-the-range-c14-17</vt:lpwstr>
      </vt:variant>
      <vt:variant>
        <vt:lpwstr/>
      </vt:variant>
      <vt:variant>
        <vt:i4>2621472</vt:i4>
      </vt:variant>
      <vt:variant>
        <vt:i4>174</vt:i4>
      </vt:variant>
      <vt:variant>
        <vt:i4>0</vt:i4>
      </vt:variant>
      <vt:variant>
        <vt:i4>5</vt:i4>
      </vt:variant>
      <vt:variant>
        <vt:lpwstr>http://www.gov.scot/isbn/9781800046627</vt:lpwstr>
      </vt:variant>
      <vt:variant>
        <vt:lpwstr/>
      </vt:variant>
      <vt:variant>
        <vt:i4>262235</vt:i4>
      </vt:variant>
      <vt:variant>
        <vt:i4>171</vt:i4>
      </vt:variant>
      <vt:variant>
        <vt:i4>0</vt:i4>
      </vt:variant>
      <vt:variant>
        <vt:i4>5</vt:i4>
      </vt:variant>
      <vt:variant>
        <vt:lpwstr>https://www.gov.scot/publications/environment-strategy-scotland-vision-outcomes/pages/3/</vt:lpwstr>
      </vt:variant>
      <vt:variant>
        <vt:lpwstr/>
      </vt:variant>
      <vt:variant>
        <vt:i4>3670118</vt:i4>
      </vt:variant>
      <vt:variant>
        <vt:i4>168</vt:i4>
      </vt:variant>
      <vt:variant>
        <vt:i4>0</vt:i4>
      </vt:variant>
      <vt:variant>
        <vt:i4>5</vt:i4>
      </vt:variant>
      <vt:variant>
        <vt:lpwstr>https://www.gov.uk/government/publications/25-year-environment-plan</vt:lpwstr>
      </vt:variant>
      <vt:variant>
        <vt:lpwstr/>
      </vt:variant>
      <vt:variant>
        <vt:i4>1835108</vt:i4>
      </vt:variant>
      <vt:variant>
        <vt:i4>165</vt:i4>
      </vt:variant>
      <vt:variant>
        <vt:i4>0</vt:i4>
      </vt:variant>
      <vt:variant>
        <vt:i4>5</vt:i4>
      </vt:variant>
      <vt:variant>
        <vt:lpwstr>bookmark://EA_2007/</vt:lpwstr>
      </vt:variant>
      <vt:variant>
        <vt:lpwstr/>
      </vt:variant>
      <vt:variant>
        <vt:i4>7995491</vt:i4>
      </vt:variant>
      <vt:variant>
        <vt:i4>162</vt:i4>
      </vt:variant>
      <vt:variant>
        <vt:i4>0</vt:i4>
      </vt:variant>
      <vt:variant>
        <vt:i4>5</vt:i4>
      </vt:variant>
      <vt:variant>
        <vt:lpwstr>https://ocean.ices.dk/OHAT/</vt:lpwstr>
      </vt:variant>
      <vt:variant>
        <vt:lpwstr/>
      </vt:variant>
      <vt:variant>
        <vt:i4>6094867</vt:i4>
      </vt:variant>
      <vt:variant>
        <vt:i4>159</vt:i4>
      </vt:variant>
      <vt:variant>
        <vt:i4>0</vt:i4>
      </vt:variant>
      <vt:variant>
        <vt:i4>5</vt:i4>
      </vt:variant>
      <vt:variant>
        <vt:lpwstr>https://www.gov.uk/guidance/importing-and-exporting-waste</vt:lpwstr>
      </vt:variant>
      <vt:variant>
        <vt:lpwstr>import-or-export-article-18-controls</vt:lpwstr>
      </vt:variant>
      <vt:variant>
        <vt:i4>655384</vt:i4>
      </vt:variant>
      <vt:variant>
        <vt:i4>156</vt:i4>
      </vt:variant>
      <vt:variant>
        <vt:i4>0</vt:i4>
      </vt:variant>
      <vt:variant>
        <vt:i4>5</vt:i4>
      </vt:variant>
      <vt:variant>
        <vt:lpwstr>https://www.hse.gov.uk/pic/1-jan-changes.htm</vt:lpwstr>
      </vt:variant>
      <vt:variant>
        <vt:lpwstr/>
      </vt:variant>
      <vt:variant>
        <vt:i4>3801207</vt:i4>
      </vt:variant>
      <vt:variant>
        <vt:i4>153</vt:i4>
      </vt:variant>
      <vt:variant>
        <vt:i4>0</vt:i4>
      </vt:variant>
      <vt:variant>
        <vt:i4>5</vt:i4>
      </vt:variant>
      <vt:variant>
        <vt:lpwstr>http://chm.pops.int/Implementation/NIPs/NIPTransmission/tabid/253/Default.aspx</vt:lpwstr>
      </vt:variant>
      <vt:variant>
        <vt:lpwstr/>
      </vt:variant>
      <vt:variant>
        <vt:i4>1572916</vt:i4>
      </vt:variant>
      <vt:variant>
        <vt:i4>146</vt:i4>
      </vt:variant>
      <vt:variant>
        <vt:i4>0</vt:i4>
      </vt:variant>
      <vt:variant>
        <vt:i4>5</vt:i4>
      </vt:variant>
      <vt:variant>
        <vt:lpwstr/>
      </vt:variant>
      <vt:variant>
        <vt:lpwstr>_Toc66105960</vt:lpwstr>
      </vt:variant>
      <vt:variant>
        <vt:i4>1114167</vt:i4>
      </vt:variant>
      <vt:variant>
        <vt:i4>140</vt:i4>
      </vt:variant>
      <vt:variant>
        <vt:i4>0</vt:i4>
      </vt:variant>
      <vt:variant>
        <vt:i4>5</vt:i4>
      </vt:variant>
      <vt:variant>
        <vt:lpwstr/>
      </vt:variant>
      <vt:variant>
        <vt:lpwstr>_Toc66105959</vt:lpwstr>
      </vt:variant>
      <vt:variant>
        <vt:i4>1048631</vt:i4>
      </vt:variant>
      <vt:variant>
        <vt:i4>134</vt:i4>
      </vt:variant>
      <vt:variant>
        <vt:i4>0</vt:i4>
      </vt:variant>
      <vt:variant>
        <vt:i4>5</vt:i4>
      </vt:variant>
      <vt:variant>
        <vt:lpwstr/>
      </vt:variant>
      <vt:variant>
        <vt:lpwstr>_Toc66105958</vt:lpwstr>
      </vt:variant>
      <vt:variant>
        <vt:i4>2031671</vt:i4>
      </vt:variant>
      <vt:variant>
        <vt:i4>128</vt:i4>
      </vt:variant>
      <vt:variant>
        <vt:i4>0</vt:i4>
      </vt:variant>
      <vt:variant>
        <vt:i4>5</vt:i4>
      </vt:variant>
      <vt:variant>
        <vt:lpwstr/>
      </vt:variant>
      <vt:variant>
        <vt:lpwstr>_Toc66105957</vt:lpwstr>
      </vt:variant>
      <vt:variant>
        <vt:i4>1966135</vt:i4>
      </vt:variant>
      <vt:variant>
        <vt:i4>122</vt:i4>
      </vt:variant>
      <vt:variant>
        <vt:i4>0</vt:i4>
      </vt:variant>
      <vt:variant>
        <vt:i4>5</vt:i4>
      </vt:variant>
      <vt:variant>
        <vt:lpwstr/>
      </vt:variant>
      <vt:variant>
        <vt:lpwstr>_Toc66105956</vt:lpwstr>
      </vt:variant>
      <vt:variant>
        <vt:i4>1900599</vt:i4>
      </vt:variant>
      <vt:variant>
        <vt:i4>116</vt:i4>
      </vt:variant>
      <vt:variant>
        <vt:i4>0</vt:i4>
      </vt:variant>
      <vt:variant>
        <vt:i4>5</vt:i4>
      </vt:variant>
      <vt:variant>
        <vt:lpwstr/>
      </vt:variant>
      <vt:variant>
        <vt:lpwstr>_Toc66105955</vt:lpwstr>
      </vt:variant>
      <vt:variant>
        <vt:i4>1835063</vt:i4>
      </vt:variant>
      <vt:variant>
        <vt:i4>110</vt:i4>
      </vt:variant>
      <vt:variant>
        <vt:i4>0</vt:i4>
      </vt:variant>
      <vt:variant>
        <vt:i4>5</vt:i4>
      </vt:variant>
      <vt:variant>
        <vt:lpwstr/>
      </vt:variant>
      <vt:variant>
        <vt:lpwstr>_Toc66105954</vt:lpwstr>
      </vt:variant>
      <vt:variant>
        <vt:i4>1769527</vt:i4>
      </vt:variant>
      <vt:variant>
        <vt:i4>104</vt:i4>
      </vt:variant>
      <vt:variant>
        <vt:i4>0</vt:i4>
      </vt:variant>
      <vt:variant>
        <vt:i4>5</vt:i4>
      </vt:variant>
      <vt:variant>
        <vt:lpwstr/>
      </vt:variant>
      <vt:variant>
        <vt:lpwstr>_Toc66105953</vt:lpwstr>
      </vt:variant>
      <vt:variant>
        <vt:i4>1703991</vt:i4>
      </vt:variant>
      <vt:variant>
        <vt:i4>98</vt:i4>
      </vt:variant>
      <vt:variant>
        <vt:i4>0</vt:i4>
      </vt:variant>
      <vt:variant>
        <vt:i4>5</vt:i4>
      </vt:variant>
      <vt:variant>
        <vt:lpwstr/>
      </vt:variant>
      <vt:variant>
        <vt:lpwstr>_Toc66105952</vt:lpwstr>
      </vt:variant>
      <vt:variant>
        <vt:i4>1638455</vt:i4>
      </vt:variant>
      <vt:variant>
        <vt:i4>92</vt:i4>
      </vt:variant>
      <vt:variant>
        <vt:i4>0</vt:i4>
      </vt:variant>
      <vt:variant>
        <vt:i4>5</vt:i4>
      </vt:variant>
      <vt:variant>
        <vt:lpwstr/>
      </vt:variant>
      <vt:variant>
        <vt:lpwstr>_Toc66105951</vt:lpwstr>
      </vt:variant>
      <vt:variant>
        <vt:i4>1572919</vt:i4>
      </vt:variant>
      <vt:variant>
        <vt:i4>86</vt:i4>
      </vt:variant>
      <vt:variant>
        <vt:i4>0</vt:i4>
      </vt:variant>
      <vt:variant>
        <vt:i4>5</vt:i4>
      </vt:variant>
      <vt:variant>
        <vt:lpwstr/>
      </vt:variant>
      <vt:variant>
        <vt:lpwstr>_Toc66105950</vt:lpwstr>
      </vt:variant>
      <vt:variant>
        <vt:i4>1114166</vt:i4>
      </vt:variant>
      <vt:variant>
        <vt:i4>80</vt:i4>
      </vt:variant>
      <vt:variant>
        <vt:i4>0</vt:i4>
      </vt:variant>
      <vt:variant>
        <vt:i4>5</vt:i4>
      </vt:variant>
      <vt:variant>
        <vt:lpwstr/>
      </vt:variant>
      <vt:variant>
        <vt:lpwstr>_Toc66105949</vt:lpwstr>
      </vt:variant>
      <vt:variant>
        <vt:i4>1048630</vt:i4>
      </vt:variant>
      <vt:variant>
        <vt:i4>74</vt:i4>
      </vt:variant>
      <vt:variant>
        <vt:i4>0</vt:i4>
      </vt:variant>
      <vt:variant>
        <vt:i4>5</vt:i4>
      </vt:variant>
      <vt:variant>
        <vt:lpwstr/>
      </vt:variant>
      <vt:variant>
        <vt:lpwstr>_Toc66105948</vt:lpwstr>
      </vt:variant>
      <vt:variant>
        <vt:i4>2031670</vt:i4>
      </vt:variant>
      <vt:variant>
        <vt:i4>68</vt:i4>
      </vt:variant>
      <vt:variant>
        <vt:i4>0</vt:i4>
      </vt:variant>
      <vt:variant>
        <vt:i4>5</vt:i4>
      </vt:variant>
      <vt:variant>
        <vt:lpwstr/>
      </vt:variant>
      <vt:variant>
        <vt:lpwstr>_Toc66105947</vt:lpwstr>
      </vt:variant>
      <vt:variant>
        <vt:i4>1966134</vt:i4>
      </vt:variant>
      <vt:variant>
        <vt:i4>62</vt:i4>
      </vt:variant>
      <vt:variant>
        <vt:i4>0</vt:i4>
      </vt:variant>
      <vt:variant>
        <vt:i4>5</vt:i4>
      </vt:variant>
      <vt:variant>
        <vt:lpwstr/>
      </vt:variant>
      <vt:variant>
        <vt:lpwstr>_Toc66105946</vt:lpwstr>
      </vt:variant>
      <vt:variant>
        <vt:i4>1900598</vt:i4>
      </vt:variant>
      <vt:variant>
        <vt:i4>56</vt:i4>
      </vt:variant>
      <vt:variant>
        <vt:i4>0</vt:i4>
      </vt:variant>
      <vt:variant>
        <vt:i4>5</vt:i4>
      </vt:variant>
      <vt:variant>
        <vt:lpwstr/>
      </vt:variant>
      <vt:variant>
        <vt:lpwstr>_Toc66105945</vt:lpwstr>
      </vt:variant>
      <vt:variant>
        <vt:i4>1835062</vt:i4>
      </vt:variant>
      <vt:variant>
        <vt:i4>50</vt:i4>
      </vt:variant>
      <vt:variant>
        <vt:i4>0</vt:i4>
      </vt:variant>
      <vt:variant>
        <vt:i4>5</vt:i4>
      </vt:variant>
      <vt:variant>
        <vt:lpwstr/>
      </vt:variant>
      <vt:variant>
        <vt:lpwstr>_Toc66105944</vt:lpwstr>
      </vt:variant>
      <vt:variant>
        <vt:i4>1769526</vt:i4>
      </vt:variant>
      <vt:variant>
        <vt:i4>44</vt:i4>
      </vt:variant>
      <vt:variant>
        <vt:i4>0</vt:i4>
      </vt:variant>
      <vt:variant>
        <vt:i4>5</vt:i4>
      </vt:variant>
      <vt:variant>
        <vt:lpwstr/>
      </vt:variant>
      <vt:variant>
        <vt:lpwstr>_Toc66105943</vt:lpwstr>
      </vt:variant>
      <vt:variant>
        <vt:i4>1703990</vt:i4>
      </vt:variant>
      <vt:variant>
        <vt:i4>38</vt:i4>
      </vt:variant>
      <vt:variant>
        <vt:i4>0</vt:i4>
      </vt:variant>
      <vt:variant>
        <vt:i4>5</vt:i4>
      </vt:variant>
      <vt:variant>
        <vt:lpwstr/>
      </vt:variant>
      <vt:variant>
        <vt:lpwstr>_Toc66105942</vt:lpwstr>
      </vt:variant>
      <vt:variant>
        <vt:i4>1638454</vt:i4>
      </vt:variant>
      <vt:variant>
        <vt:i4>32</vt:i4>
      </vt:variant>
      <vt:variant>
        <vt:i4>0</vt:i4>
      </vt:variant>
      <vt:variant>
        <vt:i4>5</vt:i4>
      </vt:variant>
      <vt:variant>
        <vt:lpwstr/>
      </vt:variant>
      <vt:variant>
        <vt:lpwstr>_Toc66105941</vt:lpwstr>
      </vt:variant>
      <vt:variant>
        <vt:i4>1572918</vt:i4>
      </vt:variant>
      <vt:variant>
        <vt:i4>26</vt:i4>
      </vt:variant>
      <vt:variant>
        <vt:i4>0</vt:i4>
      </vt:variant>
      <vt:variant>
        <vt:i4>5</vt:i4>
      </vt:variant>
      <vt:variant>
        <vt:lpwstr/>
      </vt:variant>
      <vt:variant>
        <vt:lpwstr>_Toc66105940</vt:lpwstr>
      </vt:variant>
      <vt:variant>
        <vt:i4>1114161</vt:i4>
      </vt:variant>
      <vt:variant>
        <vt:i4>20</vt:i4>
      </vt:variant>
      <vt:variant>
        <vt:i4>0</vt:i4>
      </vt:variant>
      <vt:variant>
        <vt:i4>5</vt:i4>
      </vt:variant>
      <vt:variant>
        <vt:lpwstr/>
      </vt:variant>
      <vt:variant>
        <vt:lpwstr>_Toc66105939</vt:lpwstr>
      </vt:variant>
      <vt:variant>
        <vt:i4>1048625</vt:i4>
      </vt:variant>
      <vt:variant>
        <vt:i4>14</vt:i4>
      </vt:variant>
      <vt:variant>
        <vt:i4>0</vt:i4>
      </vt:variant>
      <vt:variant>
        <vt:i4>5</vt:i4>
      </vt:variant>
      <vt:variant>
        <vt:lpwstr/>
      </vt:variant>
      <vt:variant>
        <vt:lpwstr>_Toc66105938</vt:lpwstr>
      </vt:variant>
      <vt:variant>
        <vt:i4>7798904</vt:i4>
      </vt:variant>
      <vt:variant>
        <vt:i4>9</vt:i4>
      </vt:variant>
      <vt:variant>
        <vt:i4>0</vt:i4>
      </vt:variant>
      <vt:variant>
        <vt:i4>5</vt:i4>
      </vt:variant>
      <vt:variant>
        <vt:lpwstr>http://www.gov.uk/defra</vt:lpwstr>
      </vt:variant>
      <vt:variant>
        <vt:lpwstr/>
      </vt:variant>
      <vt:variant>
        <vt:i4>3211345</vt:i4>
      </vt:variant>
      <vt:variant>
        <vt:i4>6</vt:i4>
      </vt:variant>
      <vt:variant>
        <vt:i4>0</vt:i4>
      </vt:variant>
      <vt:variant>
        <vt:i4>5</vt:i4>
      </vt:variant>
      <vt:variant>
        <vt:lpwstr>mailto:POPs@defra.gov.uk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5570572</vt:i4>
      </vt:variant>
      <vt:variant>
        <vt:i4>6</vt:i4>
      </vt:variant>
      <vt:variant>
        <vt:i4>0</vt:i4>
      </vt:variant>
      <vt:variant>
        <vt:i4>5</vt:i4>
      </vt:variant>
      <vt:variant>
        <vt:lpwstr>https://www.gov.uk/guidance/classify-some-waste-electrical-devices-components-and-wastes-from-their-treatment</vt:lpwstr>
      </vt:variant>
      <vt:variant>
        <vt:lpwstr/>
      </vt:variant>
      <vt:variant>
        <vt:i4>1310729</vt:i4>
      </vt:variant>
      <vt:variant>
        <vt:i4>3</vt:i4>
      </vt:variant>
      <vt:variant>
        <vt:i4>0</vt:i4>
      </vt:variant>
      <vt:variant>
        <vt:i4>5</vt:i4>
      </vt:variant>
      <vt:variant>
        <vt:lpwstr>https://eur03.safelinks.protection.outlook.com/?url=http%3A%2F%2Fwww.daera-ni.gov.uk%2Fclean_air_strategy_discussion_document&amp;data=04%7C01%7CAlison.Elliott%40defra.gov.uk%7Cecdbe9bfca144d719ba108d8cf61d098%7C770a245002274c6290c74e38537f1102%7C1%7C0%7C637487366315605126%7CUnknown%7CTWFpbGZsb3d8eyJWIjoiMC4wLjAwMDAiLCJQIjoiV2luMzIiLCJBTiI6Ik1haWwiLCJXVCI6Mn0%3D%7C1000&amp;sdata=%2FkAx8m1waYqUU5GJpecxSd1xx1xmEpnfys%2BG6EdXtYY%3D&amp;reserved=0</vt:lpwstr>
      </vt:variant>
      <vt:variant>
        <vt:lpwstr/>
      </vt:variant>
      <vt:variant>
        <vt:i4>1704014</vt:i4>
      </vt:variant>
      <vt:variant>
        <vt:i4>0</vt:i4>
      </vt:variant>
      <vt:variant>
        <vt:i4>0</vt:i4>
      </vt:variant>
      <vt:variant>
        <vt:i4>5</vt:i4>
      </vt:variant>
      <vt:variant>
        <vt:lpwstr>https://www.legislation.gov.uk/uksi/2020/489/made</vt:lpwstr>
      </vt:variant>
      <vt:variant>
        <vt:lpwstr/>
      </vt:variant>
      <vt:variant>
        <vt:i4>7929950</vt:i4>
      </vt:variant>
      <vt:variant>
        <vt:i4>0</vt:i4>
      </vt:variant>
      <vt:variant>
        <vt:i4>0</vt:i4>
      </vt:variant>
      <vt:variant>
        <vt:i4>5</vt:i4>
      </vt:variant>
      <vt:variant>
        <vt:lpwstr>https://www.google.co.uk/url?sa=t&amp;rct=j&amp;q=&amp;esrc=s&amp;source=web&amp;cd=&amp;cad=rja&amp;uact=8&amp;ved=2ahUKEwj8ysXbvbnvAhXdQEEAHQZqBpcQFjABegQIBhAD&amp;url=https%3A%2F%2Fconsult.environment-agency.gov.uk%2Fenvironment-and-business%2Fchallenges-and-choices%2Fuser_uploads%2Fperfluorooctane-sulfonate-and-related-substances-pressure-rbmp-2021.pdf&amp;usg=AOvVaw1eWRwQATE84s6uTwsd8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Mathew (Defra)</dc:creator>
  <cp:keywords/>
  <cp:lastModifiedBy>Read, Sally</cp:lastModifiedBy>
  <cp:revision>2</cp:revision>
  <cp:lastPrinted>2018-08-23T14:39:00Z</cp:lastPrinted>
  <dcterms:created xsi:type="dcterms:W3CDTF">2021-03-19T09:03:00Z</dcterms:created>
  <dcterms:modified xsi:type="dcterms:W3CDTF">2021-03-19T09:03:00Z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0x010100A5BF1C78D9F64B679A5EBDE1C6598EBC01002255E6857F4D254F9842C2C0E02DFEC6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