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3AA1B105" w:rsidR="008A1EA3" w:rsidRDefault="0083244F" w:rsidP="00F32B35">
      <w:pPr>
        <w:jc w:val="both"/>
        <w:rPr>
          <w:noProof/>
          <w:lang w:eastAsia="en-GB"/>
        </w:rPr>
      </w:pPr>
      <w:r>
        <w:rPr>
          <w:noProof/>
        </w:rPr>
        <w:drawing>
          <wp:inline distT="0" distB="0" distL="0" distR="0" wp14:anchorId="639B4440" wp14:editId="6D7B407F">
            <wp:extent cx="2181225" cy="1114425"/>
            <wp:effectExtent l="0" t="0" r="0" b="0"/>
            <wp:docPr id="1" name="Picture 1" descr="Defra_582_SML_AW-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2181225" cy="1114425"/>
                    </a:xfrm>
                    <a:prstGeom prst="rect">
                      <a:avLst/>
                    </a:prstGeom>
                  </pic:spPr>
                </pic:pic>
              </a:graphicData>
            </a:graphic>
          </wp:inline>
        </w:drawing>
      </w:r>
    </w:p>
    <w:p w14:paraId="0A37501D" w14:textId="00327D1E" w:rsidR="00706BBA" w:rsidRDefault="00706BBA" w:rsidP="00F32B35">
      <w:pPr>
        <w:jc w:val="both"/>
      </w:pPr>
    </w:p>
    <w:p w14:paraId="5DAB6C7B" w14:textId="77777777" w:rsidR="00706BBA" w:rsidRDefault="00706BBA" w:rsidP="00F32B35">
      <w:pPr>
        <w:jc w:val="both"/>
      </w:pPr>
    </w:p>
    <w:p w14:paraId="02EB378F" w14:textId="77777777" w:rsidR="00706BBA" w:rsidRDefault="00706BBA" w:rsidP="00F32B35">
      <w:pPr>
        <w:jc w:val="both"/>
      </w:pPr>
    </w:p>
    <w:p w14:paraId="6A05A809" w14:textId="77777777" w:rsidR="00706BBA" w:rsidRDefault="00706BBA" w:rsidP="00F32B35">
      <w:pPr>
        <w:jc w:val="both"/>
      </w:pPr>
    </w:p>
    <w:p w14:paraId="55245AE2" w14:textId="1A399EB5" w:rsidR="00760456" w:rsidRDefault="00FE158D" w:rsidP="070CF2A1">
      <w:pPr>
        <w:pStyle w:val="Dateandversion"/>
        <w:rPr>
          <w:color w:val="008631"/>
          <w:sz w:val="56"/>
          <w:szCs w:val="56"/>
        </w:rPr>
      </w:pPr>
      <w:bookmarkStart w:id="0" w:name="_Hlk76119101"/>
      <w:r w:rsidRPr="65BE9F34">
        <w:rPr>
          <w:color w:val="008631"/>
          <w:sz w:val="56"/>
          <w:szCs w:val="56"/>
        </w:rPr>
        <w:t xml:space="preserve">Consultation on </w:t>
      </w:r>
      <w:r w:rsidR="002A6C9A">
        <w:rPr>
          <w:color w:val="008631"/>
          <w:sz w:val="56"/>
          <w:szCs w:val="56"/>
        </w:rPr>
        <w:t>m</w:t>
      </w:r>
      <w:r w:rsidRPr="65BE9F34">
        <w:rPr>
          <w:color w:val="008631"/>
          <w:sz w:val="56"/>
          <w:szCs w:val="56"/>
        </w:rPr>
        <w:t xml:space="preserve">arine </w:t>
      </w:r>
      <w:r w:rsidR="002A6C9A">
        <w:rPr>
          <w:color w:val="008631"/>
          <w:sz w:val="56"/>
          <w:szCs w:val="56"/>
        </w:rPr>
        <w:t>l</w:t>
      </w:r>
      <w:r w:rsidRPr="65BE9F34">
        <w:rPr>
          <w:color w:val="008631"/>
          <w:sz w:val="56"/>
          <w:szCs w:val="56"/>
        </w:rPr>
        <w:t>icensing</w:t>
      </w:r>
      <w:r w:rsidR="00666FD7" w:rsidRPr="65BE9F34">
        <w:rPr>
          <w:color w:val="008631"/>
          <w:sz w:val="56"/>
          <w:szCs w:val="56"/>
        </w:rPr>
        <w:t xml:space="preserve"> </w:t>
      </w:r>
      <w:r w:rsidR="00B91C61">
        <w:rPr>
          <w:color w:val="008631"/>
          <w:sz w:val="56"/>
          <w:szCs w:val="56"/>
        </w:rPr>
        <w:t>e</w:t>
      </w:r>
      <w:r w:rsidR="00666FD7" w:rsidRPr="65BE9F34">
        <w:rPr>
          <w:color w:val="008631"/>
          <w:sz w:val="56"/>
          <w:szCs w:val="56"/>
        </w:rPr>
        <w:t>fficiencies</w:t>
      </w:r>
      <w:bookmarkEnd w:id="0"/>
    </w:p>
    <w:p w14:paraId="4186A69F" w14:textId="3115A3BA" w:rsidR="00261CCA" w:rsidRDefault="00261CCA" w:rsidP="00F32B35">
      <w:pPr>
        <w:pStyle w:val="Dateandversion"/>
        <w:jc w:val="both"/>
      </w:pPr>
      <w:r>
        <w:t xml:space="preserve">Date: </w:t>
      </w:r>
      <w:r w:rsidR="00F46265">
        <w:t>20</w:t>
      </w:r>
      <w:r w:rsidR="00F03713" w:rsidRPr="00F03713">
        <w:t xml:space="preserve"> </w:t>
      </w:r>
      <w:r w:rsidR="006C69A2" w:rsidRPr="00F03713">
        <w:t>J</w:t>
      </w:r>
      <w:r w:rsidR="00F03713" w:rsidRPr="00F03713">
        <w:t>une</w:t>
      </w:r>
      <w:r w:rsidR="52DEF04E" w:rsidRPr="00F03713">
        <w:t xml:space="preserve"> </w:t>
      </w:r>
      <w:r w:rsidR="000A449D" w:rsidRPr="00F03713">
        <w:t>2025</w:t>
      </w:r>
    </w:p>
    <w:p w14:paraId="5A39BBE3" w14:textId="77777777" w:rsidR="00845AB8" w:rsidRPr="00F6274F" w:rsidRDefault="00845AB8" w:rsidP="00F32B35">
      <w:pPr>
        <w:pStyle w:val="Reportsubtitle"/>
        <w:jc w:val="both"/>
      </w:pPr>
      <w:r>
        <w:br w:type="page"/>
      </w:r>
    </w:p>
    <w:p w14:paraId="29F20189" w14:textId="77777777" w:rsidR="006E4FDF" w:rsidRDefault="006E4FDF" w:rsidP="00F32B35">
      <w:pPr>
        <w:spacing w:after="0"/>
        <w:jc w:val="both"/>
      </w:pPr>
      <w:bookmarkStart w:id="1" w:name="_Toc473641177"/>
      <w:r>
        <w:lastRenderedPageBreak/>
        <w:t xml:space="preserve">We are the Department for Environment, Food and Rural Affairs. We’re responsible for improving and protecting the environment, growing the green economy and supporting our world-class food, farming and fishing industries. </w:t>
      </w:r>
    </w:p>
    <w:p w14:paraId="5D844792" w14:textId="77777777" w:rsidR="006E4FDF" w:rsidRDefault="006E4FDF" w:rsidP="00F32B35">
      <w:pPr>
        <w:spacing w:after="0"/>
        <w:jc w:val="both"/>
      </w:pPr>
      <w:r>
        <w:t>We work closely with our 33 agencies and arm’s length bodies on our ambition to make our air purer, our water cleaner, our land greener and our food more sustainable. Our mission is to restore and enhance the environment for the next generation, and to leave the environment in a better state than we found it.</w:t>
      </w:r>
    </w:p>
    <w:p w14:paraId="41C8F396" w14:textId="77777777" w:rsidR="006E4FDF" w:rsidRDefault="006E4FDF" w:rsidP="00F32B35">
      <w:pPr>
        <w:spacing w:after="0"/>
        <w:jc w:val="both"/>
      </w:pPr>
    </w:p>
    <w:p w14:paraId="72A3D3EC" w14:textId="77777777" w:rsidR="00706BBA" w:rsidRPr="001276F9" w:rsidRDefault="0083244F" w:rsidP="00F32B35">
      <w:pPr>
        <w:spacing w:after="0"/>
        <w:jc w:val="both"/>
      </w:pPr>
      <w:r w:rsidRPr="00C7021B">
        <w:rPr>
          <w:noProof/>
          <w:color w:val="2B579A"/>
          <w:shd w:val="clear" w:color="auto" w:fill="E6E6E6"/>
          <w:lang w:eastAsia="en-GB"/>
        </w:rPr>
        <w:drawing>
          <wp:inline distT="0" distB="0" distL="0" distR="0" wp14:anchorId="1DB8C47E" wp14:editId="07777777">
            <wp:extent cx="762000" cy="314325"/>
            <wp:effectExtent l="0" t="0" r="0" b="0"/>
            <wp:docPr id="2" name="Picture 2" descr="Open Government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 Government Licence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314325"/>
                    </a:xfrm>
                    <a:prstGeom prst="rect">
                      <a:avLst/>
                    </a:prstGeom>
                    <a:noFill/>
                    <a:ln>
                      <a:noFill/>
                    </a:ln>
                  </pic:spPr>
                </pic:pic>
              </a:graphicData>
            </a:graphic>
          </wp:inline>
        </w:drawing>
      </w:r>
    </w:p>
    <w:p w14:paraId="58040A49" w14:textId="0511A737" w:rsidR="00706BBA" w:rsidRPr="00927D4B" w:rsidRDefault="653E36B0" w:rsidP="00F32B35">
      <w:pPr>
        <w:jc w:val="both"/>
      </w:pPr>
      <w:r>
        <w:t>© Crown copyright 202</w:t>
      </w:r>
      <w:r w:rsidR="000A449D">
        <w:t>5</w:t>
      </w:r>
    </w:p>
    <w:p w14:paraId="69C1F310" w14:textId="77777777" w:rsidR="00706BBA" w:rsidRDefault="00706BBA" w:rsidP="00F32B35">
      <w:pPr>
        <w:pStyle w:val="NormalWeb"/>
        <w:jc w:val="both"/>
        <w:rPr>
          <w:rFonts w:ascii="Arial" w:hAnsi="Arial" w:cs="Arial"/>
          <w:color w:val="333333"/>
        </w:rPr>
      </w:pPr>
      <w:r>
        <w:rPr>
          <w:rFonts w:ascii="Arial" w:hAnsi="Arial" w:cs="Arial"/>
          <w:color w:val="333333"/>
        </w:rPr>
        <w:t>This information is licensed under the Open Government Licence v3.0. To view this licence, visit </w:t>
      </w:r>
      <w:hyperlink r:id="rId15" w:history="1">
        <w:r w:rsidRPr="009C068B">
          <w:rPr>
            <w:rStyle w:val="Hyperlink"/>
            <w:rFonts w:ascii="Arial" w:hAnsi="Arial" w:cs="Arial"/>
          </w:rPr>
          <w:t>www.nationalarchives.gov.uk/doc/open-government-licence/</w:t>
        </w:r>
      </w:hyperlink>
      <w:r>
        <w:rPr>
          <w:rFonts w:ascii="Arial" w:hAnsi="Arial" w:cs="Arial"/>
          <w:color w:val="333333"/>
        </w:rPr>
        <w:t> </w:t>
      </w:r>
    </w:p>
    <w:p w14:paraId="0F49A6EA" w14:textId="77777777" w:rsidR="00706BBA" w:rsidRPr="001276F9" w:rsidRDefault="00706BBA" w:rsidP="00F32B35">
      <w:pPr>
        <w:jc w:val="both"/>
      </w:pPr>
      <w:r w:rsidRPr="001276F9">
        <w:t xml:space="preserve">This publication is available at </w:t>
      </w:r>
      <w:hyperlink r:id="rId16" w:history="1">
        <w:r w:rsidRPr="001276F9">
          <w:rPr>
            <w:rStyle w:val="Hyperlink"/>
          </w:rPr>
          <w:t>www.gov.uk/government/publications</w:t>
        </w:r>
      </w:hyperlink>
      <w:r w:rsidRPr="001276F9">
        <w:t xml:space="preserve">  </w:t>
      </w:r>
    </w:p>
    <w:p w14:paraId="7BFFF960" w14:textId="77777777" w:rsidR="00706BBA" w:rsidRPr="001276F9" w:rsidRDefault="00706BBA" w:rsidP="00F32B35">
      <w:pPr>
        <w:jc w:val="both"/>
      </w:pPr>
      <w:r w:rsidRPr="001276F9">
        <w:t>Any enquiries regarding this publ</w:t>
      </w:r>
      <w:r>
        <w:t>ication should be sent to us at</w:t>
      </w:r>
    </w:p>
    <w:p w14:paraId="06DCE2ED" w14:textId="77777777" w:rsidR="00706BBA" w:rsidRPr="001E028C" w:rsidRDefault="00F00CB5" w:rsidP="00F32B35">
      <w:pPr>
        <w:jc w:val="both"/>
      </w:pPr>
      <w:hyperlink r:id="rId17" w:history="1">
        <w:r w:rsidRPr="005C358B">
          <w:rPr>
            <w:rStyle w:val="Hyperlink"/>
            <w:rFonts w:eastAsia="Times New Roman"/>
          </w:rPr>
          <w:t>marine.licensing@defra.gov.uk</w:t>
        </w:r>
      </w:hyperlink>
      <w:r w:rsidR="00782573">
        <w:rPr>
          <w:rFonts w:eastAsia="Times New Roman"/>
        </w:rPr>
        <w:t xml:space="preserve"> </w:t>
      </w:r>
    </w:p>
    <w:p w14:paraId="3849F17A" w14:textId="77777777" w:rsidR="00706BBA" w:rsidRDefault="00706BBA" w:rsidP="00F32B35">
      <w:pPr>
        <w:jc w:val="both"/>
      </w:pPr>
      <w:hyperlink r:id="rId18" w:history="1">
        <w:r w:rsidRPr="00846DDA">
          <w:rPr>
            <w:rStyle w:val="Hyperlink"/>
          </w:rPr>
          <w:t>www.gov.uk/defra</w:t>
        </w:r>
      </w:hyperlink>
      <w:r>
        <w:t xml:space="preserve"> </w:t>
      </w:r>
    </w:p>
    <w:p w14:paraId="0D0B940D" w14:textId="77777777" w:rsidR="00A52EAA" w:rsidRDefault="00A52EAA" w:rsidP="00F32B35">
      <w:pPr>
        <w:jc w:val="both"/>
        <w:rPr>
          <w:color w:val="008631"/>
          <w:sz w:val="48"/>
        </w:rPr>
      </w:pPr>
      <w:r>
        <w:br w:type="page"/>
      </w:r>
    </w:p>
    <w:p w14:paraId="406425CA" w14:textId="77777777" w:rsidR="002D2206" w:rsidRDefault="00CD3AC4" w:rsidP="00F32B35">
      <w:pPr>
        <w:pStyle w:val="Contents"/>
        <w:jc w:val="both"/>
      </w:pPr>
      <w:bookmarkStart w:id="2" w:name="_Toc522629670"/>
      <w:bookmarkEnd w:id="1"/>
      <w:r>
        <w:lastRenderedPageBreak/>
        <w:t>Contents</w:t>
      </w:r>
      <w:bookmarkEnd w:id="2"/>
    </w:p>
    <w:bookmarkStart w:id="3" w:name="_Toc473641179"/>
    <w:p w14:paraId="74F56828" w14:textId="3F06FA32" w:rsidR="00E06F14" w:rsidRDefault="05A53E98">
      <w:pPr>
        <w:pStyle w:val="TOC1"/>
        <w:rPr>
          <w:rFonts w:asciiTheme="minorHAnsi" w:eastAsiaTheme="minorEastAsia" w:hAnsiTheme="minorHAnsi" w:cstheme="minorBidi"/>
          <w:noProof/>
          <w:kern w:val="2"/>
          <w:szCs w:val="24"/>
          <w:lang w:eastAsia="en-GB"/>
          <w14:ligatures w14:val="standardContextual"/>
        </w:rPr>
      </w:pPr>
      <w:r>
        <w:fldChar w:fldCharType="begin"/>
      </w:r>
      <w:r w:rsidR="003C59DB">
        <w:instrText>TOC \o "1-2" \z \u \h</w:instrText>
      </w:r>
      <w:r>
        <w:fldChar w:fldCharType="separate"/>
      </w:r>
      <w:hyperlink w:anchor="_Toc200715766" w:history="1">
        <w:r w:rsidR="00E06F14" w:rsidRPr="00131F83">
          <w:rPr>
            <w:rStyle w:val="Hyperlink"/>
            <w:noProof/>
          </w:rPr>
          <w:t>Executive summary</w:t>
        </w:r>
        <w:r w:rsidR="00E06F14">
          <w:rPr>
            <w:noProof/>
            <w:webHidden/>
          </w:rPr>
          <w:tab/>
        </w:r>
        <w:r w:rsidR="00E06F14">
          <w:rPr>
            <w:noProof/>
            <w:webHidden/>
          </w:rPr>
          <w:fldChar w:fldCharType="begin"/>
        </w:r>
        <w:r w:rsidR="00E06F14">
          <w:rPr>
            <w:noProof/>
            <w:webHidden/>
          </w:rPr>
          <w:instrText xml:space="preserve"> PAGEREF _Toc200715766 \h </w:instrText>
        </w:r>
        <w:r w:rsidR="00E06F14">
          <w:rPr>
            <w:noProof/>
            <w:webHidden/>
          </w:rPr>
        </w:r>
        <w:r w:rsidR="00E06F14">
          <w:rPr>
            <w:noProof/>
            <w:webHidden/>
          </w:rPr>
          <w:fldChar w:fldCharType="separate"/>
        </w:r>
        <w:r w:rsidR="00E06F14">
          <w:rPr>
            <w:noProof/>
            <w:webHidden/>
          </w:rPr>
          <w:t>6</w:t>
        </w:r>
        <w:r w:rsidR="00E06F14">
          <w:rPr>
            <w:noProof/>
            <w:webHidden/>
          </w:rPr>
          <w:fldChar w:fldCharType="end"/>
        </w:r>
      </w:hyperlink>
    </w:p>
    <w:p w14:paraId="05A9CEAF" w14:textId="1DAA4FC4" w:rsidR="00E06F14" w:rsidRDefault="00E06F14">
      <w:pPr>
        <w:pStyle w:val="TOC1"/>
        <w:rPr>
          <w:rFonts w:asciiTheme="minorHAnsi" w:eastAsiaTheme="minorEastAsia" w:hAnsiTheme="minorHAnsi" w:cstheme="minorBidi"/>
          <w:noProof/>
          <w:kern w:val="2"/>
          <w:szCs w:val="24"/>
          <w:lang w:eastAsia="en-GB"/>
          <w14:ligatures w14:val="standardContextual"/>
        </w:rPr>
      </w:pPr>
      <w:hyperlink w:anchor="_Toc200715767" w:history="1">
        <w:r w:rsidRPr="00131F83">
          <w:rPr>
            <w:rStyle w:val="Hyperlink"/>
            <w:noProof/>
          </w:rPr>
          <w:t>Introduction</w:t>
        </w:r>
        <w:r>
          <w:rPr>
            <w:noProof/>
            <w:webHidden/>
          </w:rPr>
          <w:tab/>
        </w:r>
        <w:r>
          <w:rPr>
            <w:noProof/>
            <w:webHidden/>
          </w:rPr>
          <w:fldChar w:fldCharType="begin"/>
        </w:r>
        <w:r>
          <w:rPr>
            <w:noProof/>
            <w:webHidden/>
          </w:rPr>
          <w:instrText xml:space="preserve"> PAGEREF _Toc200715767 \h </w:instrText>
        </w:r>
        <w:r>
          <w:rPr>
            <w:noProof/>
            <w:webHidden/>
          </w:rPr>
        </w:r>
        <w:r>
          <w:rPr>
            <w:noProof/>
            <w:webHidden/>
          </w:rPr>
          <w:fldChar w:fldCharType="separate"/>
        </w:r>
        <w:r>
          <w:rPr>
            <w:noProof/>
            <w:webHidden/>
          </w:rPr>
          <w:t>7</w:t>
        </w:r>
        <w:r>
          <w:rPr>
            <w:noProof/>
            <w:webHidden/>
          </w:rPr>
          <w:fldChar w:fldCharType="end"/>
        </w:r>
      </w:hyperlink>
    </w:p>
    <w:p w14:paraId="5E6AB543" w14:textId="305A338E" w:rsidR="00E06F14" w:rsidRDefault="00E06F14">
      <w:pPr>
        <w:pStyle w:val="TOC1"/>
        <w:rPr>
          <w:rFonts w:asciiTheme="minorHAnsi" w:eastAsiaTheme="minorEastAsia" w:hAnsiTheme="minorHAnsi" w:cstheme="minorBidi"/>
          <w:noProof/>
          <w:kern w:val="2"/>
          <w:szCs w:val="24"/>
          <w:lang w:eastAsia="en-GB"/>
          <w14:ligatures w14:val="standardContextual"/>
        </w:rPr>
      </w:pPr>
      <w:hyperlink w:anchor="_Toc200715768" w:history="1">
        <w:r w:rsidRPr="00131F83">
          <w:rPr>
            <w:rStyle w:val="Hyperlink"/>
            <w:noProof/>
          </w:rPr>
          <w:t>The consultation process</w:t>
        </w:r>
        <w:r>
          <w:rPr>
            <w:noProof/>
            <w:webHidden/>
          </w:rPr>
          <w:tab/>
        </w:r>
        <w:r>
          <w:rPr>
            <w:noProof/>
            <w:webHidden/>
          </w:rPr>
          <w:fldChar w:fldCharType="begin"/>
        </w:r>
        <w:r>
          <w:rPr>
            <w:noProof/>
            <w:webHidden/>
          </w:rPr>
          <w:instrText xml:space="preserve"> PAGEREF _Toc200715768 \h </w:instrText>
        </w:r>
        <w:r>
          <w:rPr>
            <w:noProof/>
            <w:webHidden/>
          </w:rPr>
        </w:r>
        <w:r>
          <w:rPr>
            <w:noProof/>
            <w:webHidden/>
          </w:rPr>
          <w:fldChar w:fldCharType="separate"/>
        </w:r>
        <w:r>
          <w:rPr>
            <w:noProof/>
            <w:webHidden/>
          </w:rPr>
          <w:t>7</w:t>
        </w:r>
        <w:r>
          <w:rPr>
            <w:noProof/>
            <w:webHidden/>
          </w:rPr>
          <w:fldChar w:fldCharType="end"/>
        </w:r>
      </w:hyperlink>
    </w:p>
    <w:p w14:paraId="3EB8B331" w14:textId="2332ABA7" w:rsidR="00E06F14" w:rsidRDefault="00E06F14">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200715769" w:history="1">
        <w:r w:rsidRPr="00131F83">
          <w:rPr>
            <w:rStyle w:val="Hyperlink"/>
            <w:noProof/>
          </w:rPr>
          <w:t>Timing and duration of this consultation</w:t>
        </w:r>
        <w:r>
          <w:rPr>
            <w:noProof/>
            <w:webHidden/>
          </w:rPr>
          <w:tab/>
        </w:r>
        <w:r>
          <w:rPr>
            <w:noProof/>
            <w:webHidden/>
          </w:rPr>
          <w:fldChar w:fldCharType="begin"/>
        </w:r>
        <w:r>
          <w:rPr>
            <w:noProof/>
            <w:webHidden/>
          </w:rPr>
          <w:instrText xml:space="preserve"> PAGEREF _Toc200715769 \h </w:instrText>
        </w:r>
        <w:r>
          <w:rPr>
            <w:noProof/>
            <w:webHidden/>
          </w:rPr>
        </w:r>
        <w:r>
          <w:rPr>
            <w:noProof/>
            <w:webHidden/>
          </w:rPr>
          <w:fldChar w:fldCharType="separate"/>
        </w:r>
        <w:r>
          <w:rPr>
            <w:noProof/>
            <w:webHidden/>
          </w:rPr>
          <w:t>7</w:t>
        </w:r>
        <w:r>
          <w:rPr>
            <w:noProof/>
            <w:webHidden/>
          </w:rPr>
          <w:fldChar w:fldCharType="end"/>
        </w:r>
      </w:hyperlink>
    </w:p>
    <w:p w14:paraId="4EBF2F33" w14:textId="314D7368" w:rsidR="00E06F14" w:rsidRDefault="00E06F14">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200715770" w:history="1">
        <w:r w:rsidRPr="00131F83">
          <w:rPr>
            <w:rStyle w:val="Hyperlink"/>
            <w:noProof/>
          </w:rPr>
          <w:t>Responses</w:t>
        </w:r>
        <w:r>
          <w:rPr>
            <w:noProof/>
            <w:webHidden/>
          </w:rPr>
          <w:tab/>
        </w:r>
        <w:r>
          <w:rPr>
            <w:noProof/>
            <w:webHidden/>
          </w:rPr>
          <w:fldChar w:fldCharType="begin"/>
        </w:r>
        <w:r>
          <w:rPr>
            <w:noProof/>
            <w:webHidden/>
          </w:rPr>
          <w:instrText xml:space="preserve"> PAGEREF _Toc200715770 \h </w:instrText>
        </w:r>
        <w:r>
          <w:rPr>
            <w:noProof/>
            <w:webHidden/>
          </w:rPr>
        </w:r>
        <w:r>
          <w:rPr>
            <w:noProof/>
            <w:webHidden/>
          </w:rPr>
          <w:fldChar w:fldCharType="separate"/>
        </w:r>
        <w:r>
          <w:rPr>
            <w:noProof/>
            <w:webHidden/>
          </w:rPr>
          <w:t>8</w:t>
        </w:r>
        <w:r>
          <w:rPr>
            <w:noProof/>
            <w:webHidden/>
          </w:rPr>
          <w:fldChar w:fldCharType="end"/>
        </w:r>
      </w:hyperlink>
    </w:p>
    <w:p w14:paraId="17828D8C" w14:textId="5E053F4B" w:rsidR="00E06F14" w:rsidRDefault="00E06F14">
      <w:pPr>
        <w:pStyle w:val="TOC1"/>
        <w:rPr>
          <w:rFonts w:asciiTheme="minorHAnsi" w:eastAsiaTheme="minorEastAsia" w:hAnsiTheme="minorHAnsi" w:cstheme="minorBidi"/>
          <w:noProof/>
          <w:kern w:val="2"/>
          <w:szCs w:val="24"/>
          <w:lang w:eastAsia="en-GB"/>
          <w14:ligatures w14:val="standardContextual"/>
        </w:rPr>
      </w:pPr>
      <w:hyperlink w:anchor="_Toc200715771" w:history="1">
        <w:r w:rsidRPr="00131F83">
          <w:rPr>
            <w:rStyle w:val="Hyperlink"/>
            <w:noProof/>
          </w:rPr>
          <w:t>Response guidance</w:t>
        </w:r>
        <w:r>
          <w:rPr>
            <w:noProof/>
            <w:webHidden/>
          </w:rPr>
          <w:tab/>
        </w:r>
        <w:r>
          <w:rPr>
            <w:noProof/>
            <w:webHidden/>
          </w:rPr>
          <w:fldChar w:fldCharType="begin"/>
        </w:r>
        <w:r>
          <w:rPr>
            <w:noProof/>
            <w:webHidden/>
          </w:rPr>
          <w:instrText xml:space="preserve"> PAGEREF _Toc200715771 \h </w:instrText>
        </w:r>
        <w:r>
          <w:rPr>
            <w:noProof/>
            <w:webHidden/>
          </w:rPr>
        </w:r>
        <w:r>
          <w:rPr>
            <w:noProof/>
            <w:webHidden/>
          </w:rPr>
          <w:fldChar w:fldCharType="separate"/>
        </w:r>
        <w:r>
          <w:rPr>
            <w:noProof/>
            <w:webHidden/>
          </w:rPr>
          <w:t>8</w:t>
        </w:r>
        <w:r>
          <w:rPr>
            <w:noProof/>
            <w:webHidden/>
          </w:rPr>
          <w:fldChar w:fldCharType="end"/>
        </w:r>
      </w:hyperlink>
    </w:p>
    <w:p w14:paraId="067CFB6B" w14:textId="3C06A233" w:rsidR="00E06F14" w:rsidRDefault="00E06F14">
      <w:pPr>
        <w:pStyle w:val="TOC1"/>
        <w:rPr>
          <w:rFonts w:asciiTheme="minorHAnsi" w:eastAsiaTheme="minorEastAsia" w:hAnsiTheme="minorHAnsi" w:cstheme="minorBidi"/>
          <w:noProof/>
          <w:kern w:val="2"/>
          <w:szCs w:val="24"/>
          <w:lang w:eastAsia="en-GB"/>
          <w14:ligatures w14:val="standardContextual"/>
        </w:rPr>
      </w:pPr>
      <w:hyperlink w:anchor="_Toc200715772" w:history="1">
        <w:r w:rsidRPr="00131F83">
          <w:rPr>
            <w:rStyle w:val="Hyperlink"/>
            <w:noProof/>
          </w:rPr>
          <w:t>General overview of marine licensing</w:t>
        </w:r>
        <w:r>
          <w:rPr>
            <w:noProof/>
            <w:webHidden/>
          </w:rPr>
          <w:tab/>
        </w:r>
        <w:r>
          <w:rPr>
            <w:noProof/>
            <w:webHidden/>
          </w:rPr>
          <w:fldChar w:fldCharType="begin"/>
        </w:r>
        <w:r>
          <w:rPr>
            <w:noProof/>
            <w:webHidden/>
          </w:rPr>
          <w:instrText xml:space="preserve"> PAGEREF _Toc200715772 \h </w:instrText>
        </w:r>
        <w:r>
          <w:rPr>
            <w:noProof/>
            <w:webHidden/>
          </w:rPr>
        </w:r>
        <w:r>
          <w:rPr>
            <w:noProof/>
            <w:webHidden/>
          </w:rPr>
          <w:fldChar w:fldCharType="separate"/>
        </w:r>
        <w:r>
          <w:rPr>
            <w:noProof/>
            <w:webHidden/>
          </w:rPr>
          <w:t>9</w:t>
        </w:r>
        <w:r>
          <w:rPr>
            <w:noProof/>
            <w:webHidden/>
          </w:rPr>
          <w:fldChar w:fldCharType="end"/>
        </w:r>
      </w:hyperlink>
    </w:p>
    <w:p w14:paraId="03C5FD42" w14:textId="5DF3A3A4" w:rsidR="00E06F14" w:rsidRDefault="00E06F14">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200715773" w:history="1">
        <w:r w:rsidRPr="00131F83">
          <w:rPr>
            <w:rStyle w:val="Hyperlink"/>
            <w:noProof/>
          </w:rPr>
          <w:t>Standard marine licences</w:t>
        </w:r>
        <w:r>
          <w:rPr>
            <w:noProof/>
            <w:webHidden/>
          </w:rPr>
          <w:tab/>
        </w:r>
        <w:r>
          <w:rPr>
            <w:noProof/>
            <w:webHidden/>
          </w:rPr>
          <w:fldChar w:fldCharType="begin"/>
        </w:r>
        <w:r>
          <w:rPr>
            <w:noProof/>
            <w:webHidden/>
          </w:rPr>
          <w:instrText xml:space="preserve"> PAGEREF _Toc200715773 \h </w:instrText>
        </w:r>
        <w:r>
          <w:rPr>
            <w:noProof/>
            <w:webHidden/>
          </w:rPr>
        </w:r>
        <w:r>
          <w:rPr>
            <w:noProof/>
            <w:webHidden/>
          </w:rPr>
          <w:fldChar w:fldCharType="separate"/>
        </w:r>
        <w:r>
          <w:rPr>
            <w:noProof/>
            <w:webHidden/>
          </w:rPr>
          <w:t>10</w:t>
        </w:r>
        <w:r>
          <w:rPr>
            <w:noProof/>
            <w:webHidden/>
          </w:rPr>
          <w:fldChar w:fldCharType="end"/>
        </w:r>
      </w:hyperlink>
    </w:p>
    <w:p w14:paraId="5D918818" w14:textId="4ACC9D45" w:rsidR="00E06F14" w:rsidRDefault="00E06F14">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200715774" w:history="1">
        <w:r w:rsidRPr="00131F83">
          <w:rPr>
            <w:rStyle w:val="Hyperlink"/>
            <w:noProof/>
          </w:rPr>
          <w:t>Self-service marine licences</w:t>
        </w:r>
        <w:r>
          <w:rPr>
            <w:noProof/>
            <w:webHidden/>
          </w:rPr>
          <w:tab/>
        </w:r>
        <w:r>
          <w:rPr>
            <w:noProof/>
            <w:webHidden/>
          </w:rPr>
          <w:fldChar w:fldCharType="begin"/>
        </w:r>
        <w:r>
          <w:rPr>
            <w:noProof/>
            <w:webHidden/>
          </w:rPr>
          <w:instrText xml:space="preserve"> PAGEREF _Toc200715774 \h </w:instrText>
        </w:r>
        <w:r>
          <w:rPr>
            <w:noProof/>
            <w:webHidden/>
          </w:rPr>
        </w:r>
        <w:r>
          <w:rPr>
            <w:noProof/>
            <w:webHidden/>
          </w:rPr>
          <w:fldChar w:fldCharType="separate"/>
        </w:r>
        <w:r>
          <w:rPr>
            <w:noProof/>
            <w:webHidden/>
          </w:rPr>
          <w:t>11</w:t>
        </w:r>
        <w:r>
          <w:rPr>
            <w:noProof/>
            <w:webHidden/>
          </w:rPr>
          <w:fldChar w:fldCharType="end"/>
        </w:r>
      </w:hyperlink>
    </w:p>
    <w:p w14:paraId="331EE69F" w14:textId="51A566F1" w:rsidR="00E06F14" w:rsidRDefault="00E06F14">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200715775" w:history="1">
        <w:r w:rsidRPr="00131F83">
          <w:rPr>
            <w:rStyle w:val="Hyperlink"/>
            <w:noProof/>
          </w:rPr>
          <w:t>Marine licensing exemptions</w:t>
        </w:r>
        <w:r>
          <w:rPr>
            <w:noProof/>
            <w:webHidden/>
          </w:rPr>
          <w:tab/>
        </w:r>
        <w:r>
          <w:rPr>
            <w:noProof/>
            <w:webHidden/>
          </w:rPr>
          <w:fldChar w:fldCharType="begin"/>
        </w:r>
        <w:r>
          <w:rPr>
            <w:noProof/>
            <w:webHidden/>
          </w:rPr>
          <w:instrText xml:space="preserve"> PAGEREF _Toc200715775 \h </w:instrText>
        </w:r>
        <w:r>
          <w:rPr>
            <w:noProof/>
            <w:webHidden/>
          </w:rPr>
        </w:r>
        <w:r>
          <w:rPr>
            <w:noProof/>
            <w:webHidden/>
          </w:rPr>
          <w:fldChar w:fldCharType="separate"/>
        </w:r>
        <w:r>
          <w:rPr>
            <w:noProof/>
            <w:webHidden/>
          </w:rPr>
          <w:t>11</w:t>
        </w:r>
        <w:r>
          <w:rPr>
            <w:noProof/>
            <w:webHidden/>
          </w:rPr>
          <w:fldChar w:fldCharType="end"/>
        </w:r>
      </w:hyperlink>
    </w:p>
    <w:p w14:paraId="43823CCD" w14:textId="1583536C" w:rsidR="00E06F14" w:rsidRDefault="00E06F14">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200715776" w:history="1">
        <w:r w:rsidRPr="00131F83">
          <w:rPr>
            <w:rStyle w:val="Hyperlink"/>
            <w:noProof/>
          </w:rPr>
          <w:t>Using and sharing your information</w:t>
        </w:r>
        <w:r>
          <w:rPr>
            <w:noProof/>
            <w:webHidden/>
          </w:rPr>
          <w:tab/>
        </w:r>
        <w:r>
          <w:rPr>
            <w:noProof/>
            <w:webHidden/>
          </w:rPr>
          <w:fldChar w:fldCharType="begin"/>
        </w:r>
        <w:r>
          <w:rPr>
            <w:noProof/>
            <w:webHidden/>
          </w:rPr>
          <w:instrText xml:space="preserve"> PAGEREF _Toc200715776 \h </w:instrText>
        </w:r>
        <w:r>
          <w:rPr>
            <w:noProof/>
            <w:webHidden/>
          </w:rPr>
        </w:r>
        <w:r>
          <w:rPr>
            <w:noProof/>
            <w:webHidden/>
          </w:rPr>
          <w:fldChar w:fldCharType="separate"/>
        </w:r>
        <w:r>
          <w:rPr>
            <w:noProof/>
            <w:webHidden/>
          </w:rPr>
          <w:t>12</w:t>
        </w:r>
        <w:r>
          <w:rPr>
            <w:noProof/>
            <w:webHidden/>
          </w:rPr>
          <w:fldChar w:fldCharType="end"/>
        </w:r>
      </w:hyperlink>
    </w:p>
    <w:p w14:paraId="7663528C" w14:textId="025C0AE4" w:rsidR="00E06F14" w:rsidRDefault="00E06F14">
      <w:pPr>
        <w:pStyle w:val="TOC1"/>
        <w:rPr>
          <w:rFonts w:asciiTheme="minorHAnsi" w:eastAsiaTheme="minorEastAsia" w:hAnsiTheme="minorHAnsi" w:cstheme="minorBidi"/>
          <w:noProof/>
          <w:kern w:val="2"/>
          <w:szCs w:val="24"/>
          <w:lang w:eastAsia="en-GB"/>
          <w14:ligatures w14:val="standardContextual"/>
        </w:rPr>
      </w:pPr>
      <w:hyperlink w:anchor="_Toc200715777" w:history="1">
        <w:r w:rsidRPr="00131F83">
          <w:rPr>
            <w:rStyle w:val="Hyperlink"/>
            <w:noProof/>
          </w:rPr>
          <w:t>Details of proposed amendments</w:t>
        </w:r>
        <w:r>
          <w:rPr>
            <w:noProof/>
            <w:webHidden/>
          </w:rPr>
          <w:tab/>
        </w:r>
        <w:r>
          <w:rPr>
            <w:noProof/>
            <w:webHidden/>
          </w:rPr>
          <w:fldChar w:fldCharType="begin"/>
        </w:r>
        <w:r>
          <w:rPr>
            <w:noProof/>
            <w:webHidden/>
          </w:rPr>
          <w:instrText xml:space="preserve"> PAGEREF _Toc200715777 \h </w:instrText>
        </w:r>
        <w:r>
          <w:rPr>
            <w:noProof/>
            <w:webHidden/>
          </w:rPr>
        </w:r>
        <w:r>
          <w:rPr>
            <w:noProof/>
            <w:webHidden/>
          </w:rPr>
          <w:fldChar w:fldCharType="separate"/>
        </w:r>
        <w:r>
          <w:rPr>
            <w:noProof/>
            <w:webHidden/>
          </w:rPr>
          <w:t>12</w:t>
        </w:r>
        <w:r>
          <w:rPr>
            <w:noProof/>
            <w:webHidden/>
          </w:rPr>
          <w:fldChar w:fldCharType="end"/>
        </w:r>
      </w:hyperlink>
    </w:p>
    <w:p w14:paraId="5B62A90A" w14:textId="31FB760F" w:rsidR="00E06F14" w:rsidRDefault="00E06F14">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200715778" w:history="1">
        <w:r w:rsidRPr="00131F83">
          <w:rPr>
            <w:rStyle w:val="Hyperlink"/>
            <w:noProof/>
          </w:rPr>
          <w:t>New self-service activities</w:t>
        </w:r>
        <w:r>
          <w:rPr>
            <w:noProof/>
            <w:webHidden/>
          </w:rPr>
          <w:tab/>
        </w:r>
        <w:r>
          <w:rPr>
            <w:noProof/>
            <w:webHidden/>
          </w:rPr>
          <w:fldChar w:fldCharType="begin"/>
        </w:r>
        <w:r>
          <w:rPr>
            <w:noProof/>
            <w:webHidden/>
          </w:rPr>
          <w:instrText xml:space="preserve"> PAGEREF _Toc200715778 \h </w:instrText>
        </w:r>
        <w:r>
          <w:rPr>
            <w:noProof/>
            <w:webHidden/>
          </w:rPr>
        </w:r>
        <w:r>
          <w:rPr>
            <w:noProof/>
            <w:webHidden/>
          </w:rPr>
          <w:fldChar w:fldCharType="separate"/>
        </w:r>
        <w:r>
          <w:rPr>
            <w:noProof/>
            <w:webHidden/>
          </w:rPr>
          <w:t>13</w:t>
        </w:r>
        <w:r>
          <w:rPr>
            <w:noProof/>
            <w:webHidden/>
          </w:rPr>
          <w:fldChar w:fldCharType="end"/>
        </w:r>
      </w:hyperlink>
    </w:p>
    <w:p w14:paraId="72FBB8ED" w14:textId="177695FF" w:rsidR="00E06F14" w:rsidRDefault="00E06F14">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200715779" w:history="1">
        <w:r w:rsidRPr="00131F83">
          <w:rPr>
            <w:rStyle w:val="Hyperlink"/>
            <w:noProof/>
          </w:rPr>
          <w:t>New exemptions</w:t>
        </w:r>
        <w:r>
          <w:rPr>
            <w:noProof/>
            <w:webHidden/>
          </w:rPr>
          <w:tab/>
        </w:r>
        <w:r>
          <w:rPr>
            <w:noProof/>
            <w:webHidden/>
          </w:rPr>
          <w:fldChar w:fldCharType="begin"/>
        </w:r>
        <w:r>
          <w:rPr>
            <w:noProof/>
            <w:webHidden/>
          </w:rPr>
          <w:instrText xml:space="preserve"> PAGEREF _Toc200715779 \h </w:instrText>
        </w:r>
        <w:r>
          <w:rPr>
            <w:noProof/>
            <w:webHidden/>
          </w:rPr>
        </w:r>
        <w:r>
          <w:rPr>
            <w:noProof/>
            <w:webHidden/>
          </w:rPr>
          <w:fldChar w:fldCharType="separate"/>
        </w:r>
        <w:r>
          <w:rPr>
            <w:noProof/>
            <w:webHidden/>
          </w:rPr>
          <w:t>15</w:t>
        </w:r>
        <w:r>
          <w:rPr>
            <w:noProof/>
            <w:webHidden/>
          </w:rPr>
          <w:fldChar w:fldCharType="end"/>
        </w:r>
      </w:hyperlink>
    </w:p>
    <w:p w14:paraId="3DF24333" w14:textId="2DBBB0F8" w:rsidR="00E06F14" w:rsidRDefault="00E06F14">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200715780" w:history="1">
        <w:r w:rsidRPr="00131F83">
          <w:rPr>
            <w:rStyle w:val="Hyperlink"/>
            <w:noProof/>
          </w:rPr>
          <w:t>Amendments to existing exemptions</w:t>
        </w:r>
        <w:r>
          <w:rPr>
            <w:noProof/>
            <w:webHidden/>
          </w:rPr>
          <w:tab/>
        </w:r>
        <w:r>
          <w:rPr>
            <w:noProof/>
            <w:webHidden/>
          </w:rPr>
          <w:fldChar w:fldCharType="begin"/>
        </w:r>
        <w:r>
          <w:rPr>
            <w:noProof/>
            <w:webHidden/>
          </w:rPr>
          <w:instrText xml:space="preserve"> PAGEREF _Toc200715780 \h </w:instrText>
        </w:r>
        <w:r>
          <w:rPr>
            <w:noProof/>
            <w:webHidden/>
          </w:rPr>
        </w:r>
        <w:r>
          <w:rPr>
            <w:noProof/>
            <w:webHidden/>
          </w:rPr>
          <w:fldChar w:fldCharType="separate"/>
        </w:r>
        <w:r>
          <w:rPr>
            <w:noProof/>
            <w:webHidden/>
          </w:rPr>
          <w:t>18</w:t>
        </w:r>
        <w:r>
          <w:rPr>
            <w:noProof/>
            <w:webHidden/>
          </w:rPr>
          <w:fldChar w:fldCharType="end"/>
        </w:r>
      </w:hyperlink>
    </w:p>
    <w:p w14:paraId="1208D2F9" w14:textId="2ED94F00" w:rsidR="00E06F14" w:rsidRDefault="00E06F14">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200715781" w:history="1">
        <w:r w:rsidRPr="00131F83">
          <w:rPr>
            <w:rStyle w:val="Hyperlink"/>
            <w:noProof/>
          </w:rPr>
          <w:t>Further changes to self-service activities or exemptions</w:t>
        </w:r>
        <w:r>
          <w:rPr>
            <w:noProof/>
            <w:webHidden/>
          </w:rPr>
          <w:tab/>
        </w:r>
        <w:r>
          <w:rPr>
            <w:noProof/>
            <w:webHidden/>
          </w:rPr>
          <w:fldChar w:fldCharType="begin"/>
        </w:r>
        <w:r>
          <w:rPr>
            <w:noProof/>
            <w:webHidden/>
          </w:rPr>
          <w:instrText xml:space="preserve"> PAGEREF _Toc200715781 \h </w:instrText>
        </w:r>
        <w:r>
          <w:rPr>
            <w:noProof/>
            <w:webHidden/>
          </w:rPr>
        </w:r>
        <w:r>
          <w:rPr>
            <w:noProof/>
            <w:webHidden/>
          </w:rPr>
          <w:fldChar w:fldCharType="separate"/>
        </w:r>
        <w:r>
          <w:rPr>
            <w:noProof/>
            <w:webHidden/>
          </w:rPr>
          <w:t>24</w:t>
        </w:r>
        <w:r>
          <w:rPr>
            <w:noProof/>
            <w:webHidden/>
          </w:rPr>
          <w:fldChar w:fldCharType="end"/>
        </w:r>
      </w:hyperlink>
    </w:p>
    <w:p w14:paraId="77924CF5" w14:textId="00CEDC78" w:rsidR="00E06F14" w:rsidRDefault="00E06F14">
      <w:pPr>
        <w:pStyle w:val="TOC1"/>
        <w:rPr>
          <w:rFonts w:asciiTheme="minorHAnsi" w:eastAsiaTheme="minorEastAsia" w:hAnsiTheme="minorHAnsi" w:cstheme="minorBidi"/>
          <w:noProof/>
          <w:kern w:val="2"/>
          <w:szCs w:val="24"/>
          <w:lang w:eastAsia="en-GB"/>
          <w14:ligatures w14:val="standardContextual"/>
        </w:rPr>
      </w:pPr>
      <w:hyperlink w:anchor="_Toc200715782" w:history="1">
        <w:r w:rsidRPr="00131F83">
          <w:rPr>
            <w:rStyle w:val="Hyperlink"/>
            <w:noProof/>
          </w:rPr>
          <w:t>Marine licensing cost recovery</w:t>
        </w:r>
        <w:r>
          <w:rPr>
            <w:noProof/>
            <w:webHidden/>
          </w:rPr>
          <w:tab/>
        </w:r>
        <w:r>
          <w:rPr>
            <w:noProof/>
            <w:webHidden/>
          </w:rPr>
          <w:fldChar w:fldCharType="begin"/>
        </w:r>
        <w:r>
          <w:rPr>
            <w:noProof/>
            <w:webHidden/>
          </w:rPr>
          <w:instrText xml:space="preserve"> PAGEREF _Toc200715782 \h </w:instrText>
        </w:r>
        <w:r>
          <w:rPr>
            <w:noProof/>
            <w:webHidden/>
          </w:rPr>
        </w:r>
        <w:r>
          <w:rPr>
            <w:noProof/>
            <w:webHidden/>
          </w:rPr>
          <w:fldChar w:fldCharType="separate"/>
        </w:r>
        <w:r>
          <w:rPr>
            <w:noProof/>
            <w:webHidden/>
          </w:rPr>
          <w:t>25</w:t>
        </w:r>
        <w:r>
          <w:rPr>
            <w:noProof/>
            <w:webHidden/>
          </w:rPr>
          <w:fldChar w:fldCharType="end"/>
        </w:r>
      </w:hyperlink>
    </w:p>
    <w:p w14:paraId="429F3D2D" w14:textId="037B8267" w:rsidR="00E06F14" w:rsidRDefault="00E06F14">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200715783" w:history="1">
        <w:r w:rsidRPr="00131F83">
          <w:rPr>
            <w:rStyle w:val="Hyperlink"/>
            <w:noProof/>
          </w:rPr>
          <w:t>Current marine licensing fee structure</w:t>
        </w:r>
        <w:r>
          <w:rPr>
            <w:noProof/>
            <w:webHidden/>
          </w:rPr>
          <w:tab/>
        </w:r>
        <w:r>
          <w:rPr>
            <w:noProof/>
            <w:webHidden/>
          </w:rPr>
          <w:fldChar w:fldCharType="begin"/>
        </w:r>
        <w:r>
          <w:rPr>
            <w:noProof/>
            <w:webHidden/>
          </w:rPr>
          <w:instrText xml:space="preserve"> PAGEREF _Toc200715783 \h </w:instrText>
        </w:r>
        <w:r>
          <w:rPr>
            <w:noProof/>
            <w:webHidden/>
          </w:rPr>
        </w:r>
        <w:r>
          <w:rPr>
            <w:noProof/>
            <w:webHidden/>
          </w:rPr>
          <w:fldChar w:fldCharType="separate"/>
        </w:r>
        <w:r>
          <w:rPr>
            <w:noProof/>
            <w:webHidden/>
          </w:rPr>
          <w:t>25</w:t>
        </w:r>
        <w:r>
          <w:rPr>
            <w:noProof/>
            <w:webHidden/>
          </w:rPr>
          <w:fldChar w:fldCharType="end"/>
        </w:r>
      </w:hyperlink>
    </w:p>
    <w:p w14:paraId="71FAD005" w14:textId="0C424977" w:rsidR="00E06F14" w:rsidRDefault="00E06F14">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200715784" w:history="1">
        <w:r w:rsidRPr="00131F83">
          <w:rPr>
            <w:rStyle w:val="Hyperlink"/>
            <w:noProof/>
          </w:rPr>
          <w:t>Review of marine licensing cost recovery</w:t>
        </w:r>
        <w:r>
          <w:rPr>
            <w:noProof/>
            <w:webHidden/>
          </w:rPr>
          <w:tab/>
        </w:r>
        <w:r>
          <w:rPr>
            <w:noProof/>
            <w:webHidden/>
          </w:rPr>
          <w:fldChar w:fldCharType="begin"/>
        </w:r>
        <w:r>
          <w:rPr>
            <w:noProof/>
            <w:webHidden/>
          </w:rPr>
          <w:instrText xml:space="preserve"> PAGEREF _Toc200715784 \h </w:instrText>
        </w:r>
        <w:r>
          <w:rPr>
            <w:noProof/>
            <w:webHidden/>
          </w:rPr>
        </w:r>
        <w:r>
          <w:rPr>
            <w:noProof/>
            <w:webHidden/>
          </w:rPr>
          <w:fldChar w:fldCharType="separate"/>
        </w:r>
        <w:r>
          <w:rPr>
            <w:noProof/>
            <w:webHidden/>
          </w:rPr>
          <w:t>29</w:t>
        </w:r>
        <w:r>
          <w:rPr>
            <w:noProof/>
            <w:webHidden/>
          </w:rPr>
          <w:fldChar w:fldCharType="end"/>
        </w:r>
      </w:hyperlink>
    </w:p>
    <w:p w14:paraId="3E0B4681" w14:textId="02B4CDA2" w:rsidR="00E06F14" w:rsidRDefault="00E06F14">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200715785" w:history="1">
        <w:r w:rsidRPr="00131F83">
          <w:rPr>
            <w:rStyle w:val="Hyperlink"/>
            <w:noProof/>
          </w:rPr>
          <w:t>Details of proposed amendments</w:t>
        </w:r>
        <w:r>
          <w:rPr>
            <w:noProof/>
            <w:webHidden/>
          </w:rPr>
          <w:tab/>
        </w:r>
        <w:r>
          <w:rPr>
            <w:noProof/>
            <w:webHidden/>
          </w:rPr>
          <w:fldChar w:fldCharType="begin"/>
        </w:r>
        <w:r>
          <w:rPr>
            <w:noProof/>
            <w:webHidden/>
          </w:rPr>
          <w:instrText xml:space="preserve"> PAGEREF _Toc200715785 \h </w:instrText>
        </w:r>
        <w:r>
          <w:rPr>
            <w:noProof/>
            <w:webHidden/>
          </w:rPr>
        </w:r>
        <w:r>
          <w:rPr>
            <w:noProof/>
            <w:webHidden/>
          </w:rPr>
          <w:fldChar w:fldCharType="separate"/>
        </w:r>
        <w:r>
          <w:rPr>
            <w:noProof/>
            <w:webHidden/>
          </w:rPr>
          <w:t>30</w:t>
        </w:r>
        <w:r>
          <w:rPr>
            <w:noProof/>
            <w:webHidden/>
          </w:rPr>
          <w:fldChar w:fldCharType="end"/>
        </w:r>
      </w:hyperlink>
    </w:p>
    <w:p w14:paraId="519C91E9" w14:textId="0578F218" w:rsidR="00E06F14" w:rsidRDefault="00E06F14">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200715786" w:history="1">
        <w:r w:rsidRPr="00131F83">
          <w:rPr>
            <w:rStyle w:val="Hyperlink"/>
            <w:noProof/>
          </w:rPr>
          <w:t>Description of transitional policy</w:t>
        </w:r>
        <w:r>
          <w:rPr>
            <w:noProof/>
            <w:webHidden/>
          </w:rPr>
          <w:tab/>
        </w:r>
        <w:r>
          <w:rPr>
            <w:noProof/>
            <w:webHidden/>
          </w:rPr>
          <w:fldChar w:fldCharType="begin"/>
        </w:r>
        <w:r>
          <w:rPr>
            <w:noProof/>
            <w:webHidden/>
          </w:rPr>
          <w:instrText xml:space="preserve"> PAGEREF _Toc200715786 \h </w:instrText>
        </w:r>
        <w:r>
          <w:rPr>
            <w:noProof/>
            <w:webHidden/>
          </w:rPr>
        </w:r>
        <w:r>
          <w:rPr>
            <w:noProof/>
            <w:webHidden/>
          </w:rPr>
          <w:fldChar w:fldCharType="separate"/>
        </w:r>
        <w:r>
          <w:rPr>
            <w:noProof/>
            <w:webHidden/>
          </w:rPr>
          <w:t>35</w:t>
        </w:r>
        <w:r>
          <w:rPr>
            <w:noProof/>
            <w:webHidden/>
          </w:rPr>
          <w:fldChar w:fldCharType="end"/>
        </w:r>
      </w:hyperlink>
    </w:p>
    <w:p w14:paraId="7E9689AF" w14:textId="024F122A" w:rsidR="00E06F14" w:rsidRDefault="00E06F14">
      <w:pPr>
        <w:pStyle w:val="TOC1"/>
        <w:rPr>
          <w:rFonts w:asciiTheme="minorHAnsi" w:eastAsiaTheme="minorEastAsia" w:hAnsiTheme="minorHAnsi" w:cstheme="minorBidi"/>
          <w:noProof/>
          <w:kern w:val="2"/>
          <w:szCs w:val="24"/>
          <w:lang w:eastAsia="en-GB"/>
          <w14:ligatures w14:val="standardContextual"/>
        </w:rPr>
      </w:pPr>
      <w:hyperlink w:anchor="_Toc200715787" w:history="1">
        <w:r w:rsidRPr="00131F83">
          <w:rPr>
            <w:rStyle w:val="Hyperlink"/>
            <w:noProof/>
          </w:rPr>
          <w:t>Consultee feedback on the online survey</w:t>
        </w:r>
        <w:r>
          <w:rPr>
            <w:noProof/>
            <w:webHidden/>
          </w:rPr>
          <w:tab/>
        </w:r>
        <w:r>
          <w:rPr>
            <w:noProof/>
            <w:webHidden/>
          </w:rPr>
          <w:fldChar w:fldCharType="begin"/>
        </w:r>
        <w:r>
          <w:rPr>
            <w:noProof/>
            <w:webHidden/>
          </w:rPr>
          <w:instrText xml:space="preserve"> PAGEREF _Toc200715787 \h </w:instrText>
        </w:r>
        <w:r>
          <w:rPr>
            <w:noProof/>
            <w:webHidden/>
          </w:rPr>
        </w:r>
        <w:r>
          <w:rPr>
            <w:noProof/>
            <w:webHidden/>
          </w:rPr>
          <w:fldChar w:fldCharType="separate"/>
        </w:r>
        <w:r>
          <w:rPr>
            <w:noProof/>
            <w:webHidden/>
          </w:rPr>
          <w:t>38</w:t>
        </w:r>
        <w:r>
          <w:rPr>
            <w:noProof/>
            <w:webHidden/>
          </w:rPr>
          <w:fldChar w:fldCharType="end"/>
        </w:r>
      </w:hyperlink>
    </w:p>
    <w:p w14:paraId="702CE9F2" w14:textId="612265F8" w:rsidR="00E06F14" w:rsidRDefault="00E06F14">
      <w:pPr>
        <w:pStyle w:val="TOC1"/>
        <w:rPr>
          <w:rFonts w:asciiTheme="minorHAnsi" w:eastAsiaTheme="minorEastAsia" w:hAnsiTheme="minorHAnsi" w:cstheme="minorBidi"/>
          <w:noProof/>
          <w:kern w:val="2"/>
          <w:szCs w:val="24"/>
          <w:lang w:eastAsia="en-GB"/>
          <w14:ligatures w14:val="standardContextual"/>
        </w:rPr>
      </w:pPr>
      <w:hyperlink w:anchor="_Toc200715788" w:history="1">
        <w:r w:rsidRPr="00131F83">
          <w:rPr>
            <w:rStyle w:val="Hyperlink"/>
            <w:noProof/>
          </w:rPr>
          <w:t>How to respond and next steps</w:t>
        </w:r>
        <w:r>
          <w:rPr>
            <w:noProof/>
            <w:webHidden/>
          </w:rPr>
          <w:tab/>
        </w:r>
        <w:r>
          <w:rPr>
            <w:noProof/>
            <w:webHidden/>
          </w:rPr>
          <w:fldChar w:fldCharType="begin"/>
        </w:r>
        <w:r>
          <w:rPr>
            <w:noProof/>
            <w:webHidden/>
          </w:rPr>
          <w:instrText xml:space="preserve"> PAGEREF _Toc200715788 \h </w:instrText>
        </w:r>
        <w:r>
          <w:rPr>
            <w:noProof/>
            <w:webHidden/>
          </w:rPr>
        </w:r>
        <w:r>
          <w:rPr>
            <w:noProof/>
            <w:webHidden/>
          </w:rPr>
          <w:fldChar w:fldCharType="separate"/>
        </w:r>
        <w:r>
          <w:rPr>
            <w:noProof/>
            <w:webHidden/>
          </w:rPr>
          <w:t>38</w:t>
        </w:r>
        <w:r>
          <w:rPr>
            <w:noProof/>
            <w:webHidden/>
          </w:rPr>
          <w:fldChar w:fldCharType="end"/>
        </w:r>
      </w:hyperlink>
    </w:p>
    <w:p w14:paraId="0617CDFF" w14:textId="6FC13F91" w:rsidR="00E06F14" w:rsidRDefault="00E06F14">
      <w:pPr>
        <w:pStyle w:val="TOC1"/>
        <w:rPr>
          <w:rFonts w:asciiTheme="minorHAnsi" w:eastAsiaTheme="minorEastAsia" w:hAnsiTheme="minorHAnsi" w:cstheme="minorBidi"/>
          <w:noProof/>
          <w:kern w:val="2"/>
          <w:szCs w:val="24"/>
          <w:lang w:eastAsia="en-GB"/>
          <w14:ligatures w14:val="standardContextual"/>
        </w:rPr>
      </w:pPr>
      <w:hyperlink w:anchor="_Toc200715789" w:history="1">
        <w:r w:rsidRPr="00131F83">
          <w:rPr>
            <w:rStyle w:val="Hyperlink"/>
            <w:noProof/>
          </w:rPr>
          <w:t>Acronyms</w:t>
        </w:r>
        <w:r>
          <w:rPr>
            <w:noProof/>
            <w:webHidden/>
          </w:rPr>
          <w:tab/>
        </w:r>
        <w:r>
          <w:rPr>
            <w:noProof/>
            <w:webHidden/>
          </w:rPr>
          <w:fldChar w:fldCharType="begin"/>
        </w:r>
        <w:r>
          <w:rPr>
            <w:noProof/>
            <w:webHidden/>
          </w:rPr>
          <w:instrText xml:space="preserve"> PAGEREF _Toc200715789 \h </w:instrText>
        </w:r>
        <w:r>
          <w:rPr>
            <w:noProof/>
            <w:webHidden/>
          </w:rPr>
        </w:r>
        <w:r>
          <w:rPr>
            <w:noProof/>
            <w:webHidden/>
          </w:rPr>
          <w:fldChar w:fldCharType="separate"/>
        </w:r>
        <w:r>
          <w:rPr>
            <w:noProof/>
            <w:webHidden/>
          </w:rPr>
          <w:t>38</w:t>
        </w:r>
        <w:r>
          <w:rPr>
            <w:noProof/>
            <w:webHidden/>
          </w:rPr>
          <w:fldChar w:fldCharType="end"/>
        </w:r>
      </w:hyperlink>
    </w:p>
    <w:p w14:paraId="5A466476" w14:textId="07ABA940" w:rsidR="00E06F14" w:rsidRDefault="00E06F14">
      <w:pPr>
        <w:pStyle w:val="TOC1"/>
        <w:rPr>
          <w:rFonts w:asciiTheme="minorHAnsi" w:eastAsiaTheme="minorEastAsia" w:hAnsiTheme="minorHAnsi" w:cstheme="minorBidi"/>
          <w:noProof/>
          <w:kern w:val="2"/>
          <w:szCs w:val="24"/>
          <w:lang w:eastAsia="en-GB"/>
          <w14:ligatures w14:val="standardContextual"/>
        </w:rPr>
      </w:pPr>
      <w:hyperlink w:anchor="_Toc200715790" w:history="1">
        <w:r w:rsidRPr="00131F83">
          <w:rPr>
            <w:rStyle w:val="Hyperlink"/>
            <w:noProof/>
          </w:rPr>
          <w:t>Annex A: HPMA exemption amendments</w:t>
        </w:r>
        <w:r>
          <w:rPr>
            <w:noProof/>
            <w:webHidden/>
          </w:rPr>
          <w:tab/>
        </w:r>
        <w:r>
          <w:rPr>
            <w:noProof/>
            <w:webHidden/>
          </w:rPr>
          <w:fldChar w:fldCharType="begin"/>
        </w:r>
        <w:r>
          <w:rPr>
            <w:noProof/>
            <w:webHidden/>
          </w:rPr>
          <w:instrText xml:space="preserve"> PAGEREF _Toc200715790 \h </w:instrText>
        </w:r>
        <w:r>
          <w:rPr>
            <w:noProof/>
            <w:webHidden/>
          </w:rPr>
        </w:r>
        <w:r>
          <w:rPr>
            <w:noProof/>
            <w:webHidden/>
          </w:rPr>
          <w:fldChar w:fldCharType="separate"/>
        </w:r>
        <w:r>
          <w:rPr>
            <w:noProof/>
            <w:webHidden/>
          </w:rPr>
          <w:t>39</w:t>
        </w:r>
        <w:r>
          <w:rPr>
            <w:noProof/>
            <w:webHidden/>
          </w:rPr>
          <w:fldChar w:fldCharType="end"/>
        </w:r>
      </w:hyperlink>
    </w:p>
    <w:p w14:paraId="0A1C11E4" w14:textId="1904F0C3" w:rsidR="05A53E98" w:rsidRDefault="05A53E98" w:rsidP="0065755D">
      <w:pPr>
        <w:pStyle w:val="TOC1"/>
      </w:pPr>
      <w:r>
        <w:fldChar w:fldCharType="end"/>
      </w:r>
    </w:p>
    <w:p w14:paraId="0E27B00A" w14:textId="77777777" w:rsidR="00767D4F" w:rsidRPr="00DE285F" w:rsidRDefault="000239B6" w:rsidP="2C6EB9A8">
      <w:pPr>
        <w:spacing w:before="0" w:after="0" w:line="240" w:lineRule="auto"/>
        <w:jc w:val="both"/>
        <w:textAlignment w:val="baseline"/>
        <w:rPr>
          <w:rFonts w:ascii="Segoe UI" w:hAnsi="Segoe UI" w:cs="Segoe UI"/>
          <w:noProof/>
          <w:lang w:eastAsia="en-GB"/>
        </w:rPr>
      </w:pPr>
      <w:r>
        <w:br w:type="page"/>
      </w:r>
      <w:bookmarkStart w:id="4" w:name="_Toc522629668"/>
      <w:bookmarkStart w:id="5" w:name="_Toc522629671"/>
      <w:bookmarkEnd w:id="3"/>
    </w:p>
    <w:p w14:paraId="5AFB387A" w14:textId="09A2B68B" w:rsidR="008B0715" w:rsidRDefault="354A94BA" w:rsidP="00F32B35">
      <w:pPr>
        <w:pStyle w:val="Heading1"/>
        <w:jc w:val="both"/>
      </w:pPr>
      <w:bookmarkStart w:id="6" w:name="_Toc76482952"/>
      <w:bookmarkStart w:id="7" w:name="_Toc200715766"/>
      <w:r>
        <w:lastRenderedPageBreak/>
        <w:t>Executive summary</w:t>
      </w:r>
      <w:bookmarkEnd w:id="6"/>
      <w:bookmarkEnd w:id="7"/>
    </w:p>
    <w:p w14:paraId="7A9F47E7" w14:textId="270413CE" w:rsidR="00134730" w:rsidRDefault="008B0715" w:rsidP="00F32B35">
      <w:pPr>
        <w:jc w:val="both"/>
      </w:pPr>
      <w:r>
        <w:t xml:space="preserve">The UK </w:t>
      </w:r>
      <w:r w:rsidR="28520B64">
        <w:t>G</w:t>
      </w:r>
      <w:r>
        <w:t xml:space="preserve">overnment’s vision is to have clean, healthy, safe, productive and biologically diverse oceans and seas. To help achieve this vision, </w:t>
      </w:r>
      <w:hyperlink r:id="rId19">
        <w:r w:rsidRPr="2A599861">
          <w:rPr>
            <w:rStyle w:val="Hyperlink"/>
          </w:rPr>
          <w:t>the Marine and Coastal Access Act 2009</w:t>
        </w:r>
      </w:hyperlink>
      <w:r>
        <w:t xml:space="preserve"> (MCAA</w:t>
      </w:r>
      <w:r w:rsidR="00E42232">
        <w:t xml:space="preserve">) </w:t>
      </w:r>
      <w:r>
        <w:t>introduced the current marine licensing system, which came into effect in April 2011.</w:t>
      </w:r>
      <w:r w:rsidR="00986F9C">
        <w:t xml:space="preserve"> </w:t>
      </w:r>
      <w:r w:rsidR="009B4B97">
        <w:t>The Marine Management Organisation (MMO) was created by MCAA</w:t>
      </w:r>
      <w:r w:rsidR="00134730">
        <w:t xml:space="preserve"> </w:t>
      </w:r>
      <w:r w:rsidR="009B4B97">
        <w:t>and</w:t>
      </w:r>
      <w:r w:rsidR="00134730">
        <w:t xml:space="preserve"> has responsibility for marine licensing in the English inshore and offshore region and the Northern Ireland offshore region.</w:t>
      </w:r>
    </w:p>
    <w:p w14:paraId="470FD996" w14:textId="77777777" w:rsidR="008B0715" w:rsidRDefault="008B0715" w:rsidP="00F32B35">
      <w:pPr>
        <w:jc w:val="both"/>
      </w:pPr>
      <w:r w:rsidRPr="00452E70">
        <w:t xml:space="preserve">Marine licensing covers a diverse range of activities from </w:t>
      </w:r>
      <w:r>
        <w:t>sea wall repairs</w:t>
      </w:r>
      <w:r w:rsidRPr="00452E70">
        <w:t xml:space="preserve"> through to large scale infrastructure developments</w:t>
      </w:r>
      <w:r>
        <w:rPr>
          <w:rStyle w:val="FootnoteReference"/>
        </w:rPr>
        <w:footnoteReference w:id="2"/>
      </w:r>
      <w:r w:rsidRPr="00452E70">
        <w:t xml:space="preserve">. </w:t>
      </w:r>
      <w:r w:rsidR="470E815F">
        <w:t>Marine licensing</w:t>
      </w:r>
      <w:r>
        <w:t xml:space="preserve"> aims to facilitate the sustainable use of the marine environment, so that activities can be permitted whilst </w:t>
      </w:r>
      <w:r w:rsidR="00134730">
        <w:t>minimising</w:t>
      </w:r>
      <w:r>
        <w:t xml:space="preserve"> any environmental impacts and preventing interference with other legitimate uses of the sea</w:t>
      </w:r>
      <w:r w:rsidR="00134730">
        <w:t>, such as risks to navigation</w:t>
      </w:r>
      <w:r>
        <w:t>.</w:t>
      </w:r>
    </w:p>
    <w:p w14:paraId="65B09D7C" w14:textId="7DCF6B4E" w:rsidR="004C741D" w:rsidRDefault="008B0715" w:rsidP="00F32B35">
      <w:pPr>
        <w:jc w:val="both"/>
      </w:pPr>
      <w:r>
        <w:t xml:space="preserve">As the marine space becomes busier, we recognise </w:t>
      </w:r>
      <w:r w:rsidR="00820B08">
        <w:t>it</w:t>
      </w:r>
      <w:r>
        <w:t xml:space="preserve"> </w:t>
      </w:r>
      <w:r w:rsidR="00820B08">
        <w:t>may</w:t>
      </w:r>
      <w:r>
        <w:t xml:space="preserve"> </w:t>
      </w:r>
      <w:r w:rsidR="00820B08">
        <w:t xml:space="preserve">become more difficult for regulators to make decisions that achieve sustainable development </w:t>
      </w:r>
      <w:r w:rsidR="004B3D19">
        <w:t>whilst balancing</w:t>
      </w:r>
      <w:r w:rsidR="00820B08">
        <w:t xml:space="preserve"> legitimate uses of the sea</w:t>
      </w:r>
      <w:r>
        <w:t>. It is important that we ensure that the marine licensing system is efficient and supports wider delivery of government policies</w:t>
      </w:r>
      <w:r w:rsidR="004C741D">
        <w:t>, whilst maintaining its commitments to environmental protection and sustainable development</w:t>
      </w:r>
      <w:r>
        <w:t xml:space="preserve">. </w:t>
      </w:r>
    </w:p>
    <w:p w14:paraId="4009A121" w14:textId="605A515E" w:rsidR="004C741D" w:rsidRDefault="3F1D948F" w:rsidP="00F32B35">
      <w:pPr>
        <w:jc w:val="both"/>
      </w:pPr>
      <w:r>
        <w:t xml:space="preserve">As part of streamlining and improving the efficiency of marine licensing, </w:t>
      </w:r>
      <w:r w:rsidR="008B0715">
        <w:t>we wish to gather views</w:t>
      </w:r>
      <w:r w:rsidR="393B304D">
        <w:t xml:space="preserve"> through this consultation</w:t>
      </w:r>
      <w:r w:rsidR="008B0715">
        <w:t xml:space="preserve"> on proposed amendments to marine licensing</w:t>
      </w:r>
      <w:r w:rsidR="00135701">
        <w:t xml:space="preserve"> cost recovery,</w:t>
      </w:r>
      <w:r w:rsidR="008B0715">
        <w:t xml:space="preserve"> exemptions and ‘self-service’ licences.  </w:t>
      </w:r>
    </w:p>
    <w:p w14:paraId="69CD6066" w14:textId="57FB0383" w:rsidR="004C741D" w:rsidRDefault="00707F46" w:rsidP="00F32B35">
      <w:pPr>
        <w:jc w:val="both"/>
      </w:pPr>
      <w:bookmarkStart w:id="8" w:name="_Hlk85616300"/>
      <w:r>
        <w:t>We propose to</w:t>
      </w:r>
      <w:r w:rsidR="004C741D">
        <w:t>:</w:t>
      </w:r>
    </w:p>
    <w:p w14:paraId="1BA8A58E" w14:textId="5624F262" w:rsidR="004C741D" w:rsidRDefault="1DBCA17A" w:rsidP="004C741D">
      <w:pPr>
        <w:pStyle w:val="ListParagraph"/>
        <w:numPr>
          <w:ilvl w:val="0"/>
          <w:numId w:val="24"/>
        </w:numPr>
        <w:jc w:val="both"/>
      </w:pPr>
      <w:r w:rsidRPr="192489D1">
        <w:rPr>
          <w:b/>
          <w:bCs/>
        </w:rPr>
        <w:t>a</w:t>
      </w:r>
      <w:r w:rsidR="274E8F7A" w:rsidRPr="192489D1">
        <w:rPr>
          <w:b/>
          <w:bCs/>
        </w:rPr>
        <w:t xml:space="preserve">dd </w:t>
      </w:r>
      <w:r w:rsidR="0FCAC871" w:rsidRPr="192489D1">
        <w:rPr>
          <w:b/>
          <w:bCs/>
        </w:rPr>
        <w:t>5</w:t>
      </w:r>
      <w:r w:rsidR="66232D3D" w:rsidRPr="192489D1">
        <w:rPr>
          <w:b/>
          <w:bCs/>
        </w:rPr>
        <w:t xml:space="preserve"> new </w:t>
      </w:r>
      <w:r w:rsidR="274E8F7A" w:rsidRPr="192489D1">
        <w:rPr>
          <w:b/>
          <w:bCs/>
        </w:rPr>
        <w:t>exemptions</w:t>
      </w:r>
      <w:r w:rsidR="671B5E28">
        <w:t xml:space="preserve"> </w:t>
      </w:r>
      <w:r w:rsidR="274E8F7A">
        <w:t>for activities which we believe are unlikely to conflict with sustainable development</w:t>
      </w:r>
    </w:p>
    <w:p w14:paraId="66F4EBCC" w14:textId="16090408" w:rsidR="004C741D" w:rsidRDefault="683CF33C" w:rsidP="004C741D">
      <w:pPr>
        <w:pStyle w:val="ListParagraph"/>
        <w:numPr>
          <w:ilvl w:val="0"/>
          <w:numId w:val="24"/>
        </w:numPr>
        <w:jc w:val="both"/>
      </w:pPr>
      <w:r w:rsidRPr="192489D1">
        <w:rPr>
          <w:b/>
          <w:bCs/>
        </w:rPr>
        <w:t>a</w:t>
      </w:r>
      <w:r w:rsidR="66232D3D" w:rsidRPr="192489D1">
        <w:rPr>
          <w:b/>
          <w:bCs/>
        </w:rPr>
        <w:t xml:space="preserve">mend </w:t>
      </w:r>
      <w:r w:rsidR="0A9FF1A4" w:rsidRPr="192489D1">
        <w:rPr>
          <w:b/>
          <w:bCs/>
        </w:rPr>
        <w:t>4</w:t>
      </w:r>
      <w:r w:rsidR="66232D3D" w:rsidRPr="192489D1">
        <w:rPr>
          <w:b/>
          <w:bCs/>
        </w:rPr>
        <w:t xml:space="preserve"> existing exemptions</w:t>
      </w:r>
      <w:r w:rsidR="66232D3D">
        <w:t xml:space="preserve"> to widen their scope to increase clarity or include the use of techniques and technologies capable of further reducing environmental impact</w:t>
      </w:r>
    </w:p>
    <w:p w14:paraId="6300B2A8" w14:textId="3E83F3EC" w:rsidR="004C741D" w:rsidRDefault="459B8DAF" w:rsidP="004C741D">
      <w:pPr>
        <w:pStyle w:val="ListParagraph"/>
        <w:numPr>
          <w:ilvl w:val="0"/>
          <w:numId w:val="24"/>
        </w:numPr>
        <w:jc w:val="both"/>
      </w:pPr>
      <w:r w:rsidRPr="192489D1">
        <w:rPr>
          <w:b/>
          <w:bCs/>
        </w:rPr>
        <w:t>r</w:t>
      </w:r>
      <w:r w:rsidR="274E8F7A" w:rsidRPr="192489D1">
        <w:rPr>
          <w:b/>
          <w:bCs/>
        </w:rPr>
        <w:t>emove</w:t>
      </w:r>
      <w:r w:rsidR="66232D3D" w:rsidRPr="192489D1">
        <w:rPr>
          <w:b/>
          <w:bCs/>
        </w:rPr>
        <w:t xml:space="preserve"> existing</w:t>
      </w:r>
      <w:r w:rsidR="274E8F7A" w:rsidRPr="192489D1">
        <w:rPr>
          <w:b/>
          <w:bCs/>
        </w:rPr>
        <w:t xml:space="preserve"> exemptions</w:t>
      </w:r>
      <w:r w:rsidR="274E8F7A">
        <w:t xml:space="preserve"> for activities where their continued exemption is likely to</w:t>
      </w:r>
      <w:r w:rsidR="66232D3D">
        <w:t xml:space="preserve"> negatively</w:t>
      </w:r>
      <w:r w:rsidR="274E8F7A">
        <w:t xml:space="preserve"> </w:t>
      </w:r>
      <w:r w:rsidR="66232D3D">
        <w:t xml:space="preserve">impact </w:t>
      </w:r>
      <w:r w:rsidR="274E8F7A">
        <w:t xml:space="preserve">the environment </w:t>
      </w:r>
      <w:r w:rsidR="71EDFA2F">
        <w:t>-</w:t>
      </w:r>
      <w:r w:rsidR="6C574D22">
        <w:t xml:space="preserve"> </w:t>
      </w:r>
      <w:r w:rsidR="0B17395F">
        <w:t>such as</w:t>
      </w:r>
      <w:r w:rsidR="6C574D22">
        <w:t xml:space="preserve"> </w:t>
      </w:r>
      <w:r w:rsidR="0B17395F">
        <w:t xml:space="preserve">disapplying existing exemptions in the context of activities occurring in or near </w:t>
      </w:r>
      <w:r w:rsidR="42EB1BCB">
        <w:t>H</w:t>
      </w:r>
      <w:r w:rsidR="28CCF66F">
        <w:t xml:space="preserve">ighly </w:t>
      </w:r>
      <w:r w:rsidR="323FB9E1">
        <w:t>P</w:t>
      </w:r>
      <w:r w:rsidR="28CCF66F">
        <w:t xml:space="preserve">rotected </w:t>
      </w:r>
      <w:r w:rsidR="4E4DF917">
        <w:t>M</w:t>
      </w:r>
      <w:r w:rsidR="28CCF66F">
        <w:t xml:space="preserve">arine </w:t>
      </w:r>
      <w:r w:rsidR="1C7EA27C">
        <w:t>A</w:t>
      </w:r>
      <w:r w:rsidR="0B17395F">
        <w:t>reas (HPMAs) to prevent</w:t>
      </w:r>
      <w:r w:rsidR="652C437D">
        <w:t xml:space="preserve"> activities</w:t>
      </w:r>
      <w:r w:rsidR="6C574D22">
        <w:t xml:space="preserve"> </w:t>
      </w:r>
      <w:r w:rsidR="788D89A5">
        <w:t xml:space="preserve">that could risk </w:t>
      </w:r>
      <w:r w:rsidR="0B17395F">
        <w:t>affecting the conservation objectives of these sites</w:t>
      </w:r>
      <w:r w:rsidR="371CABF5">
        <w:t xml:space="preserve"> </w:t>
      </w:r>
    </w:p>
    <w:p w14:paraId="60061E4C" w14:textId="53740AF1" w:rsidR="00C44E28" w:rsidRPr="00C44E28" w:rsidRDefault="37292764" w:rsidP="000E353E">
      <w:pPr>
        <w:pStyle w:val="ListParagraph"/>
        <w:numPr>
          <w:ilvl w:val="0"/>
          <w:numId w:val="24"/>
        </w:numPr>
        <w:jc w:val="both"/>
      </w:pPr>
      <w:r w:rsidRPr="192489D1">
        <w:rPr>
          <w:b/>
          <w:bCs/>
        </w:rPr>
        <w:t>a</w:t>
      </w:r>
      <w:r w:rsidR="66232D3D" w:rsidRPr="192489D1">
        <w:rPr>
          <w:b/>
          <w:bCs/>
        </w:rPr>
        <w:t xml:space="preserve">dd </w:t>
      </w:r>
      <w:r w:rsidR="0A9FF1A4" w:rsidRPr="192489D1">
        <w:rPr>
          <w:b/>
          <w:bCs/>
        </w:rPr>
        <w:t>2</w:t>
      </w:r>
      <w:r w:rsidR="66232D3D" w:rsidRPr="192489D1">
        <w:rPr>
          <w:b/>
          <w:bCs/>
        </w:rPr>
        <w:t xml:space="preserve"> new self-service activities</w:t>
      </w:r>
      <w:r w:rsidR="66232D3D">
        <w:t xml:space="preserve"> to improve consenting timeframes for low impact activities</w:t>
      </w:r>
    </w:p>
    <w:p w14:paraId="20CF2B61" w14:textId="021BB416" w:rsidR="004C741D" w:rsidRPr="004C741D" w:rsidRDefault="167600F5" w:rsidP="00F32B35">
      <w:pPr>
        <w:pStyle w:val="ListParagraph"/>
        <w:numPr>
          <w:ilvl w:val="0"/>
          <w:numId w:val="24"/>
        </w:numPr>
        <w:jc w:val="both"/>
      </w:pPr>
      <w:r w:rsidRPr="09045962">
        <w:rPr>
          <w:b/>
          <w:bCs/>
        </w:rPr>
        <w:lastRenderedPageBreak/>
        <w:t>i</w:t>
      </w:r>
      <w:r w:rsidR="6F2FB2A2" w:rsidRPr="002D4504">
        <w:rPr>
          <w:b/>
          <w:bCs/>
        </w:rPr>
        <w:t>mprove the MMO</w:t>
      </w:r>
      <w:r w:rsidR="12E7D534">
        <w:rPr>
          <w:b/>
          <w:bCs/>
        </w:rPr>
        <w:t>’s</w:t>
      </w:r>
      <w:r w:rsidR="6F2FB2A2" w:rsidRPr="002D4504">
        <w:rPr>
          <w:b/>
          <w:bCs/>
        </w:rPr>
        <w:t xml:space="preserve"> ability to recover costs</w:t>
      </w:r>
      <w:r w:rsidR="6F2FB2A2">
        <w:t xml:space="preserve"> incurred from marine licensing services</w:t>
      </w:r>
      <w:r w:rsidR="66232D3D">
        <w:t xml:space="preserve"> to </w:t>
      </w:r>
      <w:r w:rsidR="6F2FB2A2">
        <w:t xml:space="preserve">reduce </w:t>
      </w:r>
      <w:r w:rsidR="0246EAD7">
        <w:t>reliance on Gran</w:t>
      </w:r>
      <w:r w:rsidR="670DF90D">
        <w:t>t</w:t>
      </w:r>
      <w:r w:rsidR="0246EAD7">
        <w:t xml:space="preserve">-in-Aid </w:t>
      </w:r>
      <w:r w:rsidR="00D530DE">
        <w:t xml:space="preserve">(GiA) </w:t>
      </w:r>
      <w:r w:rsidR="0246EAD7">
        <w:t xml:space="preserve">funding </w:t>
      </w:r>
      <w:r w:rsidR="2BE65EAD">
        <w:t>and</w:t>
      </w:r>
      <w:r w:rsidR="6F2FB2A2">
        <w:t xml:space="preserve"> further align with </w:t>
      </w:r>
      <w:r w:rsidR="66232D3D">
        <w:t>g</w:t>
      </w:r>
      <w:r w:rsidR="6F2FB2A2">
        <w:t>overnment policy to set fee charges to full</w:t>
      </w:r>
      <w:r w:rsidR="2A3240AF">
        <w:t>y recover</w:t>
      </w:r>
      <w:r w:rsidR="6F2FB2A2">
        <w:t xml:space="preserve"> costs</w:t>
      </w:r>
      <w:r w:rsidR="00135701">
        <w:rPr>
          <w:rStyle w:val="FootnoteReference"/>
        </w:rPr>
        <w:footnoteReference w:id="3"/>
      </w:r>
    </w:p>
    <w:p w14:paraId="0D78703E" w14:textId="77777777" w:rsidR="00760456" w:rsidRPr="00760456" w:rsidRDefault="008B0715" w:rsidP="00F32B35">
      <w:pPr>
        <w:jc w:val="both"/>
      </w:pPr>
      <w:r>
        <w:t>This will allow the MMO</w:t>
      </w:r>
      <w:r w:rsidR="006C475D">
        <w:t xml:space="preserve"> </w:t>
      </w:r>
      <w:r>
        <w:t>to better fulfil its duties and ensure the licensing system is streamlined, cost-effective and proportionate, and</w:t>
      </w:r>
      <w:r w:rsidR="00ED73B0">
        <w:t xml:space="preserve"> that</w:t>
      </w:r>
      <w:r>
        <w:t xml:space="preserve"> efforts are directed to more complex cases and more significant opportunities for environmental gains. </w:t>
      </w:r>
      <w:bookmarkEnd w:id="8"/>
    </w:p>
    <w:p w14:paraId="2635E364" w14:textId="2C565977" w:rsidR="00DB646E" w:rsidRDefault="7B33FFD7" w:rsidP="00F32B35">
      <w:pPr>
        <w:pStyle w:val="Heading1"/>
        <w:jc w:val="both"/>
      </w:pPr>
      <w:bookmarkStart w:id="9" w:name="_Hlk187411082"/>
      <w:bookmarkStart w:id="10" w:name="_Toc200715767"/>
      <w:r>
        <w:t>I</w:t>
      </w:r>
      <w:bookmarkEnd w:id="9"/>
      <w:r>
        <w:t>ntroduction</w:t>
      </w:r>
      <w:bookmarkEnd w:id="10"/>
      <w:r>
        <w:t xml:space="preserve"> </w:t>
      </w:r>
    </w:p>
    <w:bookmarkEnd w:id="4"/>
    <w:p w14:paraId="6A390495" w14:textId="77777777" w:rsidR="008426E8" w:rsidRDefault="008426E8" w:rsidP="00F32B35">
      <w:pPr>
        <w:jc w:val="both"/>
        <w:rPr>
          <w:b/>
          <w:bCs/>
        </w:rPr>
      </w:pPr>
      <w:r>
        <w:t xml:space="preserve">This consultation is directed at anyone interested in the way </w:t>
      </w:r>
      <w:r w:rsidR="006C4EA3">
        <w:t>marine activities are regulated</w:t>
      </w:r>
      <w:r>
        <w:t xml:space="preserve"> </w:t>
      </w:r>
      <w:r w:rsidR="00AB66AE">
        <w:t>in the English inshore and offshore and the Northern Ir</w:t>
      </w:r>
      <w:r w:rsidR="003B1111">
        <w:t>eland</w:t>
      </w:r>
      <w:r w:rsidR="00AB66AE">
        <w:t xml:space="preserve"> offshore region</w:t>
      </w:r>
      <w:r w:rsidR="00322BD3">
        <w:t>, especially anyone who has applied or may apply for a marine licence</w:t>
      </w:r>
      <w:r w:rsidR="004655CB">
        <w:t xml:space="preserve"> including:</w:t>
      </w:r>
    </w:p>
    <w:p w14:paraId="03C48C80" w14:textId="272C31AF" w:rsidR="008426E8" w:rsidRDefault="3AD79D44" w:rsidP="008E49C1">
      <w:pPr>
        <w:pStyle w:val="ListParagraph"/>
        <w:numPr>
          <w:ilvl w:val="0"/>
          <w:numId w:val="8"/>
        </w:numPr>
        <w:jc w:val="both"/>
      </w:pPr>
      <w:r>
        <w:t>b</w:t>
      </w:r>
      <w:r w:rsidR="008426E8">
        <w:t>usinesses and operators that carry out these activities</w:t>
      </w:r>
      <w:r w:rsidR="00ED5891">
        <w:t xml:space="preserve"> (including exempted activities) in these marine areas</w:t>
      </w:r>
    </w:p>
    <w:p w14:paraId="452CEBC6" w14:textId="4DF9623A" w:rsidR="008426E8" w:rsidRDefault="7BE1412A" w:rsidP="008E49C1">
      <w:pPr>
        <w:pStyle w:val="ListParagraph"/>
        <w:numPr>
          <w:ilvl w:val="0"/>
          <w:numId w:val="8"/>
        </w:numPr>
        <w:jc w:val="both"/>
      </w:pPr>
      <w:r>
        <w:t>c</w:t>
      </w:r>
      <w:r w:rsidR="008426E8">
        <w:t xml:space="preserve">oastal </w:t>
      </w:r>
      <w:r w:rsidR="00892CDF">
        <w:t>L</w:t>
      </w:r>
      <w:r w:rsidR="008426E8">
        <w:t xml:space="preserve">ocal </w:t>
      </w:r>
      <w:r w:rsidR="00892CDF">
        <w:t>P</w:t>
      </w:r>
      <w:r w:rsidR="008426E8">
        <w:t xml:space="preserve">lanning </w:t>
      </w:r>
      <w:r w:rsidR="00892CDF">
        <w:t>A</w:t>
      </w:r>
      <w:r w:rsidR="008426E8">
        <w:t xml:space="preserve">uthorities </w:t>
      </w:r>
      <w:r w:rsidR="00892CDF">
        <w:t xml:space="preserve">(LPAs) </w:t>
      </w:r>
      <w:r w:rsidR="008426E8">
        <w:t>and Inshore Fisheries and Conservation Authorities who have a role in regulating or commenting on project proposals</w:t>
      </w:r>
    </w:p>
    <w:p w14:paraId="498E4802" w14:textId="0F1CF07D" w:rsidR="008426E8" w:rsidRDefault="43AE3B30" w:rsidP="008E49C1">
      <w:pPr>
        <w:pStyle w:val="ListParagraph"/>
        <w:numPr>
          <w:ilvl w:val="0"/>
          <w:numId w:val="8"/>
        </w:numPr>
        <w:jc w:val="both"/>
      </w:pPr>
      <w:r>
        <w:t>c</w:t>
      </w:r>
      <w:r w:rsidR="008426E8">
        <w:t>onservation bodies and other groups that are concerned about the effects of activities on the marine environment, navigational matters and human health</w:t>
      </w:r>
    </w:p>
    <w:p w14:paraId="13A99C51" w14:textId="31A78BFC" w:rsidR="008426E8" w:rsidRDefault="0B6AC26F" w:rsidP="008E49C1">
      <w:pPr>
        <w:pStyle w:val="ListParagraph"/>
        <w:numPr>
          <w:ilvl w:val="0"/>
          <w:numId w:val="8"/>
        </w:numPr>
        <w:jc w:val="both"/>
      </w:pPr>
      <w:r>
        <w:t>o</w:t>
      </w:r>
      <w:r w:rsidR="008426E8">
        <w:t>rganisations that may be involved with novel uses of the marine environment</w:t>
      </w:r>
    </w:p>
    <w:p w14:paraId="14A067C0" w14:textId="307F19FD" w:rsidR="050C2409" w:rsidRDefault="008426E8" w:rsidP="050C2409">
      <w:pPr>
        <w:jc w:val="both"/>
      </w:pPr>
      <w:r>
        <w:t xml:space="preserve">Many other people and groups are also concerned about </w:t>
      </w:r>
      <w:r w:rsidR="004655CB">
        <w:t xml:space="preserve">activities </w:t>
      </w:r>
      <w:r>
        <w:t>in the seas around us and may therefore have an interest in these proposals.</w:t>
      </w:r>
    </w:p>
    <w:p w14:paraId="338D5907" w14:textId="0C485315" w:rsidR="00E35F3C" w:rsidRPr="000E419B" w:rsidRDefault="00E35F3C" w:rsidP="000E419B">
      <w:pPr>
        <w:pStyle w:val="Heading1"/>
        <w:jc w:val="both"/>
      </w:pPr>
      <w:bookmarkStart w:id="11" w:name="_Toc200715768"/>
      <w:r w:rsidRPr="2D452916">
        <w:rPr>
          <w:szCs w:val="44"/>
        </w:rPr>
        <w:t>The consultation process</w:t>
      </w:r>
      <w:bookmarkEnd w:id="11"/>
    </w:p>
    <w:p w14:paraId="53B66F59" w14:textId="3C1FF14B" w:rsidR="00422C4D" w:rsidRPr="00422C4D" w:rsidRDefault="00E35F3C" w:rsidP="00B425C2">
      <w:pPr>
        <w:pStyle w:val="Heading2"/>
      </w:pPr>
      <w:bookmarkStart w:id="12" w:name="_Toc200715769"/>
      <w:r>
        <w:t>Timing and duration of this consultation</w:t>
      </w:r>
      <w:bookmarkEnd w:id="12"/>
      <w:r>
        <w:t xml:space="preserve"> </w:t>
      </w:r>
    </w:p>
    <w:p w14:paraId="61B3CAB6" w14:textId="52BC28AD" w:rsidR="00E35F3C" w:rsidRDefault="00E35F3C" w:rsidP="00F32B35">
      <w:pPr>
        <w:spacing w:before="0" w:after="245" w:line="271" w:lineRule="auto"/>
        <w:jc w:val="both"/>
      </w:pPr>
      <w:r>
        <w:t xml:space="preserve">The consultation will </w:t>
      </w:r>
      <w:r w:rsidR="0084788F">
        <w:t xml:space="preserve">start </w:t>
      </w:r>
      <w:r>
        <w:t xml:space="preserve">on </w:t>
      </w:r>
      <w:r w:rsidR="00561377">
        <w:t>20</w:t>
      </w:r>
      <w:r w:rsidR="00340034" w:rsidRPr="00BA0697">
        <w:t xml:space="preserve"> June</w:t>
      </w:r>
      <w:r w:rsidR="00D17BD1" w:rsidRPr="00BA0697">
        <w:t xml:space="preserve"> 2025</w:t>
      </w:r>
      <w:r w:rsidR="00D17BD1" w:rsidRPr="197AA526">
        <w:rPr>
          <w:b/>
          <w:bCs/>
        </w:rPr>
        <w:t xml:space="preserve"> </w:t>
      </w:r>
      <w:r>
        <w:t xml:space="preserve">and will be open for responses for </w:t>
      </w:r>
      <w:r w:rsidR="430AC251">
        <w:t>eight</w:t>
      </w:r>
      <w:r>
        <w:t xml:space="preserve"> weeks.  </w:t>
      </w:r>
    </w:p>
    <w:p w14:paraId="13520088" w14:textId="440B2D7B" w:rsidR="00E35F3C" w:rsidRDefault="00E35F3C" w:rsidP="00DB232A">
      <w:r>
        <w:t xml:space="preserve">The consultation will end at </w:t>
      </w:r>
      <w:r w:rsidR="00340034" w:rsidRPr="00BA0697">
        <w:t>11:55</w:t>
      </w:r>
      <w:r w:rsidR="0064034E" w:rsidRPr="00BA0697">
        <w:t xml:space="preserve">pm </w:t>
      </w:r>
      <w:r w:rsidRPr="00BA0697">
        <w:t xml:space="preserve">on </w:t>
      </w:r>
      <w:r w:rsidR="00340034" w:rsidRPr="00BA0697">
        <w:t>1</w:t>
      </w:r>
      <w:r w:rsidR="00561377">
        <w:t>5</w:t>
      </w:r>
      <w:r w:rsidR="00340034" w:rsidRPr="00BA0697">
        <w:t xml:space="preserve"> August </w:t>
      </w:r>
      <w:r w:rsidR="00EA3EC7" w:rsidRPr="00BA0697">
        <w:t>2025</w:t>
      </w:r>
      <w:r w:rsidR="00DB232A">
        <w:t>.</w:t>
      </w:r>
    </w:p>
    <w:p w14:paraId="262A9434" w14:textId="38EF8D34" w:rsidR="00F07643" w:rsidRDefault="00F07643" w:rsidP="006F3386">
      <w:pPr>
        <w:pStyle w:val="Heading2"/>
      </w:pPr>
      <w:bookmarkStart w:id="13" w:name="_Toc200715770"/>
      <w:r>
        <w:lastRenderedPageBreak/>
        <w:t>Responses</w:t>
      </w:r>
      <w:bookmarkEnd w:id="13"/>
      <w:r>
        <w:t xml:space="preserve"> </w:t>
      </w:r>
    </w:p>
    <w:p w14:paraId="13331C43" w14:textId="260F6D9B" w:rsidR="00E35F3C" w:rsidRDefault="00E35F3C" w:rsidP="00F32B35">
      <w:pPr>
        <w:jc w:val="both"/>
      </w:pPr>
      <w:r>
        <w:t xml:space="preserve">The </w:t>
      </w:r>
      <w:r w:rsidR="64DCC531">
        <w:t>g</w:t>
      </w:r>
      <w:r>
        <w:t>overnment will analyse the response to this consultation and publish a summary of responses. If you do not wish for your response to be published, please make that clear in your reply.</w:t>
      </w:r>
    </w:p>
    <w:p w14:paraId="7DF04B88" w14:textId="41C84F9B" w:rsidR="00E35F3C" w:rsidRDefault="00E35F3C" w:rsidP="00F32B35">
      <w:pPr>
        <w:spacing w:after="245" w:line="271" w:lineRule="auto"/>
        <w:jc w:val="both"/>
      </w:pPr>
      <w:r>
        <w:t xml:space="preserve">In line with </w:t>
      </w:r>
      <w:r w:rsidR="28BBE82B">
        <w:t xml:space="preserve">the </w:t>
      </w:r>
      <w:r>
        <w:t xml:space="preserve">government’s policy on openness, the information you submit may be made available to other parties, including personal information such as your name.  If you do not consent to this, you must clearly request that your response be treated as confidential (except where disclosure is required by law).  Any confidentiality disclaimer generated by your IT system in e-mail responses will not be treated as such a request.  </w:t>
      </w:r>
    </w:p>
    <w:p w14:paraId="7F2FACC4" w14:textId="77777777" w:rsidR="00516F27" w:rsidRDefault="00E35F3C" w:rsidP="00F32B35">
      <w:pPr>
        <w:spacing w:before="0" w:after="245" w:line="271" w:lineRule="auto"/>
        <w:jc w:val="both"/>
      </w:pPr>
      <w:r>
        <w:t xml:space="preserve">You should also be aware that there may be circumstances in which we will be required to communicate this information to third parties on request, in order to comply with our obligations under the Freedom of Information Act 2000 and the Environmental Information Regulations 2004. </w:t>
      </w:r>
    </w:p>
    <w:p w14:paraId="1D3957AD" w14:textId="478E44C4" w:rsidR="00A92011" w:rsidRDefault="4D735F55" w:rsidP="00F32B35">
      <w:pPr>
        <w:pStyle w:val="Heading1"/>
        <w:jc w:val="both"/>
      </w:pPr>
      <w:bookmarkStart w:id="14" w:name="_Toc200715771"/>
      <w:r>
        <w:t xml:space="preserve">Response </w:t>
      </w:r>
      <w:r w:rsidR="006C69A2">
        <w:t>g</w:t>
      </w:r>
      <w:r>
        <w:t>uidance</w:t>
      </w:r>
      <w:bookmarkEnd w:id="14"/>
      <w:r>
        <w:t xml:space="preserve">  </w:t>
      </w:r>
    </w:p>
    <w:p w14:paraId="532AD638" w14:textId="77777777" w:rsidR="00A92011" w:rsidRDefault="00A92011" w:rsidP="00F32B35">
      <w:pPr>
        <w:jc w:val="both"/>
      </w:pPr>
      <w:r>
        <w:t xml:space="preserve">You are welcome to answer all questions in this </w:t>
      </w:r>
      <w:r w:rsidR="00134730">
        <w:t>c</w:t>
      </w:r>
      <w:r>
        <w:t xml:space="preserve">onsultation, or to answer questions that are specific to your areas of </w:t>
      </w:r>
      <w:r w:rsidR="00200F08">
        <w:t>interest</w:t>
      </w:r>
      <w:r>
        <w:t xml:space="preserve">.  </w:t>
      </w:r>
    </w:p>
    <w:p w14:paraId="3DE779FF" w14:textId="77777777" w:rsidR="00A92011" w:rsidRDefault="00A92011" w:rsidP="00F32B35">
      <w:pPr>
        <w:jc w:val="both"/>
      </w:pPr>
      <w:r>
        <w:t xml:space="preserve">Please provide evidence to support your response, including citations of relevant published sources where appropriate. Please reference the page number of a document if you are drawing attention to a particular statement.  </w:t>
      </w:r>
    </w:p>
    <w:p w14:paraId="1D65C89D" w14:textId="77777777" w:rsidR="00AF730F" w:rsidRDefault="00AF730F" w:rsidP="00F32B35">
      <w:pPr>
        <w:jc w:val="both"/>
      </w:pPr>
      <w:r>
        <w:t xml:space="preserve">For the purposes of this </w:t>
      </w:r>
      <w:r w:rsidR="00134730">
        <w:t>c</w:t>
      </w:r>
      <w:r>
        <w:t xml:space="preserve">onsultation, we define ‘evidence’ as: personal experience, case studies, datasets, qualitative and quantitative research (including evaluations), organisational learnings and official documents.  </w:t>
      </w:r>
    </w:p>
    <w:p w14:paraId="2F5A1195" w14:textId="2200A98F" w:rsidR="00A92011" w:rsidRDefault="00A92011" w:rsidP="00F32B35">
      <w:pPr>
        <w:jc w:val="both"/>
      </w:pPr>
      <w:r>
        <w:t xml:space="preserve">This </w:t>
      </w:r>
      <w:r w:rsidR="00134730">
        <w:t>c</w:t>
      </w:r>
      <w:r>
        <w:t xml:space="preserve">onsultation document accompanies the questions on </w:t>
      </w:r>
      <w:hyperlink r:id="rId20" w:history="1">
        <w:r w:rsidRPr="00F955FE">
          <w:rPr>
            <w:rStyle w:val="Hyperlink"/>
          </w:rPr>
          <w:t>Citizen Space</w:t>
        </w:r>
      </w:hyperlink>
      <w:r>
        <w:t>.</w:t>
      </w:r>
    </w:p>
    <w:p w14:paraId="7CD5D01B" w14:textId="77777777" w:rsidR="0006603D" w:rsidRDefault="0006603D" w:rsidP="00F32B35">
      <w:pPr>
        <w:jc w:val="both"/>
      </w:pPr>
      <w:r>
        <w:t>We are interested in collecting the following information from those responding to this consultation:</w:t>
      </w:r>
    </w:p>
    <w:p w14:paraId="5D51B2EB" w14:textId="4B82F1FD" w:rsidR="0006603D" w:rsidRDefault="0006603D" w:rsidP="008E49C1">
      <w:pPr>
        <w:pStyle w:val="ListParagraph"/>
        <w:numPr>
          <w:ilvl w:val="0"/>
          <w:numId w:val="14"/>
        </w:numPr>
        <w:jc w:val="both"/>
      </w:pPr>
      <w:r>
        <w:t>Your name and whether you are responding on behalf of an organisation</w:t>
      </w:r>
    </w:p>
    <w:p w14:paraId="4C80AF41" w14:textId="798A60C8" w:rsidR="0006603D" w:rsidRDefault="0006603D" w:rsidP="008E49C1">
      <w:pPr>
        <w:pStyle w:val="ListParagraph"/>
        <w:numPr>
          <w:ilvl w:val="0"/>
          <w:numId w:val="14"/>
        </w:numPr>
        <w:jc w:val="both"/>
      </w:pPr>
      <w:r>
        <w:t>Your email address and telephone number</w:t>
      </w:r>
    </w:p>
    <w:p w14:paraId="7D4AB7F5" w14:textId="4CAFCBBF" w:rsidR="0006603D" w:rsidRDefault="0006603D" w:rsidP="008E49C1">
      <w:pPr>
        <w:pStyle w:val="ListParagraph"/>
        <w:numPr>
          <w:ilvl w:val="0"/>
          <w:numId w:val="14"/>
        </w:numPr>
        <w:jc w:val="both"/>
      </w:pPr>
      <w:r>
        <w:t>Your address or the address of the organisation you are responding on behalf of</w:t>
      </w:r>
    </w:p>
    <w:p w14:paraId="65189B54" w14:textId="48A5B902" w:rsidR="0006603D" w:rsidRDefault="0006603D" w:rsidP="00F32B35">
      <w:pPr>
        <w:jc w:val="both"/>
      </w:pPr>
      <w:r>
        <w:t xml:space="preserve">You are not obliged to provide any or all of the above information or respond to all of the questions below. </w:t>
      </w:r>
    </w:p>
    <w:bookmarkEnd w:id="5"/>
    <w:p w14:paraId="4B94D5A5" w14:textId="77777777" w:rsidR="00AF730F" w:rsidRDefault="00AF730F" w:rsidP="00F32B35">
      <w:pPr>
        <w:spacing w:before="0" w:after="0" w:line="240" w:lineRule="auto"/>
        <w:jc w:val="both"/>
        <w:rPr>
          <w:rFonts w:eastAsia="Times New Roman"/>
          <w:b/>
          <w:bCs/>
          <w:color w:val="008938"/>
          <w:sz w:val="44"/>
          <w:szCs w:val="28"/>
        </w:rPr>
      </w:pPr>
      <w:r>
        <w:br w:type="page"/>
      </w:r>
    </w:p>
    <w:p w14:paraId="5AD038DF" w14:textId="2369A4EE" w:rsidR="00E35F3C" w:rsidRDefault="449F5B28" w:rsidP="00534E94">
      <w:pPr>
        <w:pStyle w:val="Heading1"/>
      </w:pPr>
      <w:bookmarkStart w:id="15" w:name="_Toc200715772"/>
      <w:r>
        <w:lastRenderedPageBreak/>
        <w:t xml:space="preserve">General overview of </w:t>
      </w:r>
      <w:r w:rsidR="49B3B6ED">
        <w:t>m</w:t>
      </w:r>
      <w:r>
        <w:t xml:space="preserve">arine </w:t>
      </w:r>
      <w:r w:rsidR="49B3B6ED">
        <w:t>l</w:t>
      </w:r>
      <w:r>
        <w:t>icensing</w:t>
      </w:r>
      <w:bookmarkEnd w:id="15"/>
    </w:p>
    <w:p w14:paraId="4548171A" w14:textId="6FFE241E" w:rsidR="002E1B14" w:rsidRDefault="002E1B14" w:rsidP="22CBAED0">
      <w:pPr>
        <w:jc w:val="both"/>
        <w:rPr>
          <w:rFonts w:cs="Arial"/>
          <w:color w:val="000000"/>
        </w:rPr>
      </w:pPr>
      <w:hyperlink r:id="rId21" w:history="1">
        <w:r w:rsidRPr="000259CD">
          <w:rPr>
            <w:rStyle w:val="Hyperlink"/>
          </w:rPr>
          <w:t>Section 65 of MCAA</w:t>
        </w:r>
      </w:hyperlink>
      <w:r w:rsidRPr="004E4933">
        <w:rPr>
          <w:szCs w:val="24"/>
        </w:rPr>
        <w:t xml:space="preserve"> </w:t>
      </w:r>
      <w:r w:rsidR="004E4933" w:rsidRPr="22CBAED0">
        <w:t>sets out</w:t>
      </w:r>
      <w:r w:rsidR="00D7736D" w:rsidRPr="22CBAED0">
        <w:t xml:space="preserve"> that </w:t>
      </w:r>
      <w:r w:rsidR="004E4933" w:rsidRPr="22CBAED0">
        <w:rPr>
          <w:rStyle w:val="legds"/>
          <w:rFonts w:cs="Arial"/>
          <w:color w:val="000000"/>
        </w:rPr>
        <w:t>n</w:t>
      </w:r>
      <w:r w:rsidRPr="22CBAED0">
        <w:rPr>
          <w:rStyle w:val="legds"/>
          <w:rFonts w:cs="Arial"/>
          <w:color w:val="000000"/>
        </w:rPr>
        <w:t>o person may</w:t>
      </w:r>
      <w:r w:rsidR="00D7736D" w:rsidRPr="22CBAED0">
        <w:rPr>
          <w:rStyle w:val="legds"/>
          <w:rFonts w:cs="Arial"/>
          <w:color w:val="000000"/>
        </w:rPr>
        <w:t xml:space="preserve"> </w:t>
      </w:r>
      <w:r w:rsidRPr="22CBAED0">
        <w:rPr>
          <w:rStyle w:val="legds"/>
          <w:rFonts w:cs="Arial"/>
          <w:color w:val="000000"/>
        </w:rPr>
        <w:t>carry o</w:t>
      </w:r>
      <w:r w:rsidR="00907B4C">
        <w:rPr>
          <w:rStyle w:val="legds"/>
          <w:rFonts w:cs="Arial"/>
          <w:color w:val="000000"/>
        </w:rPr>
        <w:t>ut</w:t>
      </w:r>
      <w:r w:rsidRPr="22CBAED0">
        <w:rPr>
          <w:rStyle w:val="legds"/>
          <w:rFonts w:cs="Arial"/>
          <w:color w:val="000000"/>
        </w:rPr>
        <w:t xml:space="preserve"> a licensable marine activity, or</w:t>
      </w:r>
      <w:r w:rsidR="00D7736D" w:rsidRPr="22CBAED0">
        <w:rPr>
          <w:rStyle w:val="legds"/>
          <w:rFonts w:cs="Arial"/>
          <w:color w:val="000000"/>
        </w:rPr>
        <w:t xml:space="preserve"> </w:t>
      </w:r>
      <w:r w:rsidRPr="22CBAED0">
        <w:rPr>
          <w:rStyle w:val="legds"/>
          <w:rFonts w:cs="Arial"/>
          <w:color w:val="000000"/>
        </w:rPr>
        <w:t>cause or permit any other person to carry o</w:t>
      </w:r>
      <w:r w:rsidR="008E6288">
        <w:rPr>
          <w:rStyle w:val="legds"/>
          <w:rFonts w:cs="Arial"/>
          <w:color w:val="000000"/>
        </w:rPr>
        <w:t>ut</w:t>
      </w:r>
      <w:r w:rsidRPr="22CBAED0">
        <w:rPr>
          <w:rStyle w:val="legds"/>
          <w:rFonts w:cs="Arial"/>
          <w:color w:val="000000"/>
        </w:rPr>
        <w:t xml:space="preserve"> such an activity</w:t>
      </w:r>
      <w:r w:rsidR="00D7736D" w:rsidRPr="22CBAED0">
        <w:rPr>
          <w:rStyle w:val="legds"/>
          <w:rFonts w:cs="Arial"/>
          <w:color w:val="000000"/>
        </w:rPr>
        <w:t xml:space="preserve"> </w:t>
      </w:r>
      <w:r w:rsidRPr="22CBAED0">
        <w:rPr>
          <w:rFonts w:cs="Arial"/>
          <w:color w:val="000000"/>
        </w:rPr>
        <w:t>except in accordance with a marine licence granted by the appropriate licensing authority.</w:t>
      </w:r>
      <w:r w:rsidR="00A43CC8" w:rsidRPr="22CBAED0">
        <w:rPr>
          <w:rFonts w:cs="Arial"/>
          <w:color w:val="000000"/>
        </w:rPr>
        <w:t xml:space="preserve"> The Secretary of State is the appropriate licensing authority</w:t>
      </w:r>
      <w:r w:rsidR="006839C0">
        <w:rPr>
          <w:rStyle w:val="FootnoteReference"/>
          <w:rFonts w:cs="Arial"/>
          <w:color w:val="000000"/>
        </w:rPr>
        <w:footnoteReference w:id="4"/>
      </w:r>
      <w:r w:rsidR="00A43CC8" w:rsidRPr="22CBAED0">
        <w:rPr>
          <w:rFonts w:cs="Arial"/>
          <w:color w:val="000000"/>
        </w:rPr>
        <w:t xml:space="preserve"> for the English inshore and offshore and Northern Ireland offshore regions and has delegated most licensing functions in those </w:t>
      </w:r>
      <w:r w:rsidR="006076A9" w:rsidRPr="22CBAED0">
        <w:rPr>
          <w:rFonts w:cs="Arial"/>
          <w:color w:val="000000"/>
        </w:rPr>
        <w:t xml:space="preserve">areas </w:t>
      </w:r>
      <w:r w:rsidR="00A43CC8" w:rsidRPr="22CBAED0">
        <w:rPr>
          <w:rFonts w:cs="Arial"/>
          <w:color w:val="000000"/>
        </w:rPr>
        <w:t>to the MMO</w:t>
      </w:r>
      <w:r w:rsidR="000F0005" w:rsidRPr="22CBAED0">
        <w:rPr>
          <w:rStyle w:val="FootnoteReference"/>
          <w:rFonts w:cs="Arial"/>
          <w:color w:val="000000"/>
        </w:rPr>
        <w:footnoteReference w:id="5"/>
      </w:r>
      <w:r w:rsidR="00A43CC8" w:rsidRPr="22CBAED0">
        <w:rPr>
          <w:rFonts w:cs="Arial"/>
          <w:color w:val="000000"/>
        </w:rPr>
        <w:t>.</w:t>
      </w:r>
    </w:p>
    <w:p w14:paraId="5F1ED187" w14:textId="18923D3B" w:rsidR="004E4933" w:rsidRPr="00090C88" w:rsidRDefault="1E94BA0A" w:rsidP="00F32B35">
      <w:pPr>
        <w:jc w:val="both"/>
      </w:pPr>
      <w:r>
        <w:t xml:space="preserve">Licensable activities are set out in </w:t>
      </w:r>
      <w:hyperlink r:id="rId22" w:history="1">
        <w:r w:rsidR="000259CD" w:rsidRPr="000259CD">
          <w:rPr>
            <w:rStyle w:val="Hyperlink"/>
          </w:rPr>
          <w:t>section 66 of MCAA</w:t>
        </w:r>
      </w:hyperlink>
      <w:r w:rsidR="004E4933">
        <w:t xml:space="preserve">. There are </w:t>
      </w:r>
      <w:r w:rsidR="007063C6">
        <w:t>7</w:t>
      </w:r>
      <w:r w:rsidR="004E4933">
        <w:t xml:space="preserve"> categories of activity that may need a marine licence. Follow the links </w:t>
      </w:r>
      <w:r w:rsidR="00BE4881">
        <w:t xml:space="preserve">to MMO guidance </w:t>
      </w:r>
      <w:r w:rsidR="004E4933">
        <w:t>below to find out more about the activities and the circumstances in which they may need a marine licence:</w:t>
      </w:r>
    </w:p>
    <w:p w14:paraId="0D6A1FCF" w14:textId="138C050E" w:rsidR="007E58D8" w:rsidRPr="007E58D8" w:rsidRDefault="00681830" w:rsidP="008E49C1">
      <w:pPr>
        <w:numPr>
          <w:ilvl w:val="0"/>
          <w:numId w:val="10"/>
        </w:numPr>
        <w:jc w:val="both"/>
        <w:rPr>
          <w:rStyle w:val="Hyperlink"/>
          <w:color w:val="auto"/>
          <w:u w:val="none"/>
        </w:rPr>
      </w:pPr>
      <w:hyperlink r:id="rId23" w:anchor="deposit-of-any-substance-or-object" w:history="1">
        <w:r>
          <w:rPr>
            <w:rStyle w:val="Hyperlink"/>
          </w:rPr>
          <w:t>d</w:t>
        </w:r>
        <w:r w:rsidR="007E58D8" w:rsidRPr="00090C88">
          <w:rPr>
            <w:rStyle w:val="Hyperlink"/>
          </w:rPr>
          <w:t>eposit of any substance or object</w:t>
        </w:r>
      </w:hyperlink>
    </w:p>
    <w:p w14:paraId="1D096F4C" w14:textId="7BED52CE" w:rsidR="007E58D8" w:rsidRPr="007E58D8" w:rsidRDefault="00681830" w:rsidP="008E49C1">
      <w:pPr>
        <w:numPr>
          <w:ilvl w:val="0"/>
          <w:numId w:val="10"/>
        </w:numPr>
        <w:jc w:val="both"/>
        <w:rPr>
          <w:rStyle w:val="Hyperlink"/>
          <w:color w:val="auto"/>
          <w:u w:val="none"/>
        </w:rPr>
      </w:pPr>
      <w:hyperlink r:id="rId24" w:history="1">
        <w:r>
          <w:rPr>
            <w:rStyle w:val="Hyperlink"/>
          </w:rPr>
          <w:t>s</w:t>
        </w:r>
        <w:r w:rsidR="007E58D8" w:rsidRPr="00090C88">
          <w:rPr>
            <w:rStyle w:val="Hyperlink"/>
          </w:rPr>
          <w:t>cuttling (sinking) of any vessel or floating container</w:t>
        </w:r>
      </w:hyperlink>
    </w:p>
    <w:p w14:paraId="50A2E7A6" w14:textId="5C23138C" w:rsidR="007E58D8" w:rsidRPr="007E58D8" w:rsidRDefault="00681830" w:rsidP="008E49C1">
      <w:pPr>
        <w:numPr>
          <w:ilvl w:val="0"/>
          <w:numId w:val="10"/>
        </w:numPr>
        <w:jc w:val="both"/>
        <w:rPr>
          <w:rStyle w:val="Hyperlink"/>
          <w:color w:val="auto"/>
          <w:u w:val="none"/>
        </w:rPr>
      </w:pPr>
      <w:hyperlink r:id="rId25" w:history="1">
        <w:r>
          <w:rPr>
            <w:rStyle w:val="Hyperlink"/>
          </w:rPr>
          <w:t>d</w:t>
        </w:r>
        <w:r w:rsidR="007E58D8" w:rsidRPr="00090C88">
          <w:rPr>
            <w:rStyle w:val="Hyperlink"/>
          </w:rPr>
          <w:t>redging</w:t>
        </w:r>
      </w:hyperlink>
    </w:p>
    <w:p w14:paraId="1682FA01" w14:textId="3A49D2FD" w:rsidR="007E58D8" w:rsidRPr="007E58D8" w:rsidRDefault="00681830" w:rsidP="008E49C1">
      <w:pPr>
        <w:numPr>
          <w:ilvl w:val="0"/>
          <w:numId w:val="10"/>
        </w:numPr>
        <w:jc w:val="both"/>
        <w:rPr>
          <w:rStyle w:val="Hyperlink"/>
          <w:color w:val="auto"/>
          <w:u w:val="none"/>
        </w:rPr>
      </w:pPr>
      <w:hyperlink r:id="rId26" w:history="1">
        <w:r>
          <w:rPr>
            <w:rStyle w:val="Hyperlink"/>
          </w:rPr>
          <w:t>c</w:t>
        </w:r>
        <w:r w:rsidR="007E58D8" w:rsidRPr="00090C88">
          <w:rPr>
            <w:rStyle w:val="Hyperlink"/>
          </w:rPr>
          <w:t xml:space="preserve">onstruction </w:t>
        </w:r>
        <w:r w:rsidR="007E58D8">
          <w:rPr>
            <w:rStyle w:val="Hyperlink"/>
          </w:rPr>
          <w:t xml:space="preserve">works </w:t>
        </w:r>
        <w:r w:rsidR="007E58D8" w:rsidRPr="00090C88">
          <w:rPr>
            <w:rStyle w:val="Hyperlink"/>
          </w:rPr>
          <w:t>(including laying of cables, maintenance, alteration or improvement of existing structures and assets)</w:t>
        </w:r>
      </w:hyperlink>
    </w:p>
    <w:p w14:paraId="61D1AA0D" w14:textId="3D3E1469" w:rsidR="007E58D8" w:rsidRPr="007E58D8" w:rsidRDefault="00681830" w:rsidP="008E49C1">
      <w:pPr>
        <w:numPr>
          <w:ilvl w:val="0"/>
          <w:numId w:val="10"/>
        </w:numPr>
        <w:jc w:val="both"/>
        <w:rPr>
          <w:rStyle w:val="Hyperlink"/>
          <w:color w:val="auto"/>
          <w:u w:val="none"/>
        </w:rPr>
      </w:pPr>
      <w:hyperlink r:id="rId27" w:history="1">
        <w:r>
          <w:rPr>
            <w:rStyle w:val="Hyperlink"/>
          </w:rPr>
          <w:t>r</w:t>
        </w:r>
        <w:r w:rsidR="007E58D8" w:rsidRPr="00090C88">
          <w:rPr>
            <w:rStyle w:val="Hyperlink"/>
          </w:rPr>
          <w:t>emoval of any substance or object</w:t>
        </w:r>
      </w:hyperlink>
    </w:p>
    <w:p w14:paraId="25FCF9AF" w14:textId="7249D1BD" w:rsidR="007E58D8" w:rsidRPr="007E58D8" w:rsidRDefault="00681830" w:rsidP="008E49C1">
      <w:pPr>
        <w:numPr>
          <w:ilvl w:val="0"/>
          <w:numId w:val="10"/>
        </w:numPr>
        <w:jc w:val="both"/>
        <w:rPr>
          <w:rStyle w:val="Hyperlink"/>
          <w:color w:val="auto"/>
          <w:u w:val="none"/>
        </w:rPr>
      </w:pPr>
      <w:hyperlink r:id="rId28" w:anchor="deposit-or-use-of-explosives" w:history="1">
        <w:r>
          <w:rPr>
            <w:rStyle w:val="Hyperlink"/>
          </w:rPr>
          <w:t>u</w:t>
        </w:r>
        <w:r w:rsidR="007E58D8" w:rsidRPr="00090C88">
          <w:rPr>
            <w:rStyle w:val="Hyperlink"/>
          </w:rPr>
          <w:t>se of explosives</w:t>
        </w:r>
      </w:hyperlink>
    </w:p>
    <w:p w14:paraId="04FBCEA4" w14:textId="33AEF43E" w:rsidR="007E58D8" w:rsidRPr="00090C88" w:rsidRDefault="00681830" w:rsidP="008E49C1">
      <w:pPr>
        <w:numPr>
          <w:ilvl w:val="0"/>
          <w:numId w:val="10"/>
        </w:numPr>
        <w:jc w:val="both"/>
      </w:pPr>
      <w:hyperlink r:id="rId29" w:history="1">
        <w:r>
          <w:rPr>
            <w:rStyle w:val="Hyperlink"/>
          </w:rPr>
          <w:t>i</w:t>
        </w:r>
        <w:r w:rsidR="007E58D8" w:rsidRPr="00090C88">
          <w:rPr>
            <w:rStyle w:val="Hyperlink"/>
          </w:rPr>
          <w:t>ncineration of any substance or object</w:t>
        </w:r>
      </w:hyperlink>
    </w:p>
    <w:p w14:paraId="061C3D02" w14:textId="58DD1A17" w:rsidR="00E35F3C" w:rsidRDefault="00B926C5" w:rsidP="00F32B35">
      <w:pPr>
        <w:jc w:val="both"/>
      </w:pPr>
      <w:r>
        <w:t>Many</w:t>
      </w:r>
      <w:r w:rsidR="00E35F3C" w:rsidRPr="00AE25C6">
        <w:t xml:space="preserve"> activities</w:t>
      </w:r>
      <w:r w:rsidR="00E24F16">
        <w:t xml:space="preserve"> will therefore</w:t>
      </w:r>
      <w:r w:rsidR="00E35F3C" w:rsidRPr="00AE25C6">
        <w:t xml:space="preserve"> require a marine licence from the </w:t>
      </w:r>
      <w:r w:rsidR="00E35F3C">
        <w:t>MMO</w:t>
      </w:r>
      <w:r w:rsidR="00E35F3C" w:rsidRPr="00AE25C6">
        <w:t xml:space="preserve"> prior to being </w:t>
      </w:r>
      <w:r w:rsidR="00173F5B" w:rsidRPr="00AE25C6">
        <w:t>undertaken</w:t>
      </w:r>
      <w:r w:rsidR="00173F5B">
        <w:t xml:space="preserve"> unless</w:t>
      </w:r>
      <w:r w:rsidR="009F7BD1">
        <w:t xml:space="preserve"> a relevant exemption applies</w:t>
      </w:r>
      <w:r w:rsidR="009E7680">
        <w:t xml:space="preserve">. </w:t>
      </w:r>
      <w:r w:rsidR="00E35F3C">
        <w:t>To ensure proportionate management, t</w:t>
      </w:r>
      <w:r w:rsidR="00E35F3C" w:rsidRPr="00DD5060">
        <w:t xml:space="preserve">he marine licensing system has an incremental approach to </w:t>
      </w:r>
      <w:r w:rsidR="00E841EE">
        <w:t>regulation through</w:t>
      </w:r>
      <w:r w:rsidR="00E35F3C">
        <w:t xml:space="preserve"> </w:t>
      </w:r>
      <w:r w:rsidR="004E4933">
        <w:t xml:space="preserve">use of </w:t>
      </w:r>
      <w:r w:rsidR="00E841EE">
        <w:t xml:space="preserve">marine licence </w:t>
      </w:r>
      <w:hyperlink r:id="rId30" w:history="1">
        <w:r w:rsidR="00E35F3C" w:rsidRPr="004E4933">
          <w:rPr>
            <w:rStyle w:val="Hyperlink"/>
          </w:rPr>
          <w:t>exemptions</w:t>
        </w:r>
      </w:hyperlink>
      <w:r w:rsidR="00E35F3C">
        <w:t>,</w:t>
      </w:r>
      <w:r w:rsidR="00E35F3C" w:rsidRPr="00DD5060">
        <w:t xml:space="preserve"> self-service</w:t>
      </w:r>
      <w:r w:rsidR="00673F6C">
        <w:t xml:space="preserve"> licences</w:t>
      </w:r>
      <w:r w:rsidR="00E35F3C">
        <w:t xml:space="preserve">, </w:t>
      </w:r>
      <w:r w:rsidR="00E841EE">
        <w:t>and</w:t>
      </w:r>
      <w:r w:rsidR="00E35F3C" w:rsidRPr="00DD5060">
        <w:t xml:space="preserve"> standard </w:t>
      </w:r>
      <w:r w:rsidR="00E841EE">
        <w:t xml:space="preserve">marine </w:t>
      </w:r>
      <w:r w:rsidR="00E35F3C" w:rsidRPr="00DD5060">
        <w:t>licence</w:t>
      </w:r>
      <w:r w:rsidR="00E35F3C">
        <w:t>s</w:t>
      </w:r>
      <w:r w:rsidR="004C1DF5">
        <w:t>, each having different requirements for developers</w:t>
      </w:r>
      <w:r w:rsidR="00E35F3C">
        <w:t>.</w:t>
      </w:r>
      <w:r w:rsidR="00E35F3C" w:rsidRPr="005F7565">
        <w:t xml:space="preserve"> </w:t>
      </w:r>
      <w:r w:rsidR="00E35F3C">
        <w:t>This</w:t>
      </w:r>
      <w:r w:rsidR="00E35F3C" w:rsidRPr="00DD5060">
        <w:t xml:space="preserve"> </w:t>
      </w:r>
      <w:r w:rsidR="00E35F3C">
        <w:t xml:space="preserve">system </w:t>
      </w:r>
      <w:r w:rsidR="00E35F3C" w:rsidRPr="00DD5060">
        <w:t>allow</w:t>
      </w:r>
      <w:r w:rsidR="00E35F3C">
        <w:t>s</w:t>
      </w:r>
      <w:r w:rsidR="00E35F3C" w:rsidRPr="00DD5060">
        <w:t xml:space="preserve"> greater flexibility</w:t>
      </w:r>
      <w:r w:rsidR="00E35F3C">
        <w:t xml:space="preserve"> and efficiency</w:t>
      </w:r>
      <w:r w:rsidR="00E35F3C" w:rsidRPr="00DD5060">
        <w:t xml:space="preserve"> </w:t>
      </w:r>
      <w:r w:rsidR="00E35F3C">
        <w:t xml:space="preserve">in </w:t>
      </w:r>
      <w:r w:rsidR="00E35F3C" w:rsidRPr="00DD5060">
        <w:t xml:space="preserve">managing </w:t>
      </w:r>
      <w:r w:rsidR="00E35F3C">
        <w:t xml:space="preserve">activities in the </w:t>
      </w:r>
      <w:r w:rsidR="00E35F3C" w:rsidRPr="00DD5060">
        <w:t xml:space="preserve">marine </w:t>
      </w:r>
      <w:r w:rsidR="00E35F3C">
        <w:t>space,</w:t>
      </w:r>
      <w:r w:rsidR="00E35F3C" w:rsidRPr="00DD5060">
        <w:t xml:space="preserve"> sav</w:t>
      </w:r>
      <w:r w:rsidR="00E35F3C">
        <w:t>ing</w:t>
      </w:r>
      <w:r w:rsidR="00E35F3C" w:rsidRPr="00DD5060">
        <w:t xml:space="preserve"> time and resources for both </w:t>
      </w:r>
      <w:r w:rsidR="008D0DCC">
        <w:t xml:space="preserve">the </w:t>
      </w:r>
      <w:r w:rsidR="00E35F3C" w:rsidRPr="00DD5060">
        <w:t>MMO and applicant</w:t>
      </w:r>
      <w:r w:rsidR="00E35F3C">
        <w:t>s</w:t>
      </w:r>
      <w:r w:rsidR="00E841EE">
        <w:t xml:space="preserve">, </w:t>
      </w:r>
      <w:r w:rsidR="00E360A3">
        <w:t xml:space="preserve">freeing up resource to be </w:t>
      </w:r>
      <w:r w:rsidR="00E35F3C" w:rsidRPr="00DD5060">
        <w:t>directed to</w:t>
      </w:r>
      <w:r w:rsidR="00E360A3">
        <w:t>wards</w:t>
      </w:r>
      <w:r w:rsidR="00E35F3C" w:rsidRPr="00DD5060">
        <w:t xml:space="preserve"> more complex cases</w:t>
      </w:r>
      <w:r w:rsidR="00E35F3C">
        <w:t xml:space="preserve">.  </w:t>
      </w:r>
    </w:p>
    <w:p w14:paraId="35355FF5" w14:textId="348C381D" w:rsidR="000610CF" w:rsidRDefault="000610CF" w:rsidP="000610CF">
      <w:pPr>
        <w:jc w:val="both"/>
      </w:pPr>
      <w:r>
        <w:t xml:space="preserve">Marine licensing is also </w:t>
      </w:r>
      <w:r w:rsidR="0013716E">
        <w:t xml:space="preserve">an important driver for </w:t>
      </w:r>
      <w:r w:rsidR="00A9236D">
        <w:t xml:space="preserve">meeting </w:t>
      </w:r>
      <w:r w:rsidR="0013716E">
        <w:t xml:space="preserve">UK </w:t>
      </w:r>
      <w:r w:rsidR="2A751E09">
        <w:t>G</w:t>
      </w:r>
      <w:r w:rsidR="0013716E">
        <w:t>overnment obligations and</w:t>
      </w:r>
      <w:r w:rsidR="00C26372">
        <w:t xml:space="preserve"> </w:t>
      </w:r>
      <w:r>
        <w:t>commitments to environmental protection. In particular:</w:t>
      </w:r>
    </w:p>
    <w:p w14:paraId="38D39A43" w14:textId="63398C1F" w:rsidR="000610CF" w:rsidRDefault="0013716E" w:rsidP="000610CF">
      <w:pPr>
        <w:pStyle w:val="ListParagraph"/>
        <w:numPr>
          <w:ilvl w:val="0"/>
          <w:numId w:val="27"/>
        </w:numPr>
        <w:jc w:val="both"/>
      </w:pPr>
      <w:r>
        <w:lastRenderedPageBreak/>
        <w:t>L</w:t>
      </w:r>
      <w:r w:rsidR="000610CF">
        <w:t xml:space="preserve">icensing decisions that may affect the UK marine area must be taken in accordance with the </w:t>
      </w:r>
      <w:r w:rsidR="07EDBCDC">
        <w:t>M</w:t>
      </w:r>
      <w:r w:rsidR="000610CF">
        <w:t xml:space="preserve">arine </w:t>
      </w:r>
      <w:r w:rsidR="22F26599">
        <w:t>P</w:t>
      </w:r>
      <w:r w:rsidR="000610CF">
        <w:t xml:space="preserve">olicy </w:t>
      </w:r>
      <w:r w:rsidR="319AE514">
        <w:t>S</w:t>
      </w:r>
      <w:r w:rsidR="000610CF">
        <w:t>tatement and relevant marine plans, which set out policies for sustainable development (</w:t>
      </w:r>
      <w:hyperlink r:id="rId31" w:history="1">
        <w:r w:rsidR="000610CF" w:rsidRPr="000259CD">
          <w:rPr>
            <w:rStyle w:val="Hyperlink"/>
          </w:rPr>
          <w:t>s</w:t>
        </w:r>
        <w:r w:rsidR="001E4F7F">
          <w:rPr>
            <w:rStyle w:val="Hyperlink"/>
          </w:rPr>
          <w:t xml:space="preserve">ection </w:t>
        </w:r>
        <w:r w:rsidR="000610CF" w:rsidRPr="000259CD">
          <w:rPr>
            <w:rStyle w:val="Hyperlink"/>
          </w:rPr>
          <w:t xml:space="preserve">58 </w:t>
        </w:r>
        <w:r w:rsidR="001E4F7F">
          <w:rPr>
            <w:rStyle w:val="Hyperlink"/>
          </w:rPr>
          <w:t xml:space="preserve">of </w:t>
        </w:r>
        <w:r w:rsidR="000610CF" w:rsidRPr="000259CD">
          <w:rPr>
            <w:rStyle w:val="Hyperlink"/>
          </w:rPr>
          <w:t>MCAA</w:t>
        </w:r>
      </w:hyperlink>
      <w:r w:rsidR="000610CF">
        <w:t>)</w:t>
      </w:r>
    </w:p>
    <w:p w14:paraId="05C1321B" w14:textId="31C15EA0" w:rsidR="000610CF" w:rsidRDefault="000610CF" w:rsidP="000610CF">
      <w:pPr>
        <w:pStyle w:val="ListParagraph"/>
        <w:numPr>
          <w:ilvl w:val="0"/>
          <w:numId w:val="27"/>
        </w:numPr>
        <w:jc w:val="both"/>
      </w:pPr>
      <w:r>
        <w:t>T</w:t>
      </w:r>
      <w:r w:rsidRPr="000610CF">
        <w:t>he duty under the U</w:t>
      </w:r>
      <w:r w:rsidR="0013716E">
        <w:t xml:space="preserve">K </w:t>
      </w:r>
      <w:r w:rsidRPr="000610CF">
        <w:t>M</w:t>
      </w:r>
      <w:r w:rsidR="0013716E">
        <w:t xml:space="preserve">arine </w:t>
      </w:r>
      <w:r w:rsidRPr="000610CF">
        <w:t>S</w:t>
      </w:r>
      <w:r w:rsidR="0013716E">
        <w:t>trategy</w:t>
      </w:r>
      <w:r w:rsidRPr="000610CF">
        <w:t xml:space="preserve"> Reg</w:t>
      </w:r>
      <w:r w:rsidR="0013716E">
        <w:t>ulations</w:t>
      </w:r>
      <w:r w:rsidRPr="000610CF">
        <w:t xml:space="preserve"> 2010 for the S</w:t>
      </w:r>
      <w:r w:rsidR="0013716E">
        <w:t>ecretary of State</w:t>
      </w:r>
      <w:r w:rsidRPr="000610CF">
        <w:t xml:space="preserve"> to exercise </w:t>
      </w:r>
      <w:r w:rsidR="009C320E">
        <w:t>relevant</w:t>
      </w:r>
      <w:r w:rsidR="009C320E" w:rsidRPr="000610CF">
        <w:t xml:space="preserve"> </w:t>
      </w:r>
      <w:r w:rsidRPr="000610CF">
        <w:t xml:space="preserve">functions </w:t>
      </w:r>
      <w:r w:rsidR="00E13987">
        <w:t>so as to secure compliance</w:t>
      </w:r>
      <w:r w:rsidR="003159E3">
        <w:t xml:space="preserve"> with the requirement</w:t>
      </w:r>
      <w:r w:rsidRPr="000610CF">
        <w:t xml:space="preserve"> to take the necessary measures to achieve</w:t>
      </w:r>
      <w:r w:rsidR="0013716E">
        <w:t xml:space="preserve"> or </w:t>
      </w:r>
      <w:r w:rsidRPr="000610CF">
        <w:t xml:space="preserve">maintain </w:t>
      </w:r>
      <w:r w:rsidR="0013716E">
        <w:t xml:space="preserve">good environmental status </w:t>
      </w:r>
      <w:r w:rsidRPr="000610CF">
        <w:t>of UK marine waters</w:t>
      </w:r>
    </w:p>
    <w:p w14:paraId="7D853B74" w14:textId="40BE2E70" w:rsidR="0013716E" w:rsidRPr="000610CF" w:rsidRDefault="000610CF" w:rsidP="00FA4BFA">
      <w:pPr>
        <w:pStyle w:val="ListParagraph"/>
        <w:numPr>
          <w:ilvl w:val="0"/>
          <w:numId w:val="27"/>
        </w:numPr>
        <w:jc w:val="both"/>
      </w:pPr>
      <w:r>
        <w:t xml:space="preserve">The </w:t>
      </w:r>
      <w:r w:rsidR="24D39B88">
        <w:t xml:space="preserve">Marine Protected </w:t>
      </w:r>
      <w:r w:rsidR="00111D6B">
        <w:t>Area (</w:t>
      </w:r>
      <w:r w:rsidR="00D87451">
        <w:t>MPA</w:t>
      </w:r>
      <w:r w:rsidR="00111D6B">
        <w:t>) condition target</w:t>
      </w:r>
      <w:r w:rsidR="00D87451">
        <w:t xml:space="preserve"> in the Environmental Targets (Marine Protected Areas) Regulations 2022</w:t>
      </w:r>
    </w:p>
    <w:p w14:paraId="6B504D90" w14:textId="05D9CA0E" w:rsidR="00534E94" w:rsidRPr="00534E94" w:rsidRDefault="0EDF8775" w:rsidP="00534E94">
      <w:pPr>
        <w:jc w:val="both"/>
      </w:pPr>
      <w:bookmarkStart w:id="16" w:name="_Toc76482956"/>
      <w:r>
        <w:t>T</w:t>
      </w:r>
      <w:r w:rsidR="38A53426">
        <w:t>o ensure proportionate regulation in the marine environment, w</w:t>
      </w:r>
      <w:r w:rsidR="148793C8">
        <w:t>e are</w:t>
      </w:r>
      <w:r w:rsidR="1D3DA94F">
        <w:t xml:space="preserve"> seek</w:t>
      </w:r>
      <w:r w:rsidR="148793C8">
        <w:t>ing</w:t>
      </w:r>
      <w:r w:rsidR="1D3DA94F">
        <w:t xml:space="preserve"> views </w:t>
      </w:r>
      <w:r w:rsidR="148793C8">
        <w:t>on</w:t>
      </w:r>
      <w:r w:rsidR="1D3DA94F">
        <w:t xml:space="preserve"> proposals to create new marine licence exemptions, amend or remove others and to </w:t>
      </w:r>
      <w:r w:rsidR="1067C811">
        <w:t>increase</w:t>
      </w:r>
      <w:r w:rsidR="1D3DA94F">
        <w:t xml:space="preserve"> the number of activities suitable for self-service marine licensing. The objective is to reduce regulatory burden for individuals and business</w:t>
      </w:r>
      <w:r w:rsidR="005A389F">
        <w:t>es</w:t>
      </w:r>
      <w:r w:rsidR="1D3DA94F">
        <w:t xml:space="preserve"> where appropriate whilst not compromising environmental protections, as well as mitigate risks to </w:t>
      </w:r>
      <w:r w:rsidR="1067C811">
        <w:t>other</w:t>
      </w:r>
      <w:r w:rsidR="1D3DA94F">
        <w:t xml:space="preserve"> legitimate </w:t>
      </w:r>
      <w:r w:rsidR="38A53426">
        <w:t xml:space="preserve">uses </w:t>
      </w:r>
      <w:r w:rsidR="1D3DA94F">
        <w:t>of the sea.</w:t>
      </w:r>
    </w:p>
    <w:p w14:paraId="53FC6D1A" w14:textId="1576087C" w:rsidR="004116E0" w:rsidRPr="00A85BEE" w:rsidRDefault="2525D9A1" w:rsidP="00B957AC">
      <w:pPr>
        <w:pStyle w:val="Heading2"/>
      </w:pPr>
      <w:bookmarkStart w:id="17" w:name="_Toc200715773"/>
      <w:r>
        <w:t xml:space="preserve">Standard </w:t>
      </w:r>
      <w:r w:rsidR="48F4E544">
        <w:t>m</w:t>
      </w:r>
      <w:r>
        <w:t xml:space="preserve">arine </w:t>
      </w:r>
      <w:r w:rsidR="48F4E544">
        <w:t>l</w:t>
      </w:r>
      <w:r>
        <w:t>icences</w:t>
      </w:r>
      <w:bookmarkEnd w:id="16"/>
      <w:bookmarkEnd w:id="17"/>
    </w:p>
    <w:p w14:paraId="1007A42C" w14:textId="7B428F5E" w:rsidR="004116E0" w:rsidRDefault="004116E0" w:rsidP="00F32B35">
      <w:pPr>
        <w:jc w:val="both"/>
      </w:pPr>
      <w:r w:rsidRPr="00A85BEE">
        <w:t>If a proposed activity requires a marine licence</w:t>
      </w:r>
      <w:r>
        <w:t>,</w:t>
      </w:r>
      <w:r w:rsidRPr="00A85BEE">
        <w:t xml:space="preserve"> and the activity is not one that meets with self-service criteria</w:t>
      </w:r>
      <w:r w:rsidR="003860B9">
        <w:t xml:space="preserve"> (see </w:t>
      </w:r>
      <w:r w:rsidR="000F77F1">
        <w:t>next section</w:t>
      </w:r>
      <w:r w:rsidR="003860B9">
        <w:t>)</w:t>
      </w:r>
      <w:r w:rsidRPr="00A85BEE">
        <w:t xml:space="preserve">, a </w:t>
      </w:r>
      <w:hyperlink r:id="rId32" w:history="1">
        <w:r w:rsidRPr="00A85BEE">
          <w:rPr>
            <w:rStyle w:val="Hyperlink"/>
          </w:rPr>
          <w:t>standard marine licence</w:t>
        </w:r>
      </w:hyperlink>
      <w:r w:rsidRPr="00A85BEE">
        <w:t xml:space="preserve"> will be required.</w:t>
      </w:r>
      <w:r>
        <w:t xml:space="preserve"> M</w:t>
      </w:r>
      <w:r w:rsidRPr="00A85BEE">
        <w:t xml:space="preserve">ore </w:t>
      </w:r>
      <w:r>
        <w:t xml:space="preserve">information </w:t>
      </w:r>
      <w:r w:rsidRPr="00A85BEE">
        <w:t xml:space="preserve">about the </w:t>
      </w:r>
      <w:hyperlink r:id="rId33" w:history="1">
        <w:r w:rsidRPr="00A85BEE">
          <w:rPr>
            <w:rStyle w:val="Hyperlink"/>
          </w:rPr>
          <w:t>standard marine licence process</w:t>
        </w:r>
      </w:hyperlink>
      <w:r w:rsidRPr="00A85BEE">
        <w:t xml:space="preserve"> and associated </w:t>
      </w:r>
      <w:hyperlink r:id="rId34" w:history="1">
        <w:r w:rsidRPr="00A85BEE">
          <w:rPr>
            <w:rStyle w:val="Hyperlink"/>
          </w:rPr>
          <w:t>fees</w:t>
        </w:r>
      </w:hyperlink>
      <w:r>
        <w:t xml:space="preserve"> can be found online.</w:t>
      </w:r>
    </w:p>
    <w:p w14:paraId="164A9C72" w14:textId="77777777" w:rsidR="004116E0" w:rsidRPr="00BA1154" w:rsidRDefault="004116E0" w:rsidP="00F32B35">
      <w:pPr>
        <w:jc w:val="both"/>
      </w:pPr>
      <w:r w:rsidRPr="00BA1154">
        <w:t xml:space="preserve">In determining a </w:t>
      </w:r>
      <w:r>
        <w:t xml:space="preserve">standard </w:t>
      </w:r>
      <w:r w:rsidRPr="00BA1154">
        <w:t xml:space="preserve">marine licence, the MMO must </w:t>
      </w:r>
      <w:r w:rsidR="00257A8D">
        <w:t>have regard to</w:t>
      </w:r>
      <w:r>
        <w:t xml:space="preserve"> the </w:t>
      </w:r>
      <w:r w:rsidRPr="00BA1154">
        <w:t>need to:</w:t>
      </w:r>
    </w:p>
    <w:p w14:paraId="516EC48B" w14:textId="094E0E53" w:rsidR="004116E0" w:rsidRPr="00BA1154" w:rsidRDefault="00681830" w:rsidP="008E49C1">
      <w:pPr>
        <w:pStyle w:val="ListParagraph"/>
        <w:numPr>
          <w:ilvl w:val="0"/>
          <w:numId w:val="11"/>
        </w:numPr>
        <w:spacing w:line="480" w:lineRule="auto"/>
        <w:jc w:val="both"/>
      </w:pPr>
      <w:r>
        <w:t>p</w:t>
      </w:r>
      <w:r w:rsidR="004116E0" w:rsidRPr="00BA1154">
        <w:t>rotect the environment</w:t>
      </w:r>
    </w:p>
    <w:p w14:paraId="40C6D37F" w14:textId="0BC4F83D" w:rsidR="004116E0" w:rsidRPr="00BA1154" w:rsidRDefault="00681830" w:rsidP="008E49C1">
      <w:pPr>
        <w:pStyle w:val="ListParagraph"/>
        <w:numPr>
          <w:ilvl w:val="0"/>
          <w:numId w:val="11"/>
        </w:numPr>
        <w:spacing w:line="480" w:lineRule="auto"/>
        <w:jc w:val="both"/>
      </w:pPr>
      <w:r>
        <w:t>p</w:t>
      </w:r>
      <w:r w:rsidR="004116E0" w:rsidRPr="00BA1154">
        <w:t>rotect human health</w:t>
      </w:r>
    </w:p>
    <w:p w14:paraId="737460F8" w14:textId="5D2AC298" w:rsidR="00C44E28" w:rsidRDefault="00681830" w:rsidP="00C44E28">
      <w:pPr>
        <w:pStyle w:val="ListParagraph"/>
        <w:numPr>
          <w:ilvl w:val="0"/>
          <w:numId w:val="11"/>
        </w:numPr>
        <w:spacing w:line="480" w:lineRule="auto"/>
        <w:jc w:val="both"/>
      </w:pPr>
      <w:r>
        <w:t>p</w:t>
      </w:r>
      <w:r w:rsidR="004116E0" w:rsidRPr="00BA1154">
        <w:t>revent interference with legitimate uses of the sea</w:t>
      </w:r>
    </w:p>
    <w:p w14:paraId="139EBE0C" w14:textId="1DEE9262" w:rsidR="004116E0" w:rsidRPr="00BA1154" w:rsidRDefault="00681830" w:rsidP="00C44E28">
      <w:pPr>
        <w:pStyle w:val="ListParagraph"/>
        <w:numPr>
          <w:ilvl w:val="0"/>
          <w:numId w:val="11"/>
        </w:numPr>
        <w:spacing w:line="480" w:lineRule="auto"/>
        <w:jc w:val="both"/>
      </w:pPr>
      <w:r>
        <w:t>a</w:t>
      </w:r>
      <w:r w:rsidR="000D6B23">
        <w:t>ny</w:t>
      </w:r>
      <w:r w:rsidR="00257A8D">
        <w:t xml:space="preserve"> such other matters as it thinks relevant</w:t>
      </w:r>
    </w:p>
    <w:p w14:paraId="464BB830" w14:textId="3FCC3AC4" w:rsidR="004116E0" w:rsidRDefault="004116E0" w:rsidP="00F32B35">
      <w:pPr>
        <w:jc w:val="both"/>
      </w:pPr>
      <w:r>
        <w:t>The MMO will therefore consider where an activity is taking place, the type of activity itself, and what impact it will have. The MMO may also require supporting information</w:t>
      </w:r>
      <w:r w:rsidR="004F2ADB">
        <w:t xml:space="preserve">, for example </w:t>
      </w:r>
      <w:r>
        <w:t xml:space="preserve">to assess the impacts on a MPA or if the project has certain characteristics that trigger an Environmental Impact Assessment. </w:t>
      </w:r>
    </w:p>
    <w:p w14:paraId="1A213353" w14:textId="77777777" w:rsidR="004116E0" w:rsidRDefault="004116E0" w:rsidP="00F32B35">
      <w:pPr>
        <w:jc w:val="both"/>
      </w:pPr>
      <w:r>
        <w:t xml:space="preserve">The MMO aim to determine a licence within 13 weeks of an application being </w:t>
      </w:r>
      <w:r w:rsidR="00506011">
        <w:t>allocated to a case officer</w:t>
      </w:r>
      <w:r>
        <w:t>. However, some low-risk activities may be eligible for an instant ‘self-service’ marine licence or be exempt from the need for a marine licence.</w:t>
      </w:r>
    </w:p>
    <w:p w14:paraId="21838A10" w14:textId="7E6C49BD" w:rsidR="00E35F3C" w:rsidRDefault="08A55903" w:rsidP="00B957AC">
      <w:pPr>
        <w:pStyle w:val="Heading2"/>
      </w:pPr>
      <w:bookmarkStart w:id="18" w:name="_Toc76482957"/>
      <w:bookmarkStart w:id="19" w:name="_Toc200715774"/>
      <w:r>
        <w:lastRenderedPageBreak/>
        <w:t>Self-</w:t>
      </w:r>
      <w:r w:rsidR="05C6FA82">
        <w:t>s</w:t>
      </w:r>
      <w:r>
        <w:t xml:space="preserve">ervice </w:t>
      </w:r>
      <w:r w:rsidR="48F4E544">
        <w:t>m</w:t>
      </w:r>
      <w:r>
        <w:t xml:space="preserve">arine </w:t>
      </w:r>
      <w:r w:rsidR="48F4E544">
        <w:t>l</w:t>
      </w:r>
      <w:r>
        <w:t>icences</w:t>
      </w:r>
      <w:bookmarkEnd w:id="18"/>
      <w:bookmarkEnd w:id="19"/>
    </w:p>
    <w:p w14:paraId="2E294879" w14:textId="77777777" w:rsidR="00E35F3C" w:rsidRDefault="00C5751E" w:rsidP="00F32B35">
      <w:pPr>
        <w:jc w:val="both"/>
      </w:pPr>
      <w:r>
        <w:t xml:space="preserve">The MMO classes </w:t>
      </w:r>
      <w:r w:rsidR="00232F02">
        <w:t>several</w:t>
      </w:r>
      <w:r w:rsidR="00E35F3C">
        <w:t xml:space="preserve"> </w:t>
      </w:r>
      <w:r w:rsidR="006F5386">
        <w:t xml:space="preserve">types of </w:t>
      </w:r>
      <w:r w:rsidR="00E35F3C">
        <w:t xml:space="preserve">activities </w:t>
      </w:r>
      <w:r>
        <w:t>as</w:t>
      </w:r>
      <w:r w:rsidR="00E35F3C">
        <w:t xml:space="preserve"> low risk</w:t>
      </w:r>
      <w:r w:rsidR="00E360A3">
        <w:t>,</w:t>
      </w:r>
      <w:r w:rsidR="00E35F3C">
        <w:t xml:space="preserve"> </w:t>
      </w:r>
      <w:r w:rsidR="038DB21D">
        <w:t>where they have been assessed as low risk and</w:t>
      </w:r>
      <w:r w:rsidR="00E35F3C">
        <w:t xml:space="preserve"> they are sufficiently consistent in nature and extent</w:t>
      </w:r>
      <w:r w:rsidR="00673F6C">
        <w:t>.</w:t>
      </w:r>
      <w:r w:rsidR="00506011">
        <w:t xml:space="preserve"> </w:t>
      </w:r>
      <w:r w:rsidR="00673F6C">
        <w:t>I</w:t>
      </w:r>
      <w:r w:rsidR="00E35F3C">
        <w:t>n specific circumstances these activities are not subject to the standard marine licensing process</w:t>
      </w:r>
      <w:r w:rsidR="00673F6C">
        <w:t xml:space="preserve"> and</w:t>
      </w:r>
      <w:r w:rsidR="00E35F3C">
        <w:t xml:space="preserve"> </w:t>
      </w:r>
      <w:r w:rsidR="00673F6C">
        <w:t>i</w:t>
      </w:r>
      <w:r w:rsidR="008117B3">
        <w:t>nstead</w:t>
      </w:r>
      <w:r w:rsidR="007C6EAE">
        <w:t xml:space="preserve"> </w:t>
      </w:r>
      <w:r w:rsidR="00673F6C">
        <w:t xml:space="preserve">may </w:t>
      </w:r>
      <w:r w:rsidR="00E35F3C">
        <w:t>qualify for a self-service marine licence</w:t>
      </w:r>
      <w:r w:rsidR="00136538">
        <w:t xml:space="preserve"> (self-service activities)</w:t>
      </w:r>
      <w:r w:rsidR="00E35F3C">
        <w:t>.</w:t>
      </w:r>
      <w:r w:rsidR="00FC3800">
        <w:t xml:space="preserve">  Under the Marine Licensing (Application Fees) Regulations </w:t>
      </w:r>
      <w:r w:rsidR="00FC3800" w:rsidRPr="00C7021B">
        <w:rPr>
          <w:rFonts w:eastAsia="MS Gothic"/>
        </w:rPr>
        <w:t xml:space="preserve">2014, applications that qualify for a self-service marine licence fall under the “Band 1” fee band </w:t>
      </w:r>
      <w:r w:rsidR="00673F6C" w:rsidRPr="00C7021B">
        <w:rPr>
          <w:rFonts w:eastAsia="MS Gothic"/>
        </w:rPr>
        <w:t>(</w:t>
      </w:r>
      <w:r w:rsidR="00FC3800" w:rsidRPr="00C7021B">
        <w:rPr>
          <w:rFonts w:eastAsia="MS Gothic"/>
        </w:rPr>
        <w:t>£50</w:t>
      </w:r>
      <w:r w:rsidR="00673F6C" w:rsidRPr="00C7021B">
        <w:rPr>
          <w:rFonts w:eastAsia="MS Gothic"/>
        </w:rPr>
        <w:t>)</w:t>
      </w:r>
      <w:r w:rsidR="00FC3800" w:rsidRPr="00C7021B">
        <w:rPr>
          <w:rFonts w:eastAsia="MS Gothic"/>
        </w:rPr>
        <w:t xml:space="preserve">. </w:t>
      </w:r>
    </w:p>
    <w:p w14:paraId="1BE1AD72" w14:textId="77777777" w:rsidR="1F8ED89E" w:rsidRDefault="1F8ED89E" w:rsidP="734B6432">
      <w:pPr>
        <w:jc w:val="both"/>
      </w:pPr>
      <w:r>
        <w:t>Since the introduction of the self-service system in 2017 the number of self-service applications has continued to increase, and since 2020 self-service permits have become the majority of marine licences issued.</w:t>
      </w:r>
    </w:p>
    <w:p w14:paraId="12F98D15" w14:textId="5D13CBC5" w:rsidR="00E35F3C" w:rsidRDefault="00E35F3C" w:rsidP="00F32B35">
      <w:pPr>
        <w:jc w:val="both"/>
      </w:pPr>
      <w:r>
        <w:t xml:space="preserve">Self-service determinations are reached based on </w:t>
      </w:r>
      <w:hyperlink r:id="rId35" w:anchor="basic-criteria-for-self-service-marine-licensing">
        <w:r w:rsidRPr="1D83DE68">
          <w:rPr>
            <w:rStyle w:val="Hyperlink"/>
          </w:rPr>
          <w:t>certain criteria</w:t>
        </w:r>
      </w:hyperlink>
      <w:r>
        <w:t xml:space="preserve"> being met.  This is established</w:t>
      </w:r>
      <w:r w:rsidR="00AE79AC">
        <w:t xml:space="preserve"> during the application process</w:t>
      </w:r>
      <w:r>
        <w:t xml:space="preserve"> th</w:t>
      </w:r>
      <w:r w:rsidR="00C5751E">
        <w:t>r</w:t>
      </w:r>
      <w:r>
        <w:t>ough</w:t>
      </w:r>
      <w:r w:rsidR="00C5751E">
        <w:t xml:space="preserve"> the MMO’s online assistance tool</w:t>
      </w:r>
      <w:r w:rsidR="007855B7">
        <w:t>. The tool</w:t>
      </w:r>
      <w:r w:rsidR="00C5751E">
        <w:t xml:space="preserve"> asks</w:t>
      </w:r>
      <w:r>
        <w:t xml:space="preserve"> a series of</w:t>
      </w:r>
      <w:r w:rsidR="22931356">
        <w:t xml:space="preserve"> </w:t>
      </w:r>
      <w:r>
        <w:t>questions</w:t>
      </w:r>
      <w:r w:rsidR="00AE79AC">
        <w:t>,</w:t>
      </w:r>
      <w:r>
        <w:t xml:space="preserve"> </w:t>
      </w:r>
      <w:r w:rsidR="003F6BCD">
        <w:t>to establish location, activity, scale and impact.  Where applicable</w:t>
      </w:r>
      <w:r w:rsidR="006F5386">
        <w:t>,</w:t>
      </w:r>
      <w:r w:rsidR="003F6BCD">
        <w:t xml:space="preserve"> supporting documentation, such as a method statement agreed with Natural England </w:t>
      </w:r>
      <w:r w:rsidR="00E667BC">
        <w:t xml:space="preserve">(NE) </w:t>
      </w:r>
      <w:r w:rsidR="00BA754F">
        <w:t>will need to be uploaded</w:t>
      </w:r>
      <w:r>
        <w:t xml:space="preserve">. </w:t>
      </w:r>
      <w:r w:rsidR="00BA754F">
        <w:t xml:space="preserve">Where answers to these questions meet the criteria </w:t>
      </w:r>
      <w:r>
        <w:t xml:space="preserve">the MMO can be satisfied that the proposed activity is low </w:t>
      </w:r>
      <w:bookmarkStart w:id="20" w:name="_Int_HqqcAAhK"/>
      <w:proofErr w:type="gramStart"/>
      <w:r>
        <w:t>risk</w:t>
      </w:r>
      <w:bookmarkEnd w:id="20"/>
      <w:proofErr w:type="gramEnd"/>
      <w:r w:rsidR="00BA754F">
        <w:t xml:space="preserve"> and the online system can offer a </w:t>
      </w:r>
      <w:r w:rsidR="007C6EAE">
        <w:t>‘self-service’</w:t>
      </w:r>
      <w:r>
        <w:t xml:space="preserve"> licen</w:t>
      </w:r>
      <w:r w:rsidR="004A1E0A">
        <w:t>c</w:t>
      </w:r>
      <w:r w:rsidR="00BA754F">
        <w:t>e</w:t>
      </w:r>
      <w:r>
        <w:t>.</w:t>
      </w:r>
    </w:p>
    <w:p w14:paraId="31B17170" w14:textId="77777777" w:rsidR="00133340" w:rsidRDefault="00133340" w:rsidP="00F32B35">
      <w:pPr>
        <w:jc w:val="both"/>
      </w:pPr>
      <w:r>
        <w:t xml:space="preserve">Further information and guidance in respect of current self-service can be found </w:t>
      </w:r>
      <w:hyperlink r:id="rId36" w:history="1">
        <w:r w:rsidRPr="002D1B51">
          <w:rPr>
            <w:rStyle w:val="Hyperlink"/>
          </w:rPr>
          <w:t>here</w:t>
        </w:r>
      </w:hyperlink>
      <w:r w:rsidR="00155F5E">
        <w:t>.</w:t>
      </w:r>
    </w:p>
    <w:p w14:paraId="6821DFA0" w14:textId="0C946A9C" w:rsidR="00E35F3C" w:rsidRPr="000B5230" w:rsidRDefault="08A55903" w:rsidP="00B957AC">
      <w:pPr>
        <w:pStyle w:val="Heading2"/>
      </w:pPr>
      <w:bookmarkStart w:id="21" w:name="_Toc76482958"/>
      <w:bookmarkStart w:id="22" w:name="_Toc200715775"/>
      <w:r>
        <w:t xml:space="preserve">Marine </w:t>
      </w:r>
      <w:r w:rsidR="006C69A2">
        <w:t>l</w:t>
      </w:r>
      <w:r>
        <w:t xml:space="preserve">icensing </w:t>
      </w:r>
      <w:r w:rsidR="006C69A2">
        <w:t>e</w:t>
      </w:r>
      <w:r>
        <w:t>xemptions</w:t>
      </w:r>
      <w:bookmarkEnd w:id="21"/>
      <w:bookmarkEnd w:id="22"/>
    </w:p>
    <w:p w14:paraId="24AF36E7" w14:textId="77777777" w:rsidR="003F35F9" w:rsidRDefault="50A343F2" w:rsidP="00F32B35">
      <w:pPr>
        <w:jc w:val="both"/>
      </w:pPr>
      <w:r>
        <w:t xml:space="preserve">Marine </w:t>
      </w:r>
      <w:r w:rsidR="007855B7">
        <w:t>l</w:t>
      </w:r>
      <w:r>
        <w:t xml:space="preserve">icensing </w:t>
      </w:r>
      <w:r w:rsidR="007855B7">
        <w:t>e</w:t>
      </w:r>
      <w:r w:rsidR="00E35F3C">
        <w:t xml:space="preserve">xemptions </w:t>
      </w:r>
      <w:r w:rsidR="5CC7EC81">
        <w:t>are applied where there is</w:t>
      </w:r>
      <w:r w:rsidR="00E360A3">
        <w:t xml:space="preserve"> even greater</w:t>
      </w:r>
      <w:r w:rsidR="5CC7EC81">
        <w:t xml:space="preserve"> certainty that an activity is </w:t>
      </w:r>
      <w:bookmarkStart w:id="23" w:name="_Int_HoRMZbkT"/>
      <w:r w:rsidR="5CC7EC81">
        <w:t>low risk</w:t>
      </w:r>
      <w:bookmarkEnd w:id="23"/>
      <w:r w:rsidR="5CC7EC81">
        <w:t xml:space="preserve"> irrespective of</w:t>
      </w:r>
      <w:r w:rsidR="00E360A3">
        <w:t xml:space="preserve"> context, such as location</w:t>
      </w:r>
      <w:r w:rsidR="00C55B79">
        <w:t>, or the activities are managed through other regulation</w:t>
      </w:r>
      <w:r w:rsidR="3C3EB131">
        <w:t>.</w:t>
      </w:r>
    </w:p>
    <w:p w14:paraId="3E07C321" w14:textId="18F7377D" w:rsidR="00E35F3C" w:rsidRDefault="002F27A1" w:rsidP="00F32B35">
      <w:pPr>
        <w:jc w:val="both"/>
      </w:pPr>
      <w:r>
        <w:t xml:space="preserve">Current exemptions applicable in English inshore and offshore regions and the Northern Ireland offshore region are set out in the Marine Licensing (Exempted Activities) Order 2011 </w:t>
      </w:r>
      <w:r w:rsidR="00D25045">
        <w:t>(the 2011 Order)</w:t>
      </w:r>
      <w:r w:rsidR="00B34356">
        <w:rPr>
          <w:rStyle w:val="FootnoteReference"/>
        </w:rPr>
        <w:footnoteReference w:id="6"/>
      </w:r>
      <w:r>
        <w:t xml:space="preserve">. </w:t>
      </w:r>
      <w:r w:rsidR="00E760B2">
        <w:t>For certain activities, e</w:t>
      </w:r>
      <w:r w:rsidR="00E35F3C">
        <w:t xml:space="preserve">xemptions are </w:t>
      </w:r>
      <w:r w:rsidR="00E360A3">
        <w:t xml:space="preserve">applied </w:t>
      </w:r>
      <w:r w:rsidR="007C7B75">
        <w:t>subject to relevant qualifying criteria and conditions being met</w:t>
      </w:r>
      <w:r w:rsidR="00E35F3C">
        <w:t xml:space="preserve">. </w:t>
      </w:r>
      <w:r w:rsidR="00B54A15">
        <w:t>Exemptions are applied</w:t>
      </w:r>
      <w:r w:rsidR="00E35F3C">
        <w:t xml:space="preserve"> for one of three reasons:</w:t>
      </w:r>
    </w:p>
    <w:p w14:paraId="1F44F252" w14:textId="54CD26E8" w:rsidR="00E35F3C" w:rsidRDefault="00E35F3C" w:rsidP="008E49C1">
      <w:pPr>
        <w:pStyle w:val="ListParagraph"/>
        <w:numPr>
          <w:ilvl w:val="0"/>
          <w:numId w:val="12"/>
        </w:numPr>
        <w:jc w:val="both"/>
      </w:pPr>
      <w:r>
        <w:t>The activity is considered very low risk</w:t>
      </w:r>
      <w:r w:rsidR="00153FC6">
        <w:t xml:space="preserve"> irrespective of context</w:t>
      </w:r>
    </w:p>
    <w:p w14:paraId="3DEEC669" w14:textId="77777777" w:rsidR="00E35F3C" w:rsidRDefault="00E35F3C" w:rsidP="00F32B35">
      <w:pPr>
        <w:pStyle w:val="ListParagraph"/>
        <w:jc w:val="both"/>
      </w:pPr>
    </w:p>
    <w:p w14:paraId="3E04E46B" w14:textId="73095AE0" w:rsidR="00E35F3C" w:rsidRDefault="00E35F3C" w:rsidP="008E49C1">
      <w:pPr>
        <w:pStyle w:val="ListParagraph"/>
        <w:numPr>
          <w:ilvl w:val="0"/>
          <w:numId w:val="12"/>
        </w:numPr>
        <w:jc w:val="both"/>
      </w:pPr>
      <w:r>
        <w:t>There is duplication of regulation with other consenting regimes</w:t>
      </w:r>
    </w:p>
    <w:p w14:paraId="3656B9AB" w14:textId="77777777" w:rsidR="00AE79AC" w:rsidRDefault="00AE79AC" w:rsidP="00AE79AC">
      <w:pPr>
        <w:pStyle w:val="ListParagraph"/>
        <w:jc w:val="both"/>
      </w:pPr>
    </w:p>
    <w:p w14:paraId="0A112B30" w14:textId="42CF2539" w:rsidR="00E35F3C" w:rsidRDefault="00F04653" w:rsidP="008E49C1">
      <w:pPr>
        <w:pStyle w:val="ListParagraph"/>
        <w:numPr>
          <w:ilvl w:val="0"/>
          <w:numId w:val="12"/>
        </w:numPr>
        <w:jc w:val="both"/>
      </w:pPr>
      <w:r>
        <w:lastRenderedPageBreak/>
        <w:t xml:space="preserve">In certain </w:t>
      </w:r>
      <w:r w:rsidR="00AE79AC">
        <w:t>circumstances where</w:t>
      </w:r>
      <w:r>
        <w:t xml:space="preserve"> </w:t>
      </w:r>
      <w:r w:rsidR="00E35F3C">
        <w:t>urgent action is required</w:t>
      </w:r>
    </w:p>
    <w:p w14:paraId="5FE19E3E" w14:textId="77777777" w:rsidR="00E35F3C" w:rsidRDefault="00E360A3" w:rsidP="00F32B35">
      <w:pPr>
        <w:jc w:val="both"/>
      </w:pPr>
      <w:r>
        <w:t>In 201</w:t>
      </w:r>
      <w:r w:rsidR="00671752">
        <w:t>9</w:t>
      </w:r>
      <w:r>
        <w:t xml:space="preserve">, </w:t>
      </w:r>
      <w:r w:rsidR="00671752">
        <w:t>the Marine Licensing (Exempted Activities) (Amendment) Order 2019 (the 2019 Order)</w:t>
      </w:r>
      <w:r w:rsidR="00A16DFA">
        <w:t xml:space="preserve"> amended the 2011 Order to</w:t>
      </w:r>
      <w:r w:rsidR="00C44E28">
        <w:t xml:space="preserve"> </w:t>
      </w:r>
      <w:r w:rsidR="00E35F3C" w:rsidRPr="00AE25C6">
        <w:t>introduce new exemptions from the requirement to have a marine licence</w:t>
      </w:r>
      <w:r w:rsidR="003C5CF0">
        <w:t xml:space="preserve"> </w:t>
      </w:r>
      <w:r w:rsidR="00E35F3C" w:rsidRPr="00AE25C6">
        <w:t>and clarified others</w:t>
      </w:r>
      <w:r>
        <w:t xml:space="preserve"> which</w:t>
      </w:r>
      <w:r w:rsidR="00E35F3C" w:rsidRPr="00AE25C6">
        <w:t xml:space="preserve"> support activities that realise environmental benefit, </w:t>
      </w:r>
      <w:r w:rsidR="00E35F3C">
        <w:t>such as removal of marine litter and debris</w:t>
      </w:r>
      <w:r w:rsidR="002A4EE3">
        <w:rPr>
          <w:rStyle w:val="FootnoteReference"/>
        </w:rPr>
        <w:footnoteReference w:id="7"/>
      </w:r>
      <w:r w:rsidR="00E35F3C">
        <w:t xml:space="preserve">. To further support industry, </w:t>
      </w:r>
      <w:r>
        <w:t>organisations,</w:t>
      </w:r>
      <w:r w:rsidR="00E35F3C">
        <w:t xml:space="preserve"> and the public’s understanding of marine licensing exemptions, the MMO updated their online marine licensing checker and self-service function to include exemptions in December 2019.</w:t>
      </w:r>
    </w:p>
    <w:p w14:paraId="2457DB92" w14:textId="77777777" w:rsidR="00312355" w:rsidRDefault="002D1B51" w:rsidP="004D4AF8">
      <w:pPr>
        <w:jc w:val="both"/>
        <w:rPr>
          <w:rFonts w:eastAsia="Times New Roman"/>
          <w:b/>
          <w:bCs/>
          <w:iCs/>
          <w:noProof/>
          <w:color w:val="008938"/>
          <w:sz w:val="36"/>
          <w:szCs w:val="28"/>
        </w:rPr>
      </w:pPr>
      <w:r>
        <w:t xml:space="preserve">Further information and guidance in respect of marine licence exemptions can be found </w:t>
      </w:r>
      <w:hyperlink r:id="rId37" w:history="1">
        <w:r w:rsidRPr="002D1B51">
          <w:rPr>
            <w:rStyle w:val="Hyperlink"/>
          </w:rPr>
          <w:t>here</w:t>
        </w:r>
      </w:hyperlink>
      <w:r w:rsidR="00944F17">
        <w:t xml:space="preserve">. </w:t>
      </w:r>
      <w:r w:rsidR="00985F10">
        <w:t>A</w:t>
      </w:r>
      <w:r w:rsidR="00944F17">
        <w:t xml:space="preserve"> list of the current marine licensing </w:t>
      </w:r>
      <w:r w:rsidR="00944F17" w:rsidRPr="006D1657">
        <w:t xml:space="preserve">exemptions </w:t>
      </w:r>
      <w:hyperlink r:id="rId38" w:history="1">
        <w:r w:rsidR="00944F17" w:rsidRPr="006D1657">
          <w:rPr>
            <w:rStyle w:val="Hyperlink"/>
          </w:rPr>
          <w:t>can be found online</w:t>
        </w:r>
      </w:hyperlink>
      <w:r w:rsidR="00944F17">
        <w:t>.</w:t>
      </w:r>
      <w:bookmarkStart w:id="24" w:name="_Toc76482959"/>
    </w:p>
    <w:p w14:paraId="1FA75447" w14:textId="77777777" w:rsidR="003F7EB3" w:rsidRPr="003F7EB3" w:rsidRDefault="003F7EB3" w:rsidP="003F7EB3">
      <w:pPr>
        <w:pStyle w:val="Heading2"/>
      </w:pPr>
      <w:bookmarkStart w:id="25" w:name="_Toc200715776"/>
      <w:bookmarkEnd w:id="24"/>
      <w:r w:rsidRPr="003F7EB3">
        <w:t>Using and sharing your information</w:t>
      </w:r>
      <w:bookmarkEnd w:id="25"/>
      <w:r w:rsidRPr="003F7EB3">
        <w:t>  </w:t>
      </w:r>
    </w:p>
    <w:p w14:paraId="7158DC8A" w14:textId="21D30E52" w:rsidR="00AD17F1" w:rsidRPr="00AD17F1" w:rsidRDefault="00AD17F1" w:rsidP="00AD17F1">
      <w:pPr>
        <w:shd w:val="clear" w:color="auto" w:fill="FFFFFF"/>
        <w:spacing w:before="100" w:beforeAutospacing="1" w:after="100" w:afterAutospacing="1"/>
        <w:rPr>
          <w:color w:val="000000"/>
          <w:szCs w:val="24"/>
          <w:lang w:eastAsia="en-GB"/>
        </w:rPr>
      </w:pPr>
      <w:r w:rsidRPr="00AD17F1">
        <w:rPr>
          <w:color w:val="000000"/>
          <w:szCs w:val="24"/>
        </w:rPr>
        <w:t xml:space="preserve">How we use your personal data is set out in the consultation and call for evidence exercise privacy notice which can be found here </w:t>
      </w:r>
      <w:hyperlink r:id="rId39" w:history="1">
        <w:r w:rsidRPr="003F7EB3">
          <w:rPr>
            <w:rStyle w:val="Hyperlink"/>
          </w:rPr>
          <w:t>https://www.gov.uk/government/publications/defras-consultations-and-call-for-evidence-exercises-privacy-notice</w:t>
        </w:r>
      </w:hyperlink>
      <w:r w:rsidRPr="00AD17F1">
        <w:rPr>
          <w:color w:val="000000"/>
          <w:szCs w:val="24"/>
        </w:rPr>
        <w:t> </w:t>
      </w:r>
    </w:p>
    <w:p w14:paraId="79119589" w14:textId="77777777" w:rsidR="00AD17F1" w:rsidRPr="00AD17F1" w:rsidRDefault="00AD17F1" w:rsidP="00AD17F1">
      <w:pPr>
        <w:shd w:val="clear" w:color="auto" w:fill="FFFFFF"/>
        <w:spacing w:before="100" w:beforeAutospacing="1" w:after="100" w:afterAutospacing="1"/>
        <w:rPr>
          <w:color w:val="000000"/>
          <w:szCs w:val="24"/>
        </w:rPr>
      </w:pPr>
      <w:r w:rsidRPr="00AD17F1">
        <w:rPr>
          <w:b/>
          <w:bCs/>
          <w:color w:val="000000"/>
          <w:szCs w:val="24"/>
        </w:rPr>
        <w:t>Other Information</w:t>
      </w:r>
      <w:r w:rsidRPr="00AD17F1">
        <w:rPr>
          <w:color w:val="000000"/>
          <w:szCs w:val="24"/>
        </w:rPr>
        <w:t>  </w:t>
      </w:r>
    </w:p>
    <w:p w14:paraId="45FB0818" w14:textId="128DE11A" w:rsidR="00312355" w:rsidRPr="00AD17F1" w:rsidRDefault="00AD17F1" w:rsidP="00312355">
      <w:pPr>
        <w:jc w:val="both"/>
        <w:rPr>
          <w:szCs w:val="24"/>
        </w:rPr>
      </w:pPr>
      <w:r w:rsidRPr="00AD17F1">
        <w:rPr>
          <w:color w:val="000000"/>
          <w:szCs w:val="24"/>
        </w:rPr>
        <w:t xml:space="preserve">This consultation is being conducted in line with the Cabinet Office “Consultation Principles” and be found at: </w:t>
      </w:r>
      <w:hyperlink r:id="rId40" w:history="1">
        <w:r w:rsidRPr="003F7EB3">
          <w:rPr>
            <w:rStyle w:val="Hyperlink"/>
          </w:rPr>
          <w:t>Microsoft Word - Consultation Principles (1).docx (publishing.service.gov.uk)</w:t>
        </w:r>
      </w:hyperlink>
    </w:p>
    <w:p w14:paraId="3A670B50" w14:textId="77777777" w:rsidR="001B5DE1" w:rsidRDefault="001B5DE1" w:rsidP="001B5DE1">
      <w:pPr>
        <w:pBdr>
          <w:top w:val="single" w:sz="4" w:space="1" w:color="auto"/>
          <w:left w:val="single" w:sz="4" w:space="4" w:color="auto"/>
          <w:bottom w:val="single" w:sz="4" w:space="1" w:color="auto"/>
          <w:right w:val="single" w:sz="4" w:space="4" w:color="auto"/>
        </w:pBdr>
        <w:spacing w:after="238" w:line="278" w:lineRule="auto"/>
        <w:jc w:val="both"/>
        <w:rPr>
          <w:rFonts w:cs="Arial"/>
          <w:b/>
        </w:rPr>
      </w:pPr>
      <w:r>
        <w:rPr>
          <w:rFonts w:cs="Arial"/>
          <w:b/>
        </w:rPr>
        <w:t xml:space="preserve">1. </w:t>
      </w:r>
      <w:r w:rsidRPr="00312355">
        <w:rPr>
          <w:rFonts w:cs="Arial"/>
          <w:b/>
        </w:rPr>
        <w:t>Would you like your response to be confidential?</w:t>
      </w:r>
      <w:r>
        <w:rPr>
          <w:rFonts w:cs="Arial"/>
          <w:b/>
        </w:rPr>
        <w:t xml:space="preserve"> </w:t>
      </w:r>
    </w:p>
    <w:p w14:paraId="4E7AA5A3" w14:textId="61AD021A" w:rsidR="001B5DE1" w:rsidRDefault="001B5DE1" w:rsidP="002077E0">
      <w:pPr>
        <w:pBdr>
          <w:top w:val="single" w:sz="4" w:space="1" w:color="auto"/>
          <w:left w:val="single" w:sz="4" w:space="4" w:color="auto"/>
          <w:bottom w:val="single" w:sz="4" w:space="1" w:color="auto"/>
          <w:right w:val="single" w:sz="4" w:space="4" w:color="auto"/>
        </w:pBdr>
        <w:spacing w:after="238" w:line="278" w:lineRule="auto"/>
        <w:jc w:val="both"/>
      </w:pPr>
      <w:r>
        <w:rPr>
          <w:rFonts w:cs="Arial"/>
          <w:b/>
        </w:rPr>
        <w:t xml:space="preserve">Yes </w:t>
      </w:r>
      <w:r w:rsidR="00345A31">
        <w:rPr>
          <w:rFonts w:cs="Arial"/>
          <w:b/>
        </w:rPr>
        <w:t>or</w:t>
      </w:r>
      <w:r>
        <w:rPr>
          <w:rFonts w:cs="Arial"/>
          <w:b/>
        </w:rPr>
        <w:t xml:space="preserve"> No</w:t>
      </w:r>
    </w:p>
    <w:p w14:paraId="049F31CB" w14:textId="3958DFBC" w:rsidR="00375E3B" w:rsidRPr="00276BF4" w:rsidRDefault="001B5DE1" w:rsidP="002077E0">
      <w:pPr>
        <w:pBdr>
          <w:top w:val="single" w:sz="4" w:space="1" w:color="auto"/>
          <w:left w:val="single" w:sz="4" w:space="4" w:color="auto"/>
          <w:bottom w:val="single" w:sz="4" w:space="1" w:color="auto"/>
          <w:right w:val="single" w:sz="4" w:space="4" w:color="auto"/>
        </w:pBdr>
        <w:spacing w:before="0" w:after="0"/>
        <w:jc w:val="both"/>
        <w:rPr>
          <w:b/>
        </w:rPr>
      </w:pPr>
      <w:r w:rsidRPr="00312355">
        <w:rPr>
          <w:b/>
        </w:rPr>
        <w:t>If you answered Yes to this question, please give your reason</w:t>
      </w:r>
      <w:r w:rsidR="00977B7D">
        <w:rPr>
          <w:b/>
        </w:rPr>
        <w:t>(s)</w:t>
      </w:r>
      <w:r w:rsidRPr="00312355">
        <w:rPr>
          <w:b/>
        </w:rPr>
        <w:t>.</w:t>
      </w:r>
    </w:p>
    <w:p w14:paraId="3624CE0B" w14:textId="20DF1DF2" w:rsidR="00312355" w:rsidRDefault="562A155E" w:rsidP="00AB64A7">
      <w:pPr>
        <w:pStyle w:val="Heading1"/>
        <w:rPr>
          <w:noProof/>
        </w:rPr>
      </w:pPr>
      <w:bookmarkStart w:id="26" w:name="_Toc200715777"/>
      <w:r w:rsidRPr="73622320">
        <w:rPr>
          <w:noProof/>
        </w:rPr>
        <w:t xml:space="preserve">Details of </w:t>
      </w:r>
      <w:r w:rsidR="006C69A2">
        <w:rPr>
          <w:noProof/>
        </w:rPr>
        <w:t>p</w:t>
      </w:r>
      <w:r w:rsidRPr="73622320">
        <w:rPr>
          <w:noProof/>
        </w:rPr>
        <w:t xml:space="preserve">roposed </w:t>
      </w:r>
      <w:r w:rsidR="006C69A2">
        <w:rPr>
          <w:noProof/>
        </w:rPr>
        <w:t>a</w:t>
      </w:r>
      <w:r w:rsidRPr="73622320">
        <w:rPr>
          <w:noProof/>
        </w:rPr>
        <w:t>mendments</w:t>
      </w:r>
      <w:bookmarkEnd w:id="26"/>
    </w:p>
    <w:p w14:paraId="6316C6B7" w14:textId="77777777" w:rsidR="00D25045" w:rsidRDefault="00D25045" w:rsidP="009F3368">
      <w:r>
        <w:t>References to Article numbers are to relevant Articles in the 2011 Order</w:t>
      </w:r>
      <w:r w:rsidR="00CF231E">
        <w:t xml:space="preserve"> (as amended)</w:t>
      </w:r>
      <w:r>
        <w:t>.</w:t>
      </w:r>
    </w:p>
    <w:p w14:paraId="6682F152" w14:textId="1D61C488" w:rsidR="00D023DA" w:rsidRPr="00D023DA" w:rsidRDefault="00D023DA" w:rsidP="00D023DA">
      <w:pPr>
        <w:rPr>
          <w:b/>
          <w:bCs/>
        </w:rPr>
      </w:pPr>
      <w:r w:rsidRPr="00D023DA">
        <w:t xml:space="preserve">The MMO classes several types of activities as low risk but not low risk enough to qualify for an exemption. In specific circumstances these activities may qualify for a self-service </w:t>
      </w:r>
      <w:r w:rsidRPr="00D023DA">
        <w:lastRenderedPageBreak/>
        <w:t xml:space="preserve">marine licence. Applications that qualify for a self-service marine licence fall under the ‘Band 1’ fee band in the </w:t>
      </w:r>
      <w:hyperlink r:id="rId41" w:tgtFrame="_blank" w:history="1">
        <w:r w:rsidRPr="00D023DA">
          <w:rPr>
            <w:rStyle w:val="Hyperlink"/>
          </w:rPr>
          <w:t>Marine Licensing (Application Fees) Regulations 2014</w:t>
        </w:r>
      </w:hyperlink>
      <w:r w:rsidRPr="00D023DA">
        <w:t>.</w:t>
      </w:r>
      <w:r w:rsidRPr="00D023DA">
        <w:rPr>
          <w:b/>
          <w:bCs/>
        </w:rPr>
        <w:t> </w:t>
      </w:r>
    </w:p>
    <w:p w14:paraId="6BA358B2" w14:textId="5B158005" w:rsidR="00D023DA" w:rsidRPr="00C71B8F" w:rsidRDefault="00D023DA" w:rsidP="009F3368">
      <w:r>
        <w:t>The proposed changes detailed below are to add 2 new activities into Band 1 in the Marine Licensing (Application Fees) Regulations 2014 so they can become self-service activities, in order to improve consenting timeframes for low impact activities.</w:t>
      </w:r>
    </w:p>
    <w:p w14:paraId="59283B99" w14:textId="014AFF20" w:rsidR="007E16CC" w:rsidRDefault="6AA09E49" w:rsidP="00B957AC">
      <w:pPr>
        <w:pStyle w:val="Heading2"/>
      </w:pPr>
      <w:bookmarkStart w:id="27" w:name="_Toc200715778"/>
      <w:r>
        <w:t xml:space="preserve">New </w:t>
      </w:r>
      <w:r w:rsidR="006C69A2">
        <w:t>s</w:t>
      </w:r>
      <w:r>
        <w:t>elf-</w:t>
      </w:r>
      <w:r w:rsidR="006C69A2">
        <w:t>s</w:t>
      </w:r>
      <w:r>
        <w:t xml:space="preserve">ervice </w:t>
      </w:r>
      <w:r w:rsidR="006C69A2">
        <w:t>a</w:t>
      </w:r>
      <w:r>
        <w:t>ctivities</w:t>
      </w:r>
      <w:bookmarkEnd w:id="27"/>
    </w:p>
    <w:p w14:paraId="1DA7234D" w14:textId="2D78D52D" w:rsidR="007E16CC" w:rsidRPr="00C7021B" w:rsidRDefault="007E16CC" w:rsidP="007E16CC">
      <w:pPr>
        <w:pStyle w:val="Heading3"/>
        <w:jc w:val="both"/>
        <w:rPr>
          <w:color w:val="008330"/>
        </w:rPr>
      </w:pPr>
      <w:r w:rsidRPr="00C7021B">
        <w:rPr>
          <w:color w:val="008330"/>
        </w:rPr>
        <w:t xml:space="preserve">Scientific instruments – </w:t>
      </w:r>
      <w:r w:rsidR="007D5936">
        <w:rPr>
          <w:color w:val="008330"/>
        </w:rPr>
        <w:t>r</w:t>
      </w:r>
      <w:r w:rsidRPr="00C7021B">
        <w:rPr>
          <w:color w:val="008330"/>
        </w:rPr>
        <w:t>isks to navigation</w:t>
      </w:r>
    </w:p>
    <w:p w14:paraId="381B6953" w14:textId="0463A216" w:rsidR="007E16CC" w:rsidRDefault="00D25045" w:rsidP="007E16CC">
      <w:pPr>
        <w:jc w:val="both"/>
      </w:pPr>
      <w:r>
        <w:t xml:space="preserve">Article 17 </w:t>
      </w:r>
      <w:r w:rsidR="00671752">
        <w:t xml:space="preserve">provides an </w:t>
      </w:r>
      <w:r w:rsidR="007E16CC">
        <w:t xml:space="preserve">exemption for scientific instruments and associated equipment </w:t>
      </w:r>
      <w:r w:rsidR="00671752">
        <w:t xml:space="preserve">and was amended by the 2019 Order </w:t>
      </w:r>
      <w:r w:rsidR="007E16CC">
        <w:t xml:space="preserve">to clarify, by providing specific examples, which types of scientific instruments or associated equipment are considered most likely to cause obstruction or danger to navigation, and for which the exemption is not available. The specific examples given are scientific instruments </w:t>
      </w:r>
      <w:r w:rsidR="00FC63AD">
        <w:t>or</w:t>
      </w:r>
      <w:r w:rsidR="007E16CC">
        <w:t xml:space="preserve"> equipment that are tethered, or which reduce navigational clearance by more than 5% by reference to Chart Datum.  For these, a marine licence is </w:t>
      </w:r>
      <w:r w:rsidR="16C828B4" w:rsidRPr="620E1BD6">
        <w:t>required,</w:t>
      </w:r>
      <w:r w:rsidR="00D023DA" w:rsidRPr="00D023DA">
        <w:rPr>
          <w:szCs w:val="24"/>
        </w:rPr>
        <w:t xml:space="preserve"> </w:t>
      </w:r>
      <w:r w:rsidR="00D023DA" w:rsidRPr="620E1BD6">
        <w:rPr>
          <w:rStyle w:val="normaltextrun"/>
          <w:rFonts w:cs="Arial"/>
          <w:color w:val="0B0C0C"/>
          <w:bdr w:val="none" w:sz="0" w:space="0" w:color="auto" w:frame="1"/>
        </w:rPr>
        <w:t>and these are currently a band 2 or 3 activity</w:t>
      </w:r>
      <w:r w:rsidR="007E16CC" w:rsidRPr="00D023DA">
        <w:rPr>
          <w:szCs w:val="24"/>
        </w:rPr>
        <w:t>.</w:t>
      </w:r>
      <w:r w:rsidR="007E16CC">
        <w:t xml:space="preserve"> </w:t>
      </w:r>
    </w:p>
    <w:p w14:paraId="4ACF8957" w14:textId="77777777" w:rsidR="007E16CC" w:rsidRDefault="007E16CC" w:rsidP="007E16CC">
      <w:pPr>
        <w:jc w:val="both"/>
      </w:pPr>
      <w:r>
        <w:t xml:space="preserve">The exclusion of tethered instruments and </w:t>
      </w:r>
      <w:bookmarkStart w:id="28" w:name="_Hlk188354428"/>
      <w:r>
        <w:t>instruments which reduce navigational clearance by more than 5%</w:t>
      </w:r>
      <w:bookmarkEnd w:id="28"/>
      <w:r>
        <w:t xml:space="preserve"> from this exemption is driven by navigational risk, rather than any environmental impacts. As such, making this a self-service activity would mitigate cost and reduce consenting timeframe impacts for applicants, without impacting the goals of marine licensing.</w:t>
      </w:r>
    </w:p>
    <w:p w14:paraId="3725E7A2" w14:textId="77777777" w:rsidR="007E16CC" w:rsidRDefault="007E16CC" w:rsidP="007E16CC">
      <w:pPr>
        <w:spacing w:after="248" w:line="270" w:lineRule="auto"/>
        <w:jc w:val="both"/>
      </w:pPr>
      <w:r>
        <w:rPr>
          <w:rFonts w:cs="Arial"/>
          <w:b/>
        </w:rPr>
        <w:t xml:space="preserve">Proposed amendment to licensed activity management: </w:t>
      </w:r>
    </w:p>
    <w:p w14:paraId="353C9F7F" w14:textId="17A12538" w:rsidR="007E16CC" w:rsidRDefault="007E16CC" w:rsidP="007E16CC">
      <w:pPr>
        <w:jc w:val="both"/>
      </w:pPr>
      <w:r>
        <w:t>The proposed amendment would retain the need for a marine licence to use scientific instruments that pose the greatest risk to the safety of navigation</w:t>
      </w:r>
      <w:r w:rsidR="007752DF">
        <w:t>.</w:t>
      </w:r>
      <w:r>
        <w:t xml:space="preserve"> </w:t>
      </w:r>
      <w:r w:rsidR="007752DF">
        <w:t>H</w:t>
      </w:r>
      <w:r>
        <w:t>owever</w:t>
      </w:r>
      <w:r w:rsidR="007752DF">
        <w:t>,</w:t>
      </w:r>
      <w:r>
        <w:t xml:space="preserve"> where criteria are met the activity would move from a standard marine licence to a self-service licence under fee Band 1.</w:t>
      </w:r>
    </w:p>
    <w:p w14:paraId="014B1D7F" w14:textId="0A40DC64" w:rsidR="00F2664C" w:rsidRDefault="00136538" w:rsidP="2D452916">
      <w:pPr>
        <w:tabs>
          <w:tab w:val="left" w:pos="2640"/>
        </w:tabs>
        <w:jc w:val="both"/>
        <w:rPr>
          <w:rFonts w:cs="Arial"/>
          <w:shd w:val="clear" w:color="auto" w:fill="FFFFFF"/>
        </w:rPr>
      </w:pPr>
      <w:r>
        <w:rPr>
          <w:rFonts w:cs="Arial"/>
          <w:shd w:val="clear" w:color="auto" w:fill="FFFFFF"/>
        </w:rPr>
        <w:t xml:space="preserve">For the purposes of this exemption, the MMO’s online assistance tool defines </w:t>
      </w:r>
      <w:r w:rsidR="007E16CC" w:rsidRPr="734B6432">
        <w:rPr>
          <w:rFonts w:cs="Arial"/>
          <w:shd w:val="clear" w:color="auto" w:fill="FFFFFF"/>
        </w:rPr>
        <w:t xml:space="preserve">'Scientific instrument' as a specialist device or tool, designed to measure, record or analyse data for scientific purposes. </w:t>
      </w:r>
      <w:r>
        <w:rPr>
          <w:rFonts w:cs="Arial"/>
          <w:shd w:val="clear" w:color="auto" w:fill="FFFFFF"/>
        </w:rPr>
        <w:t xml:space="preserve">It defines </w:t>
      </w:r>
      <w:r w:rsidR="007E16CC" w:rsidRPr="734B6432">
        <w:rPr>
          <w:rFonts w:cs="Arial"/>
          <w:shd w:val="clear" w:color="auto" w:fill="FFFFFF"/>
        </w:rPr>
        <w:t>‘Associated equipment’ as equipment fundamental to the functioning or operation of the instrument itself.</w:t>
      </w:r>
    </w:p>
    <w:p w14:paraId="477BAE10" w14:textId="77777777" w:rsidR="005D6BD7" w:rsidRDefault="005D6BD7" w:rsidP="2D452916">
      <w:pPr>
        <w:tabs>
          <w:tab w:val="left" w:pos="2640"/>
        </w:tabs>
        <w:jc w:val="both"/>
        <w:rPr>
          <w:rFonts w:cs="Arial"/>
          <w:shd w:val="clear" w:color="auto" w:fill="FFFFFF"/>
        </w:rPr>
      </w:pPr>
    </w:p>
    <w:p w14:paraId="67803D68" w14:textId="77777777" w:rsidR="005D6BD7" w:rsidRDefault="005D6BD7" w:rsidP="2D452916">
      <w:pPr>
        <w:tabs>
          <w:tab w:val="left" w:pos="2640"/>
        </w:tabs>
        <w:jc w:val="both"/>
        <w:rPr>
          <w:rFonts w:cs="Arial"/>
          <w:shd w:val="clear" w:color="auto" w:fill="FFFFFF"/>
        </w:rPr>
      </w:pPr>
    </w:p>
    <w:p w14:paraId="5DE32374" w14:textId="77777777" w:rsidR="005D6BD7" w:rsidRDefault="005D6BD7" w:rsidP="2D452916">
      <w:pPr>
        <w:tabs>
          <w:tab w:val="left" w:pos="2640"/>
        </w:tabs>
        <w:jc w:val="both"/>
        <w:rPr>
          <w:rFonts w:cs="Arial"/>
          <w:shd w:val="clear" w:color="auto" w:fill="FFFFFF"/>
        </w:rPr>
      </w:pPr>
    </w:p>
    <w:p w14:paraId="4803FD3B" w14:textId="77777777" w:rsidR="005D6BD7" w:rsidRPr="00276BF4" w:rsidRDefault="005D6BD7" w:rsidP="2D452916">
      <w:pPr>
        <w:tabs>
          <w:tab w:val="left" w:pos="2640"/>
        </w:tabs>
        <w:jc w:val="both"/>
        <w:rPr>
          <w:rFonts w:cs="Arial"/>
          <w:shd w:val="clear" w:color="auto" w:fill="FFFFFF"/>
        </w:rPr>
      </w:pPr>
    </w:p>
    <w:p w14:paraId="1E48031C" w14:textId="0CB28858" w:rsidR="001B5DE1" w:rsidRDefault="71E8075D" w:rsidP="00F2664C">
      <w:pPr>
        <w:pBdr>
          <w:top w:val="single" w:sz="4" w:space="1" w:color="auto"/>
          <w:left w:val="single" w:sz="4" w:space="4" w:color="auto"/>
          <w:bottom w:val="single" w:sz="4" w:space="0" w:color="auto"/>
          <w:right w:val="single" w:sz="4" w:space="4" w:color="auto"/>
        </w:pBdr>
        <w:spacing w:after="238" w:line="278" w:lineRule="auto"/>
        <w:jc w:val="both"/>
        <w:rPr>
          <w:rFonts w:cs="Arial"/>
          <w:b/>
          <w:bCs/>
        </w:rPr>
      </w:pPr>
      <w:r w:rsidRPr="0C6E467E">
        <w:rPr>
          <w:rFonts w:cs="Arial"/>
          <w:b/>
          <w:bCs/>
        </w:rPr>
        <w:lastRenderedPageBreak/>
        <w:t>2</w:t>
      </w:r>
      <w:r w:rsidR="00000951">
        <w:rPr>
          <w:rFonts w:cs="Arial"/>
          <w:b/>
          <w:bCs/>
        </w:rPr>
        <w:t>a</w:t>
      </w:r>
      <w:r w:rsidRPr="0C6E467E">
        <w:rPr>
          <w:rFonts w:cs="Arial"/>
          <w:b/>
          <w:bCs/>
        </w:rPr>
        <w:t xml:space="preserve">. Do you agree with the proposed amendment to </w:t>
      </w:r>
      <w:r w:rsidR="004F3ED0">
        <w:rPr>
          <w:rFonts w:cs="Arial"/>
          <w:b/>
          <w:bCs/>
        </w:rPr>
        <w:t xml:space="preserve">make </w:t>
      </w:r>
      <w:r w:rsidR="00EA1F2D">
        <w:rPr>
          <w:rFonts w:cs="Arial"/>
          <w:b/>
          <w:bCs/>
        </w:rPr>
        <w:t xml:space="preserve">tethered instruments </w:t>
      </w:r>
      <w:r w:rsidR="004F3ED0">
        <w:rPr>
          <w:rFonts w:cs="Arial"/>
          <w:b/>
          <w:bCs/>
        </w:rPr>
        <w:t>a self</w:t>
      </w:r>
      <w:r w:rsidR="00A86E40">
        <w:rPr>
          <w:rFonts w:cs="Arial"/>
          <w:b/>
          <w:bCs/>
        </w:rPr>
        <w:t>-service activity</w:t>
      </w:r>
      <w:r w:rsidRPr="0C6E467E">
        <w:rPr>
          <w:rFonts w:cs="Arial"/>
          <w:b/>
          <w:bCs/>
        </w:rPr>
        <w:t xml:space="preserve">? </w:t>
      </w:r>
    </w:p>
    <w:p w14:paraId="495490B7" w14:textId="3C17A563" w:rsidR="6AF8B225" w:rsidRDefault="14532BBF" w:rsidP="00F2664C">
      <w:pPr>
        <w:pBdr>
          <w:top w:val="single" w:sz="4" w:space="1" w:color="auto"/>
          <w:left w:val="single" w:sz="4" w:space="4" w:color="auto"/>
          <w:bottom w:val="single" w:sz="4" w:space="0" w:color="auto"/>
          <w:right w:val="single" w:sz="4" w:space="4" w:color="auto"/>
        </w:pBdr>
        <w:spacing w:after="238" w:line="278" w:lineRule="auto"/>
        <w:jc w:val="both"/>
        <w:rPr>
          <w:rFonts w:cs="Arial"/>
          <w:b/>
          <w:bCs/>
        </w:rPr>
      </w:pPr>
      <w:r w:rsidRPr="0C6E467E">
        <w:rPr>
          <w:rFonts w:cs="Arial"/>
          <w:b/>
          <w:bCs/>
        </w:rPr>
        <w:t>Yes</w:t>
      </w:r>
      <w:r w:rsidR="004F45A0">
        <w:rPr>
          <w:rFonts w:cs="Arial"/>
          <w:b/>
          <w:bCs/>
        </w:rPr>
        <w:t xml:space="preserve"> or</w:t>
      </w:r>
      <w:r w:rsidR="00E27F20">
        <w:rPr>
          <w:rFonts w:cs="Arial"/>
          <w:b/>
          <w:bCs/>
        </w:rPr>
        <w:t xml:space="preserve"> </w:t>
      </w:r>
      <w:r w:rsidRPr="0C6E467E">
        <w:rPr>
          <w:rFonts w:cs="Arial"/>
          <w:b/>
          <w:bCs/>
        </w:rPr>
        <w:t>No</w:t>
      </w:r>
      <w:r w:rsidR="00E27F20">
        <w:rPr>
          <w:rFonts w:cs="Arial"/>
          <w:b/>
          <w:bCs/>
        </w:rPr>
        <w:t xml:space="preserve"> or </w:t>
      </w:r>
      <w:r w:rsidRPr="0C6E467E">
        <w:rPr>
          <w:rFonts w:cs="Arial"/>
          <w:b/>
          <w:bCs/>
        </w:rPr>
        <w:t xml:space="preserve">Neither Agree nor Disagree  </w:t>
      </w:r>
    </w:p>
    <w:p w14:paraId="52A2AE5E" w14:textId="4549A424" w:rsidR="00000951" w:rsidRDefault="00000951" w:rsidP="00F2664C">
      <w:pPr>
        <w:pBdr>
          <w:top w:val="single" w:sz="4" w:space="1" w:color="auto"/>
          <w:left w:val="single" w:sz="4" w:space="4" w:color="auto"/>
          <w:bottom w:val="single" w:sz="4" w:space="0" w:color="auto"/>
          <w:right w:val="single" w:sz="4" w:space="4" w:color="auto"/>
        </w:pBdr>
        <w:spacing w:after="238" w:line="278" w:lineRule="auto"/>
        <w:jc w:val="both"/>
        <w:rPr>
          <w:rFonts w:cs="Arial"/>
          <w:b/>
          <w:bCs/>
        </w:rPr>
      </w:pPr>
      <w:r>
        <w:rPr>
          <w:rFonts w:cs="Arial"/>
          <w:b/>
          <w:bCs/>
        </w:rPr>
        <w:t>2b</w:t>
      </w:r>
      <w:r w:rsidR="00D33D20">
        <w:rPr>
          <w:rFonts w:cs="Arial"/>
          <w:b/>
          <w:bCs/>
        </w:rPr>
        <w:t xml:space="preserve">.    </w:t>
      </w:r>
      <w:r>
        <w:rPr>
          <w:rFonts w:cs="Arial"/>
          <w:b/>
          <w:bCs/>
        </w:rPr>
        <w:t xml:space="preserve">Do you agree </w:t>
      </w:r>
      <w:r w:rsidR="00204E7D">
        <w:rPr>
          <w:rFonts w:cs="Arial"/>
          <w:b/>
          <w:bCs/>
        </w:rPr>
        <w:t xml:space="preserve">with the proposed amendment to make </w:t>
      </w:r>
      <w:r w:rsidR="00204E7D" w:rsidRPr="00204E7D">
        <w:rPr>
          <w:rFonts w:cs="Arial"/>
          <w:b/>
          <w:bCs/>
        </w:rPr>
        <w:t>instruments which reduce navigational clearance by more than 5%</w:t>
      </w:r>
      <w:r w:rsidR="00204E7D">
        <w:rPr>
          <w:rFonts w:cs="Arial"/>
          <w:b/>
          <w:bCs/>
        </w:rPr>
        <w:t xml:space="preserve"> a self-service activity?</w:t>
      </w:r>
    </w:p>
    <w:p w14:paraId="5AD4062D" w14:textId="5FE5DD04" w:rsidR="00204E7D" w:rsidRDefault="00204E7D" w:rsidP="00F2664C">
      <w:pPr>
        <w:pBdr>
          <w:top w:val="single" w:sz="4" w:space="1" w:color="auto"/>
          <w:left w:val="single" w:sz="4" w:space="4" w:color="auto"/>
          <w:bottom w:val="single" w:sz="4" w:space="0" w:color="auto"/>
          <w:right w:val="single" w:sz="4" w:space="4" w:color="auto"/>
        </w:pBdr>
        <w:spacing w:after="238" w:line="278" w:lineRule="auto"/>
        <w:jc w:val="both"/>
        <w:rPr>
          <w:rFonts w:cs="Arial"/>
          <w:b/>
          <w:bCs/>
        </w:rPr>
      </w:pPr>
      <w:r w:rsidRPr="0C6E467E">
        <w:rPr>
          <w:rFonts w:cs="Arial"/>
          <w:b/>
          <w:bCs/>
        </w:rPr>
        <w:t>Yes</w:t>
      </w:r>
      <w:r>
        <w:rPr>
          <w:rFonts w:cs="Arial"/>
          <w:b/>
          <w:bCs/>
        </w:rPr>
        <w:t xml:space="preserve"> or </w:t>
      </w:r>
      <w:r w:rsidRPr="0C6E467E">
        <w:rPr>
          <w:rFonts w:cs="Arial"/>
          <w:b/>
          <w:bCs/>
        </w:rPr>
        <w:t>No</w:t>
      </w:r>
      <w:r>
        <w:rPr>
          <w:rFonts w:cs="Arial"/>
          <w:b/>
          <w:bCs/>
        </w:rPr>
        <w:t xml:space="preserve"> or </w:t>
      </w:r>
      <w:r w:rsidRPr="0C6E467E">
        <w:rPr>
          <w:rFonts w:cs="Arial"/>
          <w:b/>
          <w:bCs/>
        </w:rPr>
        <w:t xml:space="preserve">Neither Agree nor Disagree  </w:t>
      </w:r>
    </w:p>
    <w:p w14:paraId="1B98E5B3" w14:textId="727870A9" w:rsidR="00276BF4" w:rsidRPr="001C2E6A" w:rsidRDefault="001C2E6A" w:rsidP="00F2664C">
      <w:pPr>
        <w:pBdr>
          <w:top w:val="single" w:sz="4" w:space="1" w:color="auto"/>
          <w:left w:val="single" w:sz="4" w:space="4" w:color="auto"/>
          <w:bottom w:val="single" w:sz="4" w:space="0" w:color="auto"/>
          <w:right w:val="single" w:sz="4" w:space="4" w:color="auto"/>
        </w:pBdr>
        <w:spacing w:after="238" w:line="278" w:lineRule="auto"/>
        <w:jc w:val="both"/>
        <w:rPr>
          <w:rFonts w:cs="Arial"/>
          <w:b/>
          <w:bCs/>
        </w:rPr>
      </w:pPr>
      <w:r w:rsidRPr="001C2E6A">
        <w:rPr>
          <w:rFonts w:cs="Arial"/>
          <w:b/>
          <w:bCs/>
        </w:rPr>
        <w:t>Do you have any further comments you wish to make on this proposal?</w:t>
      </w:r>
    </w:p>
    <w:p w14:paraId="58AFEA6C" w14:textId="2CEF68A7" w:rsidR="2FCA87A2" w:rsidRDefault="2FCA87A2" w:rsidP="00585171"/>
    <w:p w14:paraId="3DAE4EAD" w14:textId="37C801BC" w:rsidR="007E16CC" w:rsidRPr="00C7021B" w:rsidRDefault="007E16CC" w:rsidP="3597CCA7">
      <w:pPr>
        <w:pStyle w:val="Heading3"/>
        <w:spacing w:before="0"/>
        <w:jc w:val="both"/>
        <w:rPr>
          <w:color w:val="008330"/>
        </w:rPr>
      </w:pPr>
      <w:r w:rsidRPr="3597CCA7">
        <w:rPr>
          <w:color w:val="008330"/>
        </w:rPr>
        <w:t xml:space="preserve">Investigations for </w:t>
      </w:r>
      <w:r w:rsidR="007D5936">
        <w:rPr>
          <w:color w:val="008330"/>
        </w:rPr>
        <w:t>u</w:t>
      </w:r>
      <w:r w:rsidRPr="3597CCA7">
        <w:rPr>
          <w:color w:val="008330"/>
        </w:rPr>
        <w:t xml:space="preserve">nexploded </w:t>
      </w:r>
      <w:r w:rsidR="007D5936">
        <w:rPr>
          <w:color w:val="008330"/>
        </w:rPr>
        <w:t>o</w:t>
      </w:r>
      <w:r w:rsidRPr="3597CCA7">
        <w:rPr>
          <w:color w:val="008330"/>
        </w:rPr>
        <w:t xml:space="preserve">rdinance </w:t>
      </w:r>
    </w:p>
    <w:p w14:paraId="72BFBF0D" w14:textId="77777777" w:rsidR="007E16CC" w:rsidRPr="00C7021B" w:rsidRDefault="007E16CC" w:rsidP="007E16CC">
      <w:pPr>
        <w:jc w:val="both"/>
      </w:pPr>
      <w:r w:rsidRPr="00C7021B">
        <w:t>Applicants currently need a marine licence to carry out unexploded ordinance (UXO) investigations (minor side casting of material)</w:t>
      </w:r>
      <w:r w:rsidR="00250B01" w:rsidRPr="00C7021B">
        <w:t xml:space="preserve"> to </w:t>
      </w:r>
      <w:r w:rsidR="00554696" w:rsidRPr="00C7021B">
        <w:t>in</w:t>
      </w:r>
      <w:r w:rsidRPr="00C7021B">
        <w:t>form marine licence applications to permit the detonation of UXOs. However, the process for UXO investigations is considered low ris</w:t>
      </w:r>
      <w:r w:rsidR="001E1057" w:rsidRPr="00C7021B">
        <w:t>k</w:t>
      </w:r>
      <w:r w:rsidR="00056772" w:rsidRPr="00C7021B">
        <w:t xml:space="preserve"> given that it is non-intrusive</w:t>
      </w:r>
      <w:r w:rsidRPr="00C7021B">
        <w:t>, and therefore this activity may be suitable for self-service permitting.</w:t>
      </w:r>
    </w:p>
    <w:p w14:paraId="3EB48ACE" w14:textId="77777777" w:rsidR="007E16CC" w:rsidRPr="00C7021B" w:rsidRDefault="00250B01" w:rsidP="007E16CC">
      <w:pPr>
        <w:jc w:val="both"/>
      </w:pPr>
      <w:r w:rsidRPr="00C7021B">
        <w:t xml:space="preserve">A single application is usually </w:t>
      </w:r>
      <w:r w:rsidR="00D8326F" w:rsidRPr="00C7021B">
        <w:t xml:space="preserve">made </w:t>
      </w:r>
      <w:r w:rsidRPr="00C7021B">
        <w:t xml:space="preserve">for both investigations and detonations, meaning applicants usually need to provide an estimate for the amount of UXOs they may need to detonate. </w:t>
      </w:r>
      <w:r w:rsidR="007E16CC" w:rsidRPr="00C7021B">
        <w:t>Adding this activity to self-service would</w:t>
      </w:r>
      <w:r w:rsidR="00C71B8F" w:rsidRPr="00C7021B">
        <w:t xml:space="preserve"> allow for applicants to investigate for UXOs quickly and cheaply, before applying for detonation</w:t>
      </w:r>
      <w:r w:rsidR="003728EA" w:rsidRPr="00C7021B">
        <w:t>s</w:t>
      </w:r>
      <w:r w:rsidR="00C71B8F" w:rsidRPr="00C7021B">
        <w:t>. T</w:t>
      </w:r>
      <w:r w:rsidRPr="00C7021B">
        <w:t>herefore</w:t>
      </w:r>
      <w:r w:rsidR="00C71B8F" w:rsidRPr="00C7021B">
        <w:t>, this will</w:t>
      </w:r>
      <w:r w:rsidR="007E16CC" w:rsidRPr="00C7021B">
        <w:t xml:space="preserve"> help </w:t>
      </w:r>
      <w:r w:rsidR="00E97652" w:rsidRPr="00C7021B">
        <w:t>speed up the regulatory process</w:t>
      </w:r>
      <w:r w:rsidR="003728EA" w:rsidRPr="00C7021B">
        <w:t xml:space="preserve"> for UXO investigations</w:t>
      </w:r>
      <w:r w:rsidR="007E16CC" w:rsidRPr="00C7021B">
        <w:t xml:space="preserve"> a</w:t>
      </w:r>
      <w:r w:rsidRPr="00C7021B">
        <w:t>s well as</w:t>
      </w:r>
      <w:r w:rsidR="007E16CC" w:rsidRPr="00C7021B">
        <w:t xml:space="preserve"> produce better informed marine licence applications for the removal and detonation of UXOs.</w:t>
      </w:r>
    </w:p>
    <w:p w14:paraId="3549EC39" w14:textId="77777777" w:rsidR="007E16CC" w:rsidRDefault="007E16CC" w:rsidP="007E16CC">
      <w:pPr>
        <w:spacing w:after="248" w:line="270" w:lineRule="auto"/>
        <w:jc w:val="both"/>
      </w:pPr>
      <w:r>
        <w:rPr>
          <w:rFonts w:cs="Arial"/>
          <w:b/>
        </w:rPr>
        <w:t xml:space="preserve">Proposed amendment to licensed activity management: </w:t>
      </w:r>
    </w:p>
    <w:p w14:paraId="177E50B9" w14:textId="1576201B" w:rsidR="00070C4F" w:rsidRDefault="007E16CC" w:rsidP="007E16CC">
      <w:pPr>
        <w:jc w:val="both"/>
      </w:pPr>
      <w:r>
        <w:t>The proposed amendment would retain the need for a marine licence to conduct UXO investigations</w:t>
      </w:r>
      <w:r w:rsidR="568275EE">
        <w:t>.</w:t>
      </w:r>
      <w:r>
        <w:t xml:space="preserve"> </w:t>
      </w:r>
      <w:r w:rsidR="0894C99E">
        <w:t>H</w:t>
      </w:r>
      <w:r>
        <w:t>owever</w:t>
      </w:r>
      <w:r w:rsidR="00B33340">
        <w:t>,</w:t>
      </w:r>
      <w:r>
        <w:t xml:space="preserve"> where criteria are met the activity would move from a standard marine licence to a self-service licence under fee Band 1. </w:t>
      </w:r>
      <w:r w:rsidR="00070C4F">
        <w:t>As an example, a</w:t>
      </w:r>
      <w:r w:rsidR="00070C4F" w:rsidRPr="5EA9439F">
        <w:rPr>
          <w:rFonts w:cs="Arial"/>
        </w:rPr>
        <w:t>ny risk associated with surveying in</w:t>
      </w:r>
      <w:r w:rsidR="0042018D" w:rsidRPr="5EA9439F">
        <w:rPr>
          <w:rFonts w:cs="Arial"/>
        </w:rPr>
        <w:t xml:space="preserve"> </w:t>
      </w:r>
      <w:r w:rsidR="00070C4F" w:rsidRPr="5EA9439F">
        <w:rPr>
          <w:rFonts w:cs="Arial"/>
        </w:rPr>
        <w:t xml:space="preserve">MPAs for these purposes would be controlled through the standard self-service requirement that activities in or within 200m of an MPA must have an agreed method from </w:t>
      </w:r>
      <w:r w:rsidR="00E667BC">
        <w:rPr>
          <w:rFonts w:cs="Arial"/>
        </w:rPr>
        <w:t>NE</w:t>
      </w:r>
      <w:r w:rsidR="00F94100" w:rsidRPr="5EA9439F">
        <w:rPr>
          <w:rFonts w:cs="Arial"/>
        </w:rPr>
        <w:t xml:space="preserve"> </w:t>
      </w:r>
      <w:r w:rsidR="00070C4F" w:rsidRPr="5EA9439F">
        <w:rPr>
          <w:rFonts w:cs="Arial"/>
        </w:rPr>
        <w:t xml:space="preserve">or </w:t>
      </w:r>
      <w:r w:rsidR="00676944" w:rsidRPr="00676944">
        <w:rPr>
          <w:rFonts w:cs="Arial"/>
        </w:rPr>
        <w:t xml:space="preserve">Joint Nature Conservation Committee </w:t>
      </w:r>
      <w:r w:rsidR="00676944">
        <w:rPr>
          <w:rFonts w:cs="Arial"/>
        </w:rPr>
        <w:t>(</w:t>
      </w:r>
      <w:r w:rsidR="00070C4F" w:rsidRPr="5EA9439F">
        <w:rPr>
          <w:rFonts w:cs="Arial"/>
        </w:rPr>
        <w:t>JNCC</w:t>
      </w:r>
      <w:r w:rsidR="00676944">
        <w:rPr>
          <w:rFonts w:cs="Arial"/>
        </w:rPr>
        <w:t>)</w:t>
      </w:r>
      <w:r w:rsidR="00070C4F" w:rsidRPr="5EA9439F">
        <w:rPr>
          <w:rFonts w:cs="Arial"/>
        </w:rPr>
        <w:t>. Moreover, any activities would not be permitted to take place at locations within 200m of a heritage designation without an agreed method statement from Historic England.</w:t>
      </w:r>
      <w:r>
        <w:t xml:space="preserve"> </w:t>
      </w:r>
    </w:p>
    <w:p w14:paraId="35BD8385" w14:textId="3EE97860" w:rsidR="1E01CE19" w:rsidRDefault="007E16CC" w:rsidP="1E01CE19">
      <w:pPr>
        <w:jc w:val="both"/>
      </w:pPr>
      <w:r>
        <w:t xml:space="preserve">Applications for the removal and detonation of UXO would </w:t>
      </w:r>
      <w:r w:rsidR="00EF54B5">
        <w:t>continue to require</w:t>
      </w:r>
      <w:r>
        <w:t xml:space="preserve"> a standard marine licence (under fee Band 2 or Band 3) to ensure appropriate regulatory oversight.</w:t>
      </w:r>
    </w:p>
    <w:p w14:paraId="119DC335" w14:textId="77777777" w:rsidR="005D6BD7" w:rsidRDefault="005D6BD7" w:rsidP="1E01CE19">
      <w:pPr>
        <w:jc w:val="both"/>
      </w:pPr>
    </w:p>
    <w:p w14:paraId="6782A7DB" w14:textId="77777777" w:rsidR="005D6BD7" w:rsidRDefault="005D6BD7" w:rsidP="1E01CE19">
      <w:pPr>
        <w:jc w:val="both"/>
      </w:pPr>
    </w:p>
    <w:p w14:paraId="48117B97" w14:textId="77777777" w:rsidR="001B5DE1" w:rsidRDefault="001B5DE1" w:rsidP="001B5DE1">
      <w:pPr>
        <w:pBdr>
          <w:top w:val="single" w:sz="4" w:space="1" w:color="auto"/>
          <w:left w:val="single" w:sz="4" w:space="4" w:color="auto"/>
          <w:bottom w:val="single" w:sz="4" w:space="1" w:color="auto"/>
          <w:right w:val="single" w:sz="4" w:space="4" w:color="auto"/>
        </w:pBdr>
        <w:spacing w:after="238" w:line="278" w:lineRule="auto"/>
        <w:jc w:val="both"/>
        <w:rPr>
          <w:rFonts w:cs="Arial"/>
          <w:b/>
        </w:rPr>
      </w:pPr>
      <w:r>
        <w:rPr>
          <w:rFonts w:cs="Arial"/>
          <w:b/>
        </w:rPr>
        <w:lastRenderedPageBreak/>
        <w:t xml:space="preserve">3. Do you agree with the proposed amendment to licensed activity management? </w:t>
      </w:r>
    </w:p>
    <w:p w14:paraId="728635B3" w14:textId="4DC286B6" w:rsidR="001B5DE1" w:rsidRDefault="001B5DE1" w:rsidP="002077E0">
      <w:pPr>
        <w:pBdr>
          <w:top w:val="single" w:sz="4" w:space="1" w:color="auto"/>
          <w:left w:val="single" w:sz="4" w:space="4" w:color="auto"/>
          <w:bottom w:val="single" w:sz="4" w:space="1" w:color="auto"/>
          <w:right w:val="single" w:sz="4" w:space="4" w:color="auto"/>
        </w:pBdr>
        <w:spacing w:after="238" w:line="278" w:lineRule="auto"/>
        <w:jc w:val="both"/>
      </w:pPr>
      <w:r>
        <w:rPr>
          <w:rFonts w:cs="Arial"/>
          <w:b/>
        </w:rPr>
        <w:t>Yes</w:t>
      </w:r>
      <w:r w:rsidR="004F45A0">
        <w:rPr>
          <w:rFonts w:cs="Arial"/>
          <w:b/>
        </w:rPr>
        <w:t xml:space="preserve"> or</w:t>
      </w:r>
      <w:r w:rsidR="004C5C9E">
        <w:rPr>
          <w:rFonts w:cs="Arial"/>
          <w:b/>
        </w:rPr>
        <w:t xml:space="preserve"> </w:t>
      </w:r>
      <w:r>
        <w:rPr>
          <w:rFonts w:cs="Arial"/>
          <w:b/>
        </w:rPr>
        <w:t>No</w:t>
      </w:r>
      <w:r w:rsidR="004C5C9E">
        <w:rPr>
          <w:rFonts w:cs="Arial"/>
          <w:b/>
        </w:rPr>
        <w:t xml:space="preserve"> or </w:t>
      </w:r>
      <w:r>
        <w:rPr>
          <w:rFonts w:cs="Arial"/>
          <w:b/>
        </w:rPr>
        <w:t xml:space="preserve">Neither Agree nor Disagree </w:t>
      </w:r>
    </w:p>
    <w:p w14:paraId="4101652C" w14:textId="60FF5CA9" w:rsidR="006368BC" w:rsidRPr="006368BC" w:rsidRDefault="001B5DE1" w:rsidP="00276BF4">
      <w:pPr>
        <w:pBdr>
          <w:top w:val="single" w:sz="4" w:space="1" w:color="auto"/>
          <w:left w:val="single" w:sz="4" w:space="4" w:color="auto"/>
          <w:bottom w:val="single" w:sz="4" w:space="1" w:color="auto"/>
          <w:right w:val="single" w:sz="4" w:space="4" w:color="auto"/>
        </w:pBdr>
        <w:spacing w:after="0"/>
        <w:jc w:val="both"/>
        <w:rPr>
          <w:b/>
        </w:rPr>
      </w:pPr>
      <w:r w:rsidRPr="003A6F4F">
        <w:rPr>
          <w:b/>
        </w:rPr>
        <w:t>Do you have any further comments you wish to make on this proposal?</w:t>
      </w:r>
    </w:p>
    <w:p w14:paraId="3D39B741" w14:textId="435298A5" w:rsidR="00C3461F" w:rsidRPr="00C3461F" w:rsidRDefault="4CCFB965" w:rsidP="00B957AC">
      <w:pPr>
        <w:pStyle w:val="Heading2"/>
      </w:pPr>
      <w:bookmarkStart w:id="29" w:name="_Toc200715779"/>
      <w:r>
        <w:t xml:space="preserve">New </w:t>
      </w:r>
      <w:r w:rsidR="007D5936">
        <w:t>e</w:t>
      </w:r>
      <w:r>
        <w:t>xemptions</w:t>
      </w:r>
      <w:bookmarkEnd w:id="29"/>
    </w:p>
    <w:p w14:paraId="395E37A2" w14:textId="77777777" w:rsidR="00E35F3C" w:rsidRPr="00C7021B" w:rsidRDefault="00E35F3C" w:rsidP="00F32B35">
      <w:pPr>
        <w:pStyle w:val="Heading3"/>
        <w:jc w:val="both"/>
        <w:rPr>
          <w:color w:val="008330"/>
        </w:rPr>
      </w:pPr>
      <w:r w:rsidRPr="00C7021B">
        <w:rPr>
          <w:color w:val="008330"/>
        </w:rPr>
        <w:t xml:space="preserve">Removal of abandoned vessels </w:t>
      </w:r>
    </w:p>
    <w:p w14:paraId="7F8EDE3F" w14:textId="5CC91EAD" w:rsidR="00135751" w:rsidRDefault="00E35F3C" w:rsidP="00F32B35">
      <w:pPr>
        <w:jc w:val="both"/>
      </w:pPr>
      <w:r>
        <w:t>There are certain instances where vessels are left in a state of disrepair and effectively abandoned</w:t>
      </w:r>
      <w:r w:rsidR="002F5286">
        <w:t xml:space="preserve">, for example </w:t>
      </w:r>
      <w:r w:rsidR="002F5286">
        <w:rPr>
          <w:rFonts w:cs="Arial"/>
        </w:rPr>
        <w:t>because of the</w:t>
      </w:r>
      <w:r w:rsidR="002F5286" w:rsidRPr="33D1AF0A">
        <w:rPr>
          <w:rFonts w:cs="Arial"/>
        </w:rPr>
        <w:t xml:space="preserve"> cost of repair</w:t>
      </w:r>
      <w:r w:rsidR="004F45A0">
        <w:rPr>
          <w:rFonts w:cs="Arial"/>
        </w:rPr>
        <w:t xml:space="preserve"> or </w:t>
      </w:r>
      <w:r w:rsidR="002F5286" w:rsidRPr="33D1AF0A">
        <w:rPr>
          <w:rFonts w:cs="Arial"/>
        </w:rPr>
        <w:t>removal</w:t>
      </w:r>
      <w:r>
        <w:t>.</w:t>
      </w:r>
      <w:r w:rsidR="00AD5DC6">
        <w:t xml:space="preserve"> </w:t>
      </w:r>
      <w:r>
        <w:t xml:space="preserve">In some cases, there may be a greater potential of impacts resulting from leaving the vessel in place than there would be from removing it. However, removal of an abandoned vessel from the seabed would likely require a licence and this means the owner may be unlikely to apply as there would be further costs. </w:t>
      </w:r>
      <w:r w:rsidR="0B8A1A24">
        <w:t>Similarly</w:t>
      </w:r>
      <w:r>
        <w:t xml:space="preserve">, if the Harbour Authority, </w:t>
      </w:r>
      <w:r w:rsidR="00892CDF">
        <w:t>LPA</w:t>
      </w:r>
      <w:r>
        <w:t xml:space="preserve">, or </w:t>
      </w:r>
      <w:r w:rsidR="00AE79AC">
        <w:t xml:space="preserve">any other public authority or person </w:t>
      </w:r>
      <w:r>
        <w:t xml:space="preserve">seeking to keep the area clean wished to remove it they </w:t>
      </w:r>
      <w:r w:rsidR="00467A25">
        <w:t xml:space="preserve">may </w:t>
      </w:r>
      <w:r>
        <w:t xml:space="preserve">also need a marine licence and </w:t>
      </w:r>
      <w:r w:rsidR="00685E15">
        <w:t>incur fees</w:t>
      </w:r>
      <w:r>
        <w:t>.</w:t>
      </w:r>
    </w:p>
    <w:p w14:paraId="4BD44248" w14:textId="77777777" w:rsidR="00135751" w:rsidRDefault="00135751" w:rsidP="00F32B35">
      <w:pPr>
        <w:spacing w:after="248" w:line="270" w:lineRule="auto"/>
        <w:jc w:val="both"/>
      </w:pPr>
      <w:r>
        <w:rPr>
          <w:rFonts w:cs="Arial"/>
          <w:b/>
        </w:rPr>
        <w:t>Proposed</w:t>
      </w:r>
      <w:r w:rsidR="00C30D45">
        <w:rPr>
          <w:rFonts w:cs="Arial"/>
          <w:b/>
        </w:rPr>
        <w:t xml:space="preserve"> new</w:t>
      </w:r>
      <w:r>
        <w:rPr>
          <w:rFonts w:cs="Arial"/>
          <w:b/>
        </w:rPr>
        <w:t xml:space="preserve"> exemption: </w:t>
      </w:r>
    </w:p>
    <w:p w14:paraId="775873F8" w14:textId="73379368" w:rsidR="00135751" w:rsidRDefault="00135751" w:rsidP="00F32B35">
      <w:pPr>
        <w:jc w:val="both"/>
      </w:pPr>
      <w:r>
        <w:t xml:space="preserve">The proposed new exemption will permit </w:t>
      </w:r>
      <w:r w:rsidR="00AE79AC">
        <w:t>any person (i.e. not just owners or public bodie</w:t>
      </w:r>
      <w:r w:rsidR="003E5B2E">
        <w:t>s</w:t>
      </w:r>
      <w:r w:rsidR="00AE79AC">
        <w:t>)</w:t>
      </w:r>
      <w:r>
        <w:t xml:space="preserve"> to remove </w:t>
      </w:r>
      <w:r w:rsidR="003E5B2E">
        <w:t>abandoned vessels</w:t>
      </w:r>
      <w:r>
        <w:t xml:space="preserve"> from the marine environment without </w:t>
      </w:r>
      <w:r w:rsidR="524A9770">
        <w:t>a licenc</w:t>
      </w:r>
      <w:r w:rsidR="62EAD29E">
        <w:t>e</w:t>
      </w:r>
      <w:r>
        <w:t xml:space="preserve">. </w:t>
      </w:r>
      <w:r w:rsidR="003E5B2E">
        <w:t>Abandoned vessels</w:t>
      </w:r>
      <w:r>
        <w:t xml:space="preserve"> is taken here to mean any</w:t>
      </w:r>
      <w:r w:rsidR="003E5B2E">
        <w:t xml:space="preserve"> vessel left in a state of disrepair and</w:t>
      </w:r>
      <w:r>
        <w:t xml:space="preserve"> </w:t>
      </w:r>
      <w:r w:rsidR="003E5B2E">
        <w:t>left with</w:t>
      </w:r>
      <w:r>
        <w:t xml:space="preserve">in the marine </w:t>
      </w:r>
      <w:r w:rsidR="00006E87">
        <w:t xml:space="preserve">or </w:t>
      </w:r>
      <w:r>
        <w:t>coastal environment</w:t>
      </w:r>
      <w:r w:rsidR="003E5B2E">
        <w:t>.</w:t>
      </w:r>
    </w:p>
    <w:p w14:paraId="611F2285" w14:textId="77777777" w:rsidR="00135751" w:rsidRDefault="004266DE" w:rsidP="00F32B35">
      <w:pPr>
        <w:jc w:val="both"/>
      </w:pPr>
      <w:r>
        <w:t xml:space="preserve">This exemption would not apply where the activity is likely to have a likely significant effect on an MPA. </w:t>
      </w:r>
      <w:r w:rsidR="00135751">
        <w:t xml:space="preserve">The proposed exemption </w:t>
      </w:r>
      <w:r w:rsidR="00C65B4E">
        <w:t xml:space="preserve">would also be disapplied where the activity is likely to cause damage to </w:t>
      </w:r>
      <w:bookmarkStart w:id="30" w:name="_Int_8sx735re"/>
      <w:proofErr w:type="gramStart"/>
      <w:r w:rsidR="00C65B4E">
        <w:t>features</w:t>
      </w:r>
      <w:bookmarkEnd w:id="30"/>
      <w:proofErr w:type="gramEnd"/>
      <w:r w:rsidR="00C65B4E">
        <w:t xml:space="preserve"> of archaeological or historical interest.</w:t>
      </w:r>
      <w:r w:rsidR="00AA0129">
        <w:t xml:space="preserve"> These could include</w:t>
      </w:r>
      <w:r w:rsidR="00AE79AC">
        <w:t>:</w:t>
      </w:r>
      <w:r w:rsidR="00135751">
        <w:t xml:space="preserve"> </w:t>
      </w:r>
    </w:p>
    <w:p w14:paraId="53F31B33" w14:textId="51A19A79" w:rsidR="003E5B2E" w:rsidRDefault="00D13F3B" w:rsidP="008E49C1">
      <w:pPr>
        <w:pStyle w:val="ListParagraph"/>
        <w:numPr>
          <w:ilvl w:val="0"/>
          <w:numId w:val="13"/>
        </w:numPr>
        <w:jc w:val="both"/>
      </w:pPr>
      <w:r>
        <w:t>p</w:t>
      </w:r>
      <w:r w:rsidR="003E5B2E">
        <w:t>rotected wrecks designated under the Protection of Wrecks Act 1973</w:t>
      </w:r>
    </w:p>
    <w:p w14:paraId="4B99056E" w14:textId="77777777" w:rsidR="003E5B2E" w:rsidRDefault="003E5B2E" w:rsidP="00F32B35">
      <w:pPr>
        <w:pStyle w:val="ListParagraph"/>
        <w:jc w:val="both"/>
      </w:pPr>
    </w:p>
    <w:p w14:paraId="22F0656F" w14:textId="45F166C9" w:rsidR="00DE016A" w:rsidRDefault="00D13F3B" w:rsidP="00DE016A">
      <w:pPr>
        <w:pStyle w:val="ListParagraph"/>
        <w:numPr>
          <w:ilvl w:val="0"/>
          <w:numId w:val="13"/>
        </w:numPr>
        <w:jc w:val="both"/>
      </w:pPr>
      <w:r>
        <w:t>s</w:t>
      </w:r>
      <w:r w:rsidR="003E5B2E">
        <w:t>cheduled monuments designated under the Ancient Monuments and Archaeological Areas Act 1979</w:t>
      </w:r>
    </w:p>
    <w:p w14:paraId="7B7029F0" w14:textId="77777777" w:rsidR="00DE016A" w:rsidRDefault="00DE016A" w:rsidP="00DE016A">
      <w:pPr>
        <w:pStyle w:val="ListParagraph"/>
      </w:pPr>
    </w:p>
    <w:p w14:paraId="73B5F66C" w14:textId="1FBE43F9" w:rsidR="003E5B2E" w:rsidRPr="00DE016A" w:rsidRDefault="00D13F3B" w:rsidP="00DE016A">
      <w:pPr>
        <w:pStyle w:val="ListParagraph"/>
        <w:numPr>
          <w:ilvl w:val="0"/>
          <w:numId w:val="13"/>
        </w:numPr>
        <w:jc w:val="both"/>
      </w:pPr>
      <w:r>
        <w:t>l</w:t>
      </w:r>
      <w:r w:rsidR="003E5B2E">
        <w:t>isted buildings designated under The Planning (Listed Buildings and Conservation Area) Act 1990</w:t>
      </w:r>
    </w:p>
    <w:p w14:paraId="6A790F30" w14:textId="77777777" w:rsidR="001B5DE1" w:rsidRDefault="001B5DE1" w:rsidP="001B5DE1">
      <w:pPr>
        <w:pBdr>
          <w:top w:val="single" w:sz="4" w:space="1" w:color="auto"/>
          <w:left w:val="single" w:sz="4" w:space="4" w:color="auto"/>
          <w:bottom w:val="single" w:sz="4" w:space="1" w:color="auto"/>
          <w:right w:val="single" w:sz="4" w:space="4" w:color="auto"/>
        </w:pBdr>
        <w:spacing w:after="238" w:line="278" w:lineRule="auto"/>
        <w:jc w:val="both"/>
        <w:rPr>
          <w:rFonts w:cs="Arial"/>
          <w:b/>
          <w:bCs/>
        </w:rPr>
      </w:pPr>
      <w:r w:rsidRPr="71E974D3">
        <w:rPr>
          <w:rFonts w:cs="Arial"/>
          <w:b/>
          <w:bCs/>
        </w:rPr>
        <w:t xml:space="preserve">4. Do you agree with the proposed new exemption? </w:t>
      </w:r>
    </w:p>
    <w:p w14:paraId="2DEE80B1" w14:textId="22DD1A29" w:rsidR="001B5DE1" w:rsidRDefault="001B5DE1" w:rsidP="002077E0">
      <w:pPr>
        <w:pBdr>
          <w:top w:val="single" w:sz="4" w:space="1" w:color="auto"/>
          <w:left w:val="single" w:sz="4" w:space="4" w:color="auto"/>
          <w:bottom w:val="single" w:sz="4" w:space="1" w:color="auto"/>
          <w:right w:val="single" w:sz="4" w:space="4" w:color="auto"/>
        </w:pBdr>
        <w:spacing w:after="238" w:line="278" w:lineRule="auto"/>
        <w:jc w:val="both"/>
      </w:pPr>
      <w:r w:rsidRPr="71E974D3">
        <w:rPr>
          <w:rFonts w:cs="Arial"/>
          <w:b/>
          <w:bCs/>
        </w:rPr>
        <w:t>Yes</w:t>
      </w:r>
      <w:r w:rsidR="004F45A0">
        <w:rPr>
          <w:rFonts w:cs="Arial"/>
          <w:b/>
          <w:bCs/>
        </w:rPr>
        <w:t xml:space="preserve"> or </w:t>
      </w:r>
      <w:r w:rsidRPr="71E974D3">
        <w:rPr>
          <w:rFonts w:cs="Arial"/>
          <w:b/>
          <w:bCs/>
        </w:rPr>
        <w:t>No</w:t>
      </w:r>
      <w:r w:rsidR="004F45A0">
        <w:rPr>
          <w:rFonts w:cs="Arial"/>
          <w:b/>
          <w:bCs/>
        </w:rPr>
        <w:t xml:space="preserve"> or </w:t>
      </w:r>
      <w:r w:rsidRPr="71E974D3">
        <w:rPr>
          <w:rFonts w:cs="Arial"/>
          <w:b/>
          <w:bCs/>
        </w:rPr>
        <w:t xml:space="preserve">Neither Agree nor Disagree </w:t>
      </w:r>
    </w:p>
    <w:p w14:paraId="4DDBEF00" w14:textId="49ADC7F6" w:rsidR="00475B6C" w:rsidRPr="00475B6C" w:rsidRDefault="001B5DE1" w:rsidP="00475B6C">
      <w:pPr>
        <w:pBdr>
          <w:top w:val="single" w:sz="4" w:space="1" w:color="auto"/>
          <w:left w:val="single" w:sz="4" w:space="4" w:color="auto"/>
          <w:bottom w:val="single" w:sz="4" w:space="1" w:color="auto"/>
          <w:right w:val="single" w:sz="4" w:space="4" w:color="auto"/>
        </w:pBdr>
        <w:spacing w:before="0" w:after="0"/>
        <w:rPr>
          <w:b/>
        </w:rPr>
      </w:pPr>
      <w:r w:rsidRPr="003A6F4F">
        <w:rPr>
          <w:b/>
        </w:rPr>
        <w:t>Do you have any further comments you wish to make on this proposal?</w:t>
      </w:r>
    </w:p>
    <w:p w14:paraId="69BC50C5" w14:textId="77777777" w:rsidR="00E35F3C" w:rsidRPr="00C7021B" w:rsidRDefault="00E35F3C" w:rsidP="00F32B35">
      <w:pPr>
        <w:pStyle w:val="Heading3"/>
        <w:jc w:val="both"/>
        <w:rPr>
          <w:color w:val="008330"/>
        </w:rPr>
      </w:pPr>
      <w:r w:rsidRPr="00C7021B">
        <w:rPr>
          <w:color w:val="008330"/>
        </w:rPr>
        <w:lastRenderedPageBreak/>
        <w:t>Firework</w:t>
      </w:r>
      <w:r w:rsidR="00B50CBB" w:rsidRPr="00C7021B">
        <w:rPr>
          <w:color w:val="008330"/>
        </w:rPr>
        <w:t xml:space="preserve"> displays</w:t>
      </w:r>
    </w:p>
    <w:p w14:paraId="0E79A4B6" w14:textId="77777777" w:rsidR="00EE3AA8" w:rsidRPr="007543E3" w:rsidRDefault="00E35F3C" w:rsidP="00F32B35">
      <w:pPr>
        <w:jc w:val="both"/>
      </w:pPr>
      <w:r>
        <w:t xml:space="preserve">Currently, conducting </w:t>
      </w:r>
      <w:r w:rsidR="00EE3AA8">
        <w:t xml:space="preserve">a </w:t>
      </w:r>
      <w:r>
        <w:t xml:space="preserve">firework display </w:t>
      </w:r>
      <w:r w:rsidR="008A666B">
        <w:t>on</w:t>
      </w:r>
      <w:r w:rsidR="00E24F16">
        <w:t xml:space="preserve"> </w:t>
      </w:r>
      <w:r w:rsidR="00544638">
        <w:t xml:space="preserve">a </w:t>
      </w:r>
      <w:r w:rsidR="00E24F16">
        <w:t>vehicle,</w:t>
      </w:r>
      <w:r w:rsidR="008A666B">
        <w:t xml:space="preserve"> vessel</w:t>
      </w:r>
      <w:r w:rsidR="00E24F16">
        <w:t>,</w:t>
      </w:r>
      <w:r w:rsidR="008A666B">
        <w:t xml:space="preserve"> </w:t>
      </w:r>
      <w:r w:rsidR="00263A11">
        <w:t xml:space="preserve">marine </w:t>
      </w:r>
      <w:bookmarkStart w:id="31" w:name="_Int_WvEaYEbd"/>
      <w:r w:rsidR="00263A11">
        <w:t>structure</w:t>
      </w:r>
      <w:bookmarkEnd w:id="31"/>
      <w:r w:rsidR="00E24F16">
        <w:t xml:space="preserve"> or floating container</w:t>
      </w:r>
      <w:r w:rsidR="00263A11">
        <w:t xml:space="preserve"> </w:t>
      </w:r>
      <w:r w:rsidR="008A666B">
        <w:t xml:space="preserve">at sea </w:t>
      </w:r>
      <w:r>
        <w:t>require</w:t>
      </w:r>
      <w:r w:rsidR="00EE3AA8">
        <w:t>s</w:t>
      </w:r>
      <w:r>
        <w:t xml:space="preserve"> a marine licence.</w:t>
      </w:r>
      <w:r w:rsidR="00EE3AA8">
        <w:t xml:space="preserve"> However, these activities are usually very low risk unless near a</w:t>
      </w:r>
      <w:r w:rsidR="0084601B">
        <w:t>n</w:t>
      </w:r>
      <w:r w:rsidR="00EE3AA8">
        <w:t xml:space="preserve"> </w:t>
      </w:r>
      <w:r w:rsidR="00FB5F15">
        <w:t>MPA</w:t>
      </w:r>
      <w:r w:rsidR="00EE3AA8">
        <w:t>.</w:t>
      </w:r>
      <w:r w:rsidR="00C10B40">
        <w:t xml:space="preserve"> </w:t>
      </w:r>
      <w:r w:rsidR="00EE3AA8" w:rsidRPr="1D83DE68">
        <w:rPr>
          <w:rFonts w:cs="Arial"/>
          <w:shd w:val="clear" w:color="auto" w:fill="FFFFFF"/>
        </w:rPr>
        <w:t xml:space="preserve">‘Marine structure' is defined as any platform or other artificial structure at </w:t>
      </w:r>
      <w:r w:rsidR="00AA67E1" w:rsidRPr="1D83DE68">
        <w:rPr>
          <w:rFonts w:cs="Arial"/>
          <w:shd w:val="clear" w:color="auto" w:fill="FFFFFF"/>
        </w:rPr>
        <w:t>s</w:t>
      </w:r>
      <w:r w:rsidR="00EE3AA8" w:rsidRPr="1D83DE68">
        <w:rPr>
          <w:rFonts w:cs="Arial"/>
          <w:shd w:val="clear" w:color="auto" w:fill="FFFFFF"/>
        </w:rPr>
        <w:t>ea, other than a pipeline</w:t>
      </w:r>
      <w:r w:rsidR="00AE79AC" w:rsidRPr="1D83DE68">
        <w:rPr>
          <w:rStyle w:val="FootnoteReference"/>
          <w:rFonts w:cs="Arial"/>
          <w:shd w:val="clear" w:color="auto" w:fill="FFFFFF"/>
        </w:rPr>
        <w:footnoteReference w:id="8"/>
      </w:r>
      <w:r w:rsidR="00EE3AA8" w:rsidRPr="1D83DE68">
        <w:rPr>
          <w:rFonts w:cs="Arial"/>
          <w:shd w:val="clear" w:color="auto" w:fill="FFFFFF"/>
        </w:rPr>
        <w:t>.</w:t>
      </w:r>
      <w:r w:rsidR="00EE3AA8" w:rsidRPr="007543E3">
        <w:t xml:space="preserve"> </w:t>
      </w:r>
    </w:p>
    <w:p w14:paraId="3A860C5F" w14:textId="77777777" w:rsidR="002C36FE" w:rsidRPr="004116E0" w:rsidRDefault="002C36FE" w:rsidP="00F32B35">
      <w:pPr>
        <w:spacing w:after="248" w:line="270" w:lineRule="auto"/>
        <w:jc w:val="both"/>
        <w:rPr>
          <w:szCs w:val="24"/>
        </w:rPr>
      </w:pPr>
      <w:r w:rsidRPr="004116E0">
        <w:rPr>
          <w:rFonts w:cs="Arial"/>
          <w:b/>
          <w:szCs w:val="24"/>
        </w:rPr>
        <w:t>Proposed</w:t>
      </w:r>
      <w:r w:rsidR="00C30D45" w:rsidRPr="004116E0">
        <w:rPr>
          <w:rFonts w:cs="Arial"/>
          <w:b/>
          <w:szCs w:val="24"/>
        </w:rPr>
        <w:t xml:space="preserve"> new</w:t>
      </w:r>
      <w:r w:rsidRPr="004116E0">
        <w:rPr>
          <w:rFonts w:cs="Arial"/>
          <w:b/>
          <w:szCs w:val="24"/>
        </w:rPr>
        <w:t xml:space="preserve"> exemption: </w:t>
      </w:r>
    </w:p>
    <w:p w14:paraId="2BDFC7F6" w14:textId="77777777" w:rsidR="007543E3" w:rsidRDefault="002C36FE" w:rsidP="00F32B35">
      <w:pPr>
        <w:jc w:val="both"/>
      </w:pPr>
      <w:r>
        <w:t xml:space="preserve">The proposed new exemption will permit the use of fireworks </w:t>
      </w:r>
      <w:r w:rsidR="008A666B">
        <w:t>in the circumstances</w:t>
      </w:r>
      <w:r w:rsidR="005C077A">
        <w:t xml:space="preserve"> described above</w:t>
      </w:r>
      <w:r>
        <w:t xml:space="preserve"> without the need for a marine licence.</w:t>
      </w:r>
    </w:p>
    <w:p w14:paraId="75C69E08" w14:textId="548895F9" w:rsidR="00B17ED8" w:rsidRDefault="002C36FE" w:rsidP="00F32B35">
      <w:pPr>
        <w:jc w:val="both"/>
      </w:pPr>
      <w:r>
        <w:t>Th</w:t>
      </w:r>
      <w:r w:rsidR="004A43AD">
        <w:t xml:space="preserve">is exemption would not apply where the activity </w:t>
      </w:r>
      <w:r w:rsidR="00076AAE">
        <w:t>may</w:t>
      </w:r>
      <w:r w:rsidR="004A43AD">
        <w:t xml:space="preserve"> have a </w:t>
      </w:r>
      <w:bookmarkStart w:id="32" w:name="_Int_cJDD7RFJ"/>
      <w:r w:rsidR="00076AAE">
        <w:t xml:space="preserve">likely </w:t>
      </w:r>
      <w:r w:rsidR="004A43AD">
        <w:t>significant</w:t>
      </w:r>
      <w:bookmarkEnd w:id="32"/>
      <w:r w:rsidR="004A43AD">
        <w:t xml:space="preserve"> effect on an MPA</w:t>
      </w:r>
      <w:r>
        <w:t>.</w:t>
      </w:r>
      <w:r w:rsidR="00C10B40">
        <w:t xml:space="preserve"> Moreover, there would be an expectation that any resulting debris would need to be considered an</w:t>
      </w:r>
      <w:r w:rsidR="00544638">
        <w:t>d</w:t>
      </w:r>
      <w:r w:rsidR="00C10B40">
        <w:t xml:space="preserve"> removed</w:t>
      </w:r>
      <w:r w:rsidR="00EB3FFB">
        <w:t xml:space="preserve">, </w:t>
      </w:r>
      <w:r w:rsidR="003526B9">
        <w:t xml:space="preserve">which is encouraged </w:t>
      </w:r>
      <w:r w:rsidR="00C06F71">
        <w:t>through</w:t>
      </w:r>
      <w:r w:rsidR="00EB3FFB">
        <w:t xml:space="preserve"> existing exemptions </w:t>
      </w:r>
      <w:r w:rsidR="004D4AF8">
        <w:t xml:space="preserve">for marine </w:t>
      </w:r>
      <w:r w:rsidR="00EB3FFB">
        <w:t>litter removal</w:t>
      </w:r>
      <w:r w:rsidR="00C10B40">
        <w:t>.</w:t>
      </w:r>
    </w:p>
    <w:p w14:paraId="1B193007" w14:textId="77777777" w:rsidR="001B5DE1" w:rsidRDefault="001B5DE1" w:rsidP="001B5DE1">
      <w:pPr>
        <w:pBdr>
          <w:top w:val="single" w:sz="4" w:space="1" w:color="auto"/>
          <w:left w:val="single" w:sz="4" w:space="4" w:color="auto"/>
          <w:bottom w:val="single" w:sz="4" w:space="1" w:color="auto"/>
          <w:right w:val="single" w:sz="4" w:space="4" w:color="auto"/>
        </w:pBdr>
        <w:spacing w:after="238" w:line="278" w:lineRule="auto"/>
        <w:jc w:val="both"/>
        <w:rPr>
          <w:rFonts w:cs="Arial"/>
          <w:b/>
        </w:rPr>
      </w:pPr>
      <w:r>
        <w:rPr>
          <w:rFonts w:cs="Arial"/>
          <w:b/>
        </w:rPr>
        <w:t xml:space="preserve">5. Do you agree with the proposed new exemption? </w:t>
      </w:r>
    </w:p>
    <w:p w14:paraId="239A2856" w14:textId="7AABA4C1" w:rsidR="001B5DE1" w:rsidRDefault="001B5DE1" w:rsidP="002077E0">
      <w:pPr>
        <w:pBdr>
          <w:top w:val="single" w:sz="4" w:space="1" w:color="auto"/>
          <w:left w:val="single" w:sz="4" w:space="4" w:color="auto"/>
          <w:bottom w:val="single" w:sz="4" w:space="1" w:color="auto"/>
          <w:right w:val="single" w:sz="4" w:space="4" w:color="auto"/>
        </w:pBdr>
        <w:spacing w:after="238" w:line="278" w:lineRule="auto"/>
        <w:jc w:val="both"/>
      </w:pPr>
      <w:r>
        <w:rPr>
          <w:rFonts w:cs="Arial"/>
          <w:b/>
        </w:rPr>
        <w:t>Yes</w:t>
      </w:r>
      <w:r w:rsidR="00FD6550">
        <w:rPr>
          <w:rFonts w:cs="Arial"/>
          <w:b/>
        </w:rPr>
        <w:t xml:space="preserve"> or</w:t>
      </w:r>
      <w:r w:rsidR="00197CFD">
        <w:rPr>
          <w:rFonts w:cs="Arial"/>
          <w:b/>
        </w:rPr>
        <w:t xml:space="preserve"> </w:t>
      </w:r>
      <w:r>
        <w:rPr>
          <w:rFonts w:cs="Arial"/>
          <w:b/>
        </w:rPr>
        <w:t>No</w:t>
      </w:r>
      <w:r w:rsidR="00FD6550">
        <w:rPr>
          <w:rFonts w:cs="Arial"/>
          <w:b/>
        </w:rPr>
        <w:t xml:space="preserve"> or</w:t>
      </w:r>
      <w:r w:rsidR="00197CFD">
        <w:rPr>
          <w:rFonts w:cs="Arial"/>
          <w:b/>
        </w:rPr>
        <w:t xml:space="preserve"> </w:t>
      </w:r>
      <w:r>
        <w:rPr>
          <w:rFonts w:cs="Arial"/>
          <w:b/>
        </w:rPr>
        <w:t xml:space="preserve">Neither Agree nor Disagree </w:t>
      </w:r>
    </w:p>
    <w:p w14:paraId="3461D779" w14:textId="450C0D97" w:rsidR="006368BC" w:rsidRPr="006368BC" w:rsidRDefault="001B5DE1" w:rsidP="00276BF4">
      <w:pPr>
        <w:pBdr>
          <w:top w:val="single" w:sz="4" w:space="1" w:color="auto"/>
          <w:left w:val="single" w:sz="4" w:space="4" w:color="auto"/>
          <w:bottom w:val="single" w:sz="4" w:space="1" w:color="auto"/>
          <w:right w:val="single" w:sz="4" w:space="4" w:color="auto"/>
        </w:pBdr>
        <w:spacing w:after="0"/>
        <w:jc w:val="both"/>
        <w:rPr>
          <w:b/>
        </w:rPr>
      </w:pPr>
      <w:r w:rsidRPr="003A6F4F">
        <w:rPr>
          <w:b/>
        </w:rPr>
        <w:t>Do you have any further comments you wish to make on this proposal?</w:t>
      </w:r>
    </w:p>
    <w:p w14:paraId="60E78B8D" w14:textId="02FE09BA" w:rsidR="00C3461F" w:rsidRPr="00C7021B" w:rsidRDefault="00C3461F" w:rsidP="00C3461F">
      <w:pPr>
        <w:pStyle w:val="Heading3"/>
        <w:jc w:val="both"/>
        <w:rPr>
          <w:color w:val="008330"/>
        </w:rPr>
      </w:pPr>
      <w:r w:rsidRPr="00C7021B">
        <w:rPr>
          <w:color w:val="008330"/>
        </w:rPr>
        <w:t>Maintenance of bridges or cantilevered structures</w:t>
      </w:r>
    </w:p>
    <w:p w14:paraId="60EB4F63" w14:textId="706AC427" w:rsidR="1E01CE19" w:rsidRDefault="002C0DE6" w:rsidP="1E01CE19">
      <w:pPr>
        <w:jc w:val="both"/>
      </w:pPr>
      <w:r>
        <w:t>I</w:t>
      </w:r>
      <w:r w:rsidR="00C3461F">
        <w:t>t is a marine licensable activity to construct, alter or improve any works within the UK marine licensing area, either in or over the sea or on or under the seabed.</w:t>
      </w:r>
      <w:r w:rsidR="00173F5B">
        <w:t xml:space="preserve"> </w:t>
      </w:r>
      <w:r w:rsidR="008F30D8">
        <w:t>A</w:t>
      </w:r>
      <w:r w:rsidR="00C3461F">
        <w:t xml:space="preserve">ctivities carried out </w:t>
      </w:r>
      <w:r w:rsidR="008F30D8">
        <w:t>on</w:t>
      </w:r>
      <w:r w:rsidR="00C3461F">
        <w:t xml:space="preserve"> bridges and cantilever structures over water often </w:t>
      </w:r>
      <w:r w:rsidR="008F30D8">
        <w:t>require a marine licence because of the potential to cause an obstruction to navigation. However, many of these activities do not cause an obstruction or impact the marine environment.</w:t>
      </w:r>
      <w:r w:rsidR="00C3461F">
        <w:t xml:space="preserve"> </w:t>
      </w:r>
    </w:p>
    <w:p w14:paraId="43A0648D" w14:textId="77777777" w:rsidR="00C3461F" w:rsidRPr="00ED564E" w:rsidRDefault="00C3461F" w:rsidP="00C3461F">
      <w:pPr>
        <w:jc w:val="both"/>
        <w:rPr>
          <w:lang w:val="en-US"/>
        </w:rPr>
      </w:pPr>
      <w:r w:rsidRPr="003A6F4F">
        <w:rPr>
          <w:b/>
          <w:lang w:val="en-US"/>
        </w:rPr>
        <w:t>Proposed</w:t>
      </w:r>
      <w:r>
        <w:rPr>
          <w:b/>
          <w:lang w:val="en-US"/>
        </w:rPr>
        <w:t xml:space="preserve"> new</w:t>
      </w:r>
      <w:r w:rsidRPr="003A6F4F">
        <w:rPr>
          <w:b/>
          <w:lang w:val="en-US"/>
        </w:rPr>
        <w:t xml:space="preserve"> exemption: </w:t>
      </w:r>
    </w:p>
    <w:p w14:paraId="18315FBA" w14:textId="7AA49C1F" w:rsidR="00C3461F" w:rsidRDefault="00C3461F" w:rsidP="00C3461F">
      <w:pPr>
        <w:jc w:val="both"/>
      </w:pPr>
      <w:r>
        <w:t xml:space="preserve">The proposal is to exempt </w:t>
      </w:r>
      <w:r w:rsidR="002A0739">
        <w:t xml:space="preserve">maintenance activities such as </w:t>
      </w:r>
      <w:r>
        <w:t xml:space="preserve">the </w:t>
      </w:r>
      <w:r w:rsidR="008F30D8">
        <w:t xml:space="preserve">fixing, </w:t>
      </w:r>
      <w:bookmarkStart w:id="33" w:name="_Int_wEWkMpGO"/>
      <w:r>
        <w:t>replacement</w:t>
      </w:r>
      <w:bookmarkEnd w:id="33"/>
      <w:r>
        <w:t xml:space="preserve"> and upkeep of ancillary assets of structures from requiring a marine licence. This would</w:t>
      </w:r>
      <w:r w:rsidR="0056262C">
        <w:t>,</w:t>
      </w:r>
      <w:r>
        <w:t xml:space="preserve"> </w:t>
      </w:r>
      <w:r w:rsidR="002A0739">
        <w:t>for example</w:t>
      </w:r>
      <w:r w:rsidR="0056262C">
        <w:t>,</w:t>
      </w:r>
      <w:r w:rsidR="002A0739">
        <w:t xml:space="preserve"> </w:t>
      </w:r>
      <w:r>
        <w:t>exempt changes to or installation of lights, signage, work to pathways, fencing, road surfacing, drainage etc.</w:t>
      </w:r>
    </w:p>
    <w:p w14:paraId="37228BA7" w14:textId="470FD327" w:rsidR="00C3461F" w:rsidRPr="00336C1C" w:rsidRDefault="00C3461F" w:rsidP="00C3461F">
      <w:pPr>
        <w:jc w:val="both"/>
      </w:pPr>
      <w:r>
        <w:t>However, this would not be extended to work on the structure itself, and as such excludes replacing structural elements as well as painting</w:t>
      </w:r>
      <w:r w:rsidR="00FF2C0F">
        <w:t xml:space="preserve"> or </w:t>
      </w:r>
      <w:r>
        <w:t xml:space="preserve">treating of any element of the ‘outside’ structure directly above the marine environment including use of scaffolding. Authorisation </w:t>
      </w:r>
      <w:r>
        <w:lastRenderedPageBreak/>
        <w:t xml:space="preserve">for these can be obtained via self-service where </w:t>
      </w:r>
      <w:r w:rsidR="0069517E">
        <w:t xml:space="preserve">existing Band 1 </w:t>
      </w:r>
      <w:r>
        <w:t xml:space="preserve">criteria are met, and otherwise a standard marine licence so that impacts can be </w:t>
      </w:r>
      <w:bookmarkStart w:id="34" w:name="_Int_SvkXEFAf"/>
      <w:r>
        <w:t>properly assessed</w:t>
      </w:r>
      <w:bookmarkEnd w:id="34"/>
      <w:r>
        <w:t>.</w:t>
      </w:r>
    </w:p>
    <w:p w14:paraId="0571ADCB" w14:textId="77777777" w:rsidR="00C3461F" w:rsidRDefault="00C3461F" w:rsidP="00C3461F">
      <w:pPr>
        <w:jc w:val="both"/>
      </w:pPr>
      <w:r>
        <w:t xml:space="preserve">'Maintenance' means the upkeep or repair of an existing structure or asset </w:t>
      </w:r>
      <w:bookmarkStart w:id="35" w:name="_Int_P1C3gN5H"/>
      <w:r>
        <w:t>wholly </w:t>
      </w:r>
      <w:r w:rsidRPr="3387C9C6">
        <w:rPr>
          <w:u w:val="single"/>
        </w:rPr>
        <w:t>within</w:t>
      </w:r>
      <w:bookmarkEnd w:id="35"/>
      <w:r>
        <w:t> its existing three-dimensional boundaries</w:t>
      </w:r>
      <w:r w:rsidR="007C3E3E">
        <w:t>.</w:t>
      </w:r>
    </w:p>
    <w:p w14:paraId="24E548FF" w14:textId="77777777" w:rsidR="008F7222" w:rsidRDefault="008F7222" w:rsidP="008F7222">
      <w:pPr>
        <w:pBdr>
          <w:top w:val="single" w:sz="4" w:space="1" w:color="auto"/>
          <w:left w:val="single" w:sz="4" w:space="4" w:color="auto"/>
          <w:bottom w:val="single" w:sz="4" w:space="1" w:color="auto"/>
          <w:right w:val="single" w:sz="4" w:space="4" w:color="auto"/>
        </w:pBdr>
        <w:jc w:val="both"/>
        <w:rPr>
          <w:b/>
          <w:lang w:val="en-US"/>
        </w:rPr>
      </w:pPr>
      <w:r>
        <w:rPr>
          <w:b/>
          <w:lang w:val="en-US"/>
        </w:rPr>
        <w:t>6</w:t>
      </w:r>
      <w:r w:rsidRPr="003A6F4F">
        <w:rPr>
          <w:b/>
          <w:lang w:val="en-US"/>
        </w:rPr>
        <w:t xml:space="preserve">. Do you agree with the </w:t>
      </w:r>
      <w:r>
        <w:rPr>
          <w:b/>
          <w:lang w:val="en-US"/>
        </w:rPr>
        <w:t>p</w:t>
      </w:r>
      <w:r w:rsidRPr="003A6F4F">
        <w:rPr>
          <w:b/>
          <w:lang w:val="en-US"/>
        </w:rPr>
        <w:t xml:space="preserve">roposed </w:t>
      </w:r>
      <w:r>
        <w:rPr>
          <w:b/>
          <w:lang w:val="en-US"/>
        </w:rPr>
        <w:t>new</w:t>
      </w:r>
      <w:r w:rsidRPr="003A6F4F">
        <w:rPr>
          <w:b/>
          <w:lang w:val="en-US"/>
        </w:rPr>
        <w:t xml:space="preserve"> exemption? </w:t>
      </w:r>
    </w:p>
    <w:p w14:paraId="0CD2702E" w14:textId="1B95459C" w:rsidR="008F7222" w:rsidRPr="003A6F4F" w:rsidRDefault="008F7222" w:rsidP="002077E0">
      <w:pPr>
        <w:pBdr>
          <w:top w:val="single" w:sz="4" w:space="1" w:color="auto"/>
          <w:left w:val="single" w:sz="4" w:space="4" w:color="auto"/>
          <w:bottom w:val="single" w:sz="4" w:space="1" w:color="auto"/>
          <w:right w:val="single" w:sz="4" w:space="4" w:color="auto"/>
        </w:pBdr>
        <w:jc w:val="both"/>
        <w:rPr>
          <w:lang w:val="en-US"/>
        </w:rPr>
      </w:pPr>
      <w:r w:rsidRPr="003A6F4F">
        <w:rPr>
          <w:b/>
          <w:lang w:val="en-US"/>
        </w:rPr>
        <w:t>Yes</w:t>
      </w:r>
      <w:r w:rsidR="00FF2C0F">
        <w:rPr>
          <w:b/>
          <w:lang w:val="en-US"/>
        </w:rPr>
        <w:t xml:space="preserve"> or </w:t>
      </w:r>
      <w:r w:rsidRPr="003A6F4F">
        <w:rPr>
          <w:b/>
          <w:lang w:val="en-US"/>
        </w:rPr>
        <w:t>No</w:t>
      </w:r>
      <w:r w:rsidR="00FF2C0F">
        <w:rPr>
          <w:b/>
          <w:lang w:val="en-US"/>
        </w:rPr>
        <w:t xml:space="preserve"> or </w:t>
      </w:r>
      <w:r w:rsidRPr="003A6F4F">
        <w:rPr>
          <w:b/>
          <w:lang w:val="en-US"/>
        </w:rPr>
        <w:t xml:space="preserve">Neither Agree </w:t>
      </w:r>
      <w:r>
        <w:rPr>
          <w:b/>
          <w:lang w:val="en-US"/>
        </w:rPr>
        <w:t>n</w:t>
      </w:r>
      <w:r w:rsidRPr="003A6F4F">
        <w:rPr>
          <w:b/>
          <w:lang w:val="en-US"/>
        </w:rPr>
        <w:t xml:space="preserve">or Disagree </w:t>
      </w:r>
    </w:p>
    <w:p w14:paraId="3CF2D8B6" w14:textId="5314354A" w:rsidR="00375E3B" w:rsidRPr="00276BF4" w:rsidRDefault="008F7222" w:rsidP="002077E0">
      <w:pPr>
        <w:pBdr>
          <w:top w:val="single" w:sz="4" w:space="1" w:color="auto"/>
          <w:left w:val="single" w:sz="4" w:space="4" w:color="auto"/>
          <w:bottom w:val="single" w:sz="4" w:space="1" w:color="auto"/>
          <w:right w:val="single" w:sz="4" w:space="4" w:color="auto"/>
        </w:pBdr>
        <w:spacing w:before="0" w:after="0"/>
        <w:rPr>
          <w:b/>
          <w:bCs/>
          <w:lang w:val="en-US"/>
        </w:rPr>
      </w:pPr>
      <w:r w:rsidRPr="3387C9C6">
        <w:rPr>
          <w:b/>
          <w:bCs/>
          <w:lang w:val="en-US"/>
        </w:rPr>
        <w:t>Do you have any further comments you wish to make on this proposal?</w:t>
      </w:r>
    </w:p>
    <w:p w14:paraId="432A157F" w14:textId="77777777" w:rsidR="00C3461F" w:rsidRPr="00C7021B" w:rsidRDefault="00C3461F" w:rsidP="00C3461F">
      <w:pPr>
        <w:pStyle w:val="Heading3"/>
        <w:jc w:val="both"/>
        <w:rPr>
          <w:color w:val="008330"/>
        </w:rPr>
      </w:pPr>
      <w:r w:rsidRPr="00C7021B">
        <w:rPr>
          <w:color w:val="008330"/>
        </w:rPr>
        <w:t>E</w:t>
      </w:r>
      <w:r w:rsidR="00705D40" w:rsidRPr="00C7021B">
        <w:rPr>
          <w:color w:val="008330"/>
        </w:rPr>
        <w:t>co</w:t>
      </w:r>
      <w:r w:rsidRPr="00C7021B">
        <w:rPr>
          <w:color w:val="008330"/>
        </w:rPr>
        <w:t xml:space="preserve"> </w:t>
      </w:r>
      <w:r w:rsidR="00705D40" w:rsidRPr="00C7021B">
        <w:rPr>
          <w:color w:val="008330"/>
        </w:rPr>
        <w:t>m</w:t>
      </w:r>
      <w:r w:rsidRPr="00C7021B">
        <w:rPr>
          <w:color w:val="008330"/>
        </w:rPr>
        <w:t>oorings</w:t>
      </w:r>
    </w:p>
    <w:p w14:paraId="169B7113" w14:textId="77777777" w:rsidR="00C3461F" w:rsidRPr="00C7021B" w:rsidRDefault="00C3461F" w:rsidP="00C3461F">
      <w:pPr>
        <w:jc w:val="both"/>
        <w:rPr>
          <w:rFonts w:cs="Arial"/>
        </w:rPr>
      </w:pPr>
      <w:r w:rsidRPr="00C7021B">
        <w:rPr>
          <w:rFonts w:cs="Arial"/>
        </w:rPr>
        <w:t xml:space="preserve">Traditional swing moorings can cause damage to seabed habitats as the chains sweep around the mooring block or anchor, causing abrasion and potential loss of sensitive habitats. </w:t>
      </w:r>
    </w:p>
    <w:p w14:paraId="58DE9248" w14:textId="324CD3CE" w:rsidR="00375E3B" w:rsidRPr="00C7021B" w:rsidRDefault="00C3461F" w:rsidP="00C3461F">
      <w:pPr>
        <w:jc w:val="both"/>
        <w:rPr>
          <w:rFonts w:cs="Arial"/>
        </w:rPr>
      </w:pPr>
      <w:r w:rsidRPr="00C7021B">
        <w:rPr>
          <w:rFonts w:cs="Arial"/>
        </w:rPr>
        <w:t xml:space="preserve">In contrast, </w:t>
      </w:r>
      <w:r w:rsidR="000259CD" w:rsidRPr="000259CD">
        <w:rPr>
          <w:rFonts w:cs="Arial"/>
        </w:rPr>
        <w:t>eco moorings (also referred to as conservation moorings or Advanced Mooring Systems)</w:t>
      </w:r>
      <w:r w:rsidR="00817F05" w:rsidRPr="00C7021B">
        <w:rPr>
          <w:rFonts w:cs="Arial"/>
        </w:rPr>
        <w:t xml:space="preserve"> </w:t>
      </w:r>
      <w:r w:rsidRPr="00C7021B">
        <w:rPr>
          <w:rFonts w:cs="Arial"/>
        </w:rPr>
        <w:t xml:space="preserve">involve a helical screw anchor being driven into the seabed with an elastic </w:t>
      </w:r>
      <w:r w:rsidRPr="0069517E">
        <w:rPr>
          <w:rFonts w:cs="Arial"/>
          <w:szCs w:val="24"/>
        </w:rPr>
        <w:t xml:space="preserve">rode </w:t>
      </w:r>
      <w:r w:rsidR="0069517E" w:rsidRPr="0069517E">
        <w:rPr>
          <w:rFonts w:cs="Arial"/>
          <w:color w:val="333333"/>
          <w:szCs w:val="24"/>
          <w:shd w:val="clear" w:color="auto" w:fill="FFFFFF"/>
        </w:rPr>
        <w:t>or chain with floats</w:t>
      </w:r>
      <w:r w:rsidR="0069517E" w:rsidRPr="0069517E">
        <w:rPr>
          <w:rFonts w:cs="Arial"/>
          <w:szCs w:val="24"/>
        </w:rPr>
        <w:t xml:space="preserve"> </w:t>
      </w:r>
      <w:r w:rsidRPr="0069517E">
        <w:rPr>
          <w:rFonts w:cs="Arial"/>
          <w:szCs w:val="24"/>
        </w:rPr>
        <w:t>attached</w:t>
      </w:r>
      <w:r w:rsidRPr="00C7021B">
        <w:rPr>
          <w:rFonts w:cs="Arial"/>
        </w:rPr>
        <w:t>, connecting the anchor system with the mooring buoy. The elastic rode stretches at higher tides and contracts at lower tides, avoiding the scouring of the seabed. The moorings also provide a hassle-free option for boaters, with no need to drop their own anchors which often drag before taking hold requiring them to be cleaned. </w:t>
      </w:r>
    </w:p>
    <w:p w14:paraId="04C04C5E" w14:textId="77777777" w:rsidR="00375E3B" w:rsidRPr="00C7021B" w:rsidRDefault="00C3461F" w:rsidP="00375E3B">
      <w:pPr>
        <w:spacing w:after="248" w:line="270" w:lineRule="auto"/>
        <w:jc w:val="both"/>
        <w:rPr>
          <w:rFonts w:cs="Arial"/>
          <w:b/>
        </w:rPr>
      </w:pPr>
      <w:r w:rsidRPr="00C7021B">
        <w:rPr>
          <w:rFonts w:cs="Arial"/>
          <w:b/>
        </w:rPr>
        <w:t xml:space="preserve">Proposed new exemption: </w:t>
      </w:r>
    </w:p>
    <w:p w14:paraId="7B182149" w14:textId="169D0D9F" w:rsidR="00C3461F" w:rsidRPr="00C7021B" w:rsidRDefault="00C3461F" w:rsidP="00375E3B">
      <w:pPr>
        <w:spacing w:after="248" w:line="270" w:lineRule="auto"/>
        <w:jc w:val="both"/>
        <w:rPr>
          <w:rFonts w:cs="Arial"/>
        </w:rPr>
      </w:pPr>
      <w:r w:rsidRPr="00C7021B">
        <w:t>Deposit of a mooring usually requires a marine licence</w:t>
      </w:r>
      <w:r w:rsidRPr="00C7021B">
        <w:rPr>
          <w:rStyle w:val="FootnoteReference"/>
        </w:rPr>
        <w:footnoteReference w:id="9"/>
      </w:r>
      <w:r w:rsidRPr="00C7021B">
        <w:t>. However,</w:t>
      </w:r>
      <w:r w:rsidR="00FE1741" w:rsidRPr="00C7021B">
        <w:t xml:space="preserve"> </w:t>
      </w:r>
      <w:r w:rsidRPr="00C7021B">
        <w:t xml:space="preserve">to encourage the transition from the use of traditional moorings to eco moorings the proposed amendment would create a new exemption that exempts the requirement for a marine licence for the deposit of an </w:t>
      </w:r>
      <w:bookmarkStart w:id="36" w:name="_Int_5oKSdhj5"/>
      <w:proofErr w:type="spellStart"/>
      <w:r w:rsidRPr="00C7021B">
        <w:t>eco</w:t>
      </w:r>
      <w:bookmarkEnd w:id="36"/>
      <w:r w:rsidRPr="00C7021B">
        <w:t xml:space="preserve"> mooring</w:t>
      </w:r>
      <w:proofErr w:type="spellEnd"/>
      <w:r w:rsidR="00A31147" w:rsidRPr="00C7021B">
        <w:t xml:space="preserve"> (moorings which use a buoyant bungee-like cord or floating, flexible rode to minimize contact with the seafloor)</w:t>
      </w:r>
      <w:r w:rsidRPr="00C7021B">
        <w:t xml:space="preserve"> where it replaces an existing traditional mooring a</w:t>
      </w:r>
      <w:r w:rsidR="00544638" w:rsidRPr="00C7021B">
        <w:t>nd</w:t>
      </w:r>
      <w:r w:rsidRPr="00C7021B">
        <w:t xml:space="preserve"> is within the same footprint.</w:t>
      </w:r>
    </w:p>
    <w:p w14:paraId="508A5F75" w14:textId="69E421D0" w:rsidR="000219EA" w:rsidRDefault="0061739A" w:rsidP="002077E0">
      <w:pPr>
        <w:jc w:val="both"/>
      </w:pPr>
      <w:r w:rsidRPr="00C7021B">
        <w:t xml:space="preserve">This exemption </w:t>
      </w:r>
      <w:r w:rsidR="00E002AA" w:rsidRPr="00C7021B">
        <w:t xml:space="preserve">will </w:t>
      </w:r>
      <w:r w:rsidRPr="00C7021B">
        <w:t xml:space="preserve">only </w:t>
      </w:r>
      <w:r w:rsidR="00E002AA" w:rsidRPr="00C7021B">
        <w:t xml:space="preserve">be </w:t>
      </w:r>
      <w:r w:rsidRPr="00C7021B">
        <w:t xml:space="preserve">for like for like replacements </w:t>
      </w:r>
      <w:r w:rsidR="0069517E">
        <w:t xml:space="preserve">only in the same place </w:t>
      </w:r>
      <w:r w:rsidRPr="00C7021B">
        <w:t xml:space="preserve">and it does not authorise the installation of new moorings unless already exempt under Article 25 of the 2011 Order. Therefore, existing moorings already within an MPA can benefit from this </w:t>
      </w:r>
      <w:r w:rsidR="009E1666" w:rsidRPr="00C7021B">
        <w:t xml:space="preserve">exemption </w:t>
      </w:r>
      <w:r w:rsidRPr="00C7021B">
        <w:t>without further assessment of impacts</w:t>
      </w:r>
      <w:r w:rsidR="00A31147" w:rsidRPr="00C7021B">
        <w:t>.</w:t>
      </w:r>
    </w:p>
    <w:p w14:paraId="66686F02" w14:textId="77777777" w:rsidR="005D6BD7" w:rsidRPr="00C7021B" w:rsidRDefault="005D6BD7" w:rsidP="002077E0">
      <w:pPr>
        <w:jc w:val="both"/>
      </w:pPr>
    </w:p>
    <w:p w14:paraId="3DB5D7A7" w14:textId="77777777" w:rsidR="008F7222" w:rsidRDefault="008F7222" w:rsidP="008F7222">
      <w:pPr>
        <w:pBdr>
          <w:top w:val="single" w:sz="4" w:space="1" w:color="auto"/>
          <w:left w:val="single" w:sz="4" w:space="4" w:color="auto"/>
          <w:bottom w:val="single" w:sz="4" w:space="1" w:color="auto"/>
          <w:right w:val="single" w:sz="4" w:space="4" w:color="auto"/>
        </w:pBdr>
        <w:jc w:val="both"/>
        <w:rPr>
          <w:b/>
          <w:lang w:val="en-US"/>
        </w:rPr>
      </w:pPr>
      <w:r>
        <w:rPr>
          <w:b/>
          <w:lang w:val="en-US"/>
        </w:rPr>
        <w:lastRenderedPageBreak/>
        <w:t>7</w:t>
      </w:r>
      <w:r w:rsidRPr="003A6F4F">
        <w:rPr>
          <w:b/>
          <w:lang w:val="en-US"/>
        </w:rPr>
        <w:t xml:space="preserve">. Do you agree with the </w:t>
      </w:r>
      <w:r w:rsidRPr="00336C1C">
        <w:rPr>
          <w:b/>
          <w:bCs/>
        </w:rPr>
        <w:t>proposed new exemption</w:t>
      </w:r>
      <w:r w:rsidRPr="003A6F4F">
        <w:rPr>
          <w:b/>
          <w:lang w:val="en-US"/>
        </w:rPr>
        <w:t xml:space="preserve">? </w:t>
      </w:r>
    </w:p>
    <w:p w14:paraId="1B26DB11" w14:textId="4C91007C" w:rsidR="008F7222" w:rsidRPr="009762C5" w:rsidRDefault="008F7222" w:rsidP="002077E0">
      <w:pPr>
        <w:pBdr>
          <w:top w:val="single" w:sz="4" w:space="1" w:color="auto"/>
          <w:left w:val="single" w:sz="4" w:space="4" w:color="auto"/>
          <w:bottom w:val="single" w:sz="4" w:space="1" w:color="auto"/>
          <w:right w:val="single" w:sz="4" w:space="4" w:color="auto"/>
        </w:pBdr>
        <w:jc w:val="both"/>
        <w:rPr>
          <w:b/>
          <w:bCs/>
        </w:rPr>
      </w:pPr>
      <w:r w:rsidRPr="003A6F4F">
        <w:rPr>
          <w:b/>
          <w:lang w:val="en-US"/>
        </w:rPr>
        <w:t>Yes</w:t>
      </w:r>
      <w:r w:rsidR="00FF2C0F">
        <w:rPr>
          <w:b/>
          <w:lang w:val="en-US"/>
        </w:rPr>
        <w:t xml:space="preserve"> or </w:t>
      </w:r>
      <w:r w:rsidRPr="003A6F4F">
        <w:rPr>
          <w:b/>
          <w:lang w:val="en-US"/>
        </w:rPr>
        <w:t>No</w:t>
      </w:r>
      <w:r w:rsidR="00FF2C0F">
        <w:rPr>
          <w:b/>
          <w:lang w:val="en-US"/>
        </w:rPr>
        <w:t xml:space="preserve"> or </w:t>
      </w:r>
      <w:r w:rsidRPr="003A6F4F">
        <w:rPr>
          <w:b/>
          <w:lang w:val="en-US"/>
        </w:rPr>
        <w:t xml:space="preserve">Neither Agree </w:t>
      </w:r>
      <w:r>
        <w:rPr>
          <w:b/>
          <w:lang w:val="en-US"/>
        </w:rPr>
        <w:t>n</w:t>
      </w:r>
      <w:r w:rsidRPr="003A6F4F">
        <w:rPr>
          <w:b/>
          <w:lang w:val="en-US"/>
        </w:rPr>
        <w:t xml:space="preserve">or Disagree </w:t>
      </w:r>
    </w:p>
    <w:p w14:paraId="0FB78278" w14:textId="4C1BB43E" w:rsidR="00375E3B" w:rsidRPr="00276BF4" w:rsidRDefault="008F7222" w:rsidP="002077E0">
      <w:pPr>
        <w:pBdr>
          <w:top w:val="single" w:sz="4" w:space="1" w:color="auto"/>
          <w:left w:val="single" w:sz="4" w:space="4" w:color="auto"/>
          <w:bottom w:val="single" w:sz="4" w:space="1" w:color="auto"/>
          <w:right w:val="single" w:sz="4" w:space="4" w:color="auto"/>
        </w:pBdr>
        <w:spacing w:before="0" w:after="0"/>
        <w:rPr>
          <w:b/>
          <w:bCs/>
          <w:lang w:val="en-US"/>
        </w:rPr>
      </w:pPr>
      <w:r w:rsidRPr="3387C9C6">
        <w:rPr>
          <w:b/>
          <w:bCs/>
          <w:lang w:val="en-US"/>
        </w:rPr>
        <w:t>Do you have any further comments you wish to make on this proposal?</w:t>
      </w:r>
    </w:p>
    <w:p w14:paraId="4499EFED" w14:textId="77777777" w:rsidR="005F0620" w:rsidRPr="005F0620" w:rsidRDefault="005F0620" w:rsidP="005F0620">
      <w:pPr>
        <w:pStyle w:val="Heading3"/>
        <w:rPr>
          <w:color w:val="008938"/>
        </w:rPr>
      </w:pPr>
      <w:r w:rsidRPr="005F0620">
        <w:rPr>
          <w:color w:val="008938"/>
        </w:rPr>
        <w:t xml:space="preserve">Coastal </w:t>
      </w:r>
      <w:r w:rsidR="00F41A98">
        <w:rPr>
          <w:color w:val="008938"/>
        </w:rPr>
        <w:t>f</w:t>
      </w:r>
      <w:r w:rsidRPr="005F0620">
        <w:rPr>
          <w:color w:val="008938"/>
        </w:rPr>
        <w:t xml:space="preserve">lood </w:t>
      </w:r>
      <w:r w:rsidR="00F41A98">
        <w:rPr>
          <w:color w:val="008938"/>
        </w:rPr>
        <w:t>d</w:t>
      </w:r>
      <w:r w:rsidRPr="005F0620">
        <w:rPr>
          <w:color w:val="008938"/>
        </w:rPr>
        <w:t xml:space="preserve">efence </w:t>
      </w:r>
      <w:r w:rsidR="00F41A98">
        <w:rPr>
          <w:color w:val="008938"/>
        </w:rPr>
        <w:t>w</w:t>
      </w:r>
      <w:r w:rsidRPr="005F0620">
        <w:rPr>
          <w:color w:val="008938"/>
        </w:rPr>
        <w:t>orks</w:t>
      </w:r>
    </w:p>
    <w:p w14:paraId="394B2C6F" w14:textId="77777777" w:rsidR="006C5D53" w:rsidRDefault="0049661C" w:rsidP="006225D3">
      <w:pPr>
        <w:spacing w:after="248" w:line="270" w:lineRule="auto"/>
        <w:jc w:val="both"/>
      </w:pPr>
      <w:r>
        <w:t xml:space="preserve">There are some instances with </w:t>
      </w:r>
      <w:r w:rsidRPr="0049661C">
        <w:t xml:space="preserve">coastal developments in England where several bodies </w:t>
      </w:r>
      <w:r>
        <w:t xml:space="preserve">will </w:t>
      </w:r>
      <w:r w:rsidRPr="0049661C">
        <w:t>have a regulatory function</w:t>
      </w:r>
      <w:r>
        <w:t xml:space="preserve">. As such, applicants will require separate licences from multiple regulators. Systems are in place to </w:t>
      </w:r>
      <w:r w:rsidR="005931DE">
        <w:t xml:space="preserve">help </w:t>
      </w:r>
      <w:r>
        <w:t xml:space="preserve">remove unnecessary </w:t>
      </w:r>
      <w:r w:rsidR="005931DE">
        <w:t xml:space="preserve">delays, </w:t>
      </w:r>
      <w:r>
        <w:t xml:space="preserve">such as </w:t>
      </w:r>
      <w:hyperlink r:id="rId42" w:history="1">
        <w:r w:rsidRPr="0030377E">
          <w:rPr>
            <w:rStyle w:val="Hyperlink"/>
          </w:rPr>
          <w:t>The Coastal Concordat</w:t>
        </w:r>
      </w:hyperlink>
      <w:r>
        <w:t xml:space="preserve"> which</w:t>
      </w:r>
      <w:r w:rsidRPr="0049661C">
        <w:t xml:space="preserve"> provides a framework within which the separate processes for consenting </w:t>
      </w:r>
      <w:r w:rsidR="005931DE">
        <w:t xml:space="preserve">these </w:t>
      </w:r>
      <w:r w:rsidRPr="0049661C">
        <w:t>developments can be better coordinated</w:t>
      </w:r>
      <w:r w:rsidR="000E75E5">
        <w:t xml:space="preserve"> amongst participating bodies</w:t>
      </w:r>
      <w:r w:rsidRPr="0049661C">
        <w:t>.</w:t>
      </w:r>
      <w:r w:rsidR="005931DE">
        <w:t xml:space="preserve"> </w:t>
      </w:r>
    </w:p>
    <w:p w14:paraId="50FD84AC" w14:textId="7ACE8884" w:rsidR="0069517E" w:rsidRPr="0069517E" w:rsidRDefault="004D0C15" w:rsidP="006225D3">
      <w:pPr>
        <w:spacing w:after="248" w:line="270" w:lineRule="auto"/>
        <w:jc w:val="both"/>
        <w:rPr>
          <w:rStyle w:val="normaltextrun"/>
          <w:rFonts w:cs="Arial"/>
          <w:color w:val="000000"/>
          <w:szCs w:val="24"/>
          <w:shd w:val="clear" w:color="auto" w:fill="FFFFFF"/>
        </w:rPr>
      </w:pPr>
      <w:r>
        <w:t>W</w:t>
      </w:r>
      <w:r w:rsidR="00FD5238">
        <w:t xml:space="preserve">here applications for </w:t>
      </w:r>
      <w:r>
        <w:t xml:space="preserve">coastal </w:t>
      </w:r>
      <w:r w:rsidR="00FD5238">
        <w:t xml:space="preserve">flood defence works are consented by both the </w:t>
      </w:r>
      <w:r w:rsidR="00892CDF">
        <w:t xml:space="preserve">LPA </w:t>
      </w:r>
      <w:r w:rsidR="00FD5238">
        <w:t xml:space="preserve">and the MMO, they typically undertake the same assessments such as </w:t>
      </w:r>
      <w:r w:rsidR="00E45AE2">
        <w:t>habitats regulations assessments (H</w:t>
      </w:r>
      <w:r w:rsidR="00FD5238">
        <w:t>RA</w:t>
      </w:r>
      <w:r w:rsidR="00E45AE2">
        <w:t>)</w:t>
      </w:r>
      <w:r w:rsidR="00FD5238">
        <w:t xml:space="preserve"> and</w:t>
      </w:r>
      <w:r w:rsidR="00E45AE2">
        <w:t xml:space="preserve"> </w:t>
      </w:r>
      <w:bookmarkStart w:id="37" w:name="_Hlk188017447"/>
      <w:r w:rsidR="00E45AE2">
        <w:t>environmental impact assessments</w:t>
      </w:r>
      <w:r w:rsidR="00FD5238">
        <w:t xml:space="preserve"> </w:t>
      </w:r>
      <w:bookmarkEnd w:id="37"/>
      <w:r w:rsidR="00E45AE2">
        <w:t>(</w:t>
      </w:r>
      <w:r w:rsidR="00FD5238">
        <w:t>EIA</w:t>
      </w:r>
      <w:r w:rsidR="00E45AE2">
        <w:t>)</w:t>
      </w:r>
      <w:r w:rsidR="00FD5238">
        <w:t xml:space="preserve">, using the same evidence and engaging with the same statutory consultees, advisors and </w:t>
      </w:r>
      <w:r w:rsidR="00FD5238" w:rsidRPr="0069517E">
        <w:rPr>
          <w:szCs w:val="24"/>
        </w:rPr>
        <w:t>members of the public.</w:t>
      </w:r>
    </w:p>
    <w:p w14:paraId="2492B156" w14:textId="692ED8DB" w:rsidR="0069517E" w:rsidRPr="0069517E" w:rsidRDefault="0069517E" w:rsidP="006225D3">
      <w:pPr>
        <w:spacing w:after="248" w:line="270" w:lineRule="auto"/>
        <w:jc w:val="both"/>
        <w:rPr>
          <w:szCs w:val="24"/>
        </w:rPr>
      </w:pPr>
      <w:r w:rsidRPr="0069517E">
        <w:rPr>
          <w:rStyle w:val="normaltextrun"/>
          <w:rFonts w:cs="Arial"/>
          <w:color w:val="000000"/>
          <w:szCs w:val="24"/>
          <w:shd w:val="clear" w:color="auto" w:fill="FFFFFF"/>
        </w:rPr>
        <w:t>We wish to introduce a new exemption to improve efficiency and remove duplication.</w:t>
      </w:r>
    </w:p>
    <w:p w14:paraId="71C16440" w14:textId="77777777" w:rsidR="006225D3" w:rsidRDefault="006225D3" w:rsidP="22CBAED0">
      <w:pPr>
        <w:spacing w:after="248" w:line="270" w:lineRule="auto"/>
        <w:jc w:val="both"/>
        <w:rPr>
          <w:rFonts w:cs="Arial"/>
          <w:b/>
          <w:bCs/>
        </w:rPr>
      </w:pPr>
      <w:r w:rsidRPr="22CBAED0">
        <w:rPr>
          <w:rFonts w:cs="Arial"/>
          <w:b/>
          <w:bCs/>
        </w:rPr>
        <w:t xml:space="preserve">Proposed amendment to licensed activity management: </w:t>
      </w:r>
    </w:p>
    <w:p w14:paraId="7FDF9557" w14:textId="148BBEF1" w:rsidR="00FD5238" w:rsidRDefault="004D0C15" w:rsidP="004D0C15">
      <w:pPr>
        <w:spacing w:after="248" w:line="270" w:lineRule="auto"/>
        <w:jc w:val="both"/>
      </w:pPr>
      <w:r>
        <w:t>T</w:t>
      </w:r>
      <w:r w:rsidR="00FD5238">
        <w:t>o</w:t>
      </w:r>
      <w:r w:rsidR="00FD5238" w:rsidRPr="005931DE">
        <w:t xml:space="preserve"> achieve more efficient regulation</w:t>
      </w:r>
      <w:r w:rsidR="00FD5238">
        <w:t xml:space="preserve"> in the coastal region we propose to add a new exemption for the </w:t>
      </w:r>
      <w:r w:rsidR="00795ABA">
        <w:t>construction</w:t>
      </w:r>
      <w:r w:rsidR="00FD5238">
        <w:t xml:space="preserve"> of coastal flood defence works where impacts occur within the </w:t>
      </w:r>
      <w:r w:rsidR="00E45AE2">
        <w:t>L</w:t>
      </w:r>
      <w:r w:rsidR="00FD5238">
        <w:t xml:space="preserve">PAs jurisdiction to the mean low water mark, given that they already assess impacts to the marine environment as part of planning permission. </w:t>
      </w:r>
      <w:r w:rsidR="0069517E" w:rsidRPr="0069517E">
        <w:t>This is only relevant to LPAs consenting under the Town and Countryside Planning Act.</w:t>
      </w:r>
    </w:p>
    <w:p w14:paraId="6591D173" w14:textId="07758402" w:rsidR="006C5D53" w:rsidRDefault="002A4099" w:rsidP="006C5D53">
      <w:r>
        <w:t>This would remove duplication of consents by removing the need for a marine licen</w:t>
      </w:r>
      <w:r w:rsidR="136B11D0">
        <w:t>c</w:t>
      </w:r>
      <w:r>
        <w:t>e on top of planning permission, therefore speeding decisions along.</w:t>
      </w:r>
    </w:p>
    <w:p w14:paraId="5EBEF6FC" w14:textId="77777777" w:rsidR="003F1DA2" w:rsidRDefault="003F1DA2" w:rsidP="003F1DA2">
      <w:pPr>
        <w:pBdr>
          <w:top w:val="single" w:sz="4" w:space="1" w:color="auto"/>
          <w:left w:val="single" w:sz="4" w:space="4" w:color="auto"/>
          <w:bottom w:val="single" w:sz="4" w:space="1" w:color="auto"/>
          <w:right w:val="single" w:sz="4" w:space="4" w:color="auto"/>
        </w:pBdr>
        <w:jc w:val="both"/>
        <w:rPr>
          <w:b/>
          <w:lang w:val="en-US"/>
        </w:rPr>
      </w:pPr>
      <w:r>
        <w:rPr>
          <w:b/>
          <w:lang w:val="en-US"/>
        </w:rPr>
        <w:t>8</w:t>
      </w:r>
      <w:r w:rsidRPr="003A6F4F">
        <w:rPr>
          <w:b/>
          <w:lang w:val="en-US"/>
        </w:rPr>
        <w:t xml:space="preserve">. Do you agree with the </w:t>
      </w:r>
      <w:r w:rsidRPr="00336C1C">
        <w:rPr>
          <w:b/>
          <w:bCs/>
        </w:rPr>
        <w:t>proposed new exemption</w:t>
      </w:r>
      <w:r w:rsidRPr="003A6F4F">
        <w:rPr>
          <w:b/>
          <w:lang w:val="en-US"/>
        </w:rPr>
        <w:t xml:space="preserve">? </w:t>
      </w:r>
    </w:p>
    <w:p w14:paraId="2E09BB5A" w14:textId="36F8B634" w:rsidR="003F1DA2" w:rsidRPr="009762C5" w:rsidRDefault="003F1DA2" w:rsidP="003F1DA2">
      <w:pPr>
        <w:pBdr>
          <w:top w:val="single" w:sz="4" w:space="1" w:color="auto"/>
          <w:left w:val="single" w:sz="4" w:space="4" w:color="auto"/>
          <w:bottom w:val="single" w:sz="4" w:space="1" w:color="auto"/>
          <w:right w:val="single" w:sz="4" w:space="4" w:color="auto"/>
        </w:pBdr>
        <w:jc w:val="both"/>
        <w:rPr>
          <w:b/>
          <w:bCs/>
        </w:rPr>
      </w:pPr>
      <w:r w:rsidRPr="003A6F4F">
        <w:rPr>
          <w:b/>
          <w:lang w:val="en-US"/>
        </w:rPr>
        <w:t>Yes</w:t>
      </w:r>
      <w:r>
        <w:rPr>
          <w:b/>
          <w:lang w:val="en-US"/>
        </w:rPr>
        <w:t xml:space="preserve"> or </w:t>
      </w:r>
      <w:bookmarkStart w:id="38" w:name="_Hlk188350814"/>
      <w:r w:rsidRPr="003A6F4F">
        <w:rPr>
          <w:b/>
          <w:lang w:val="en-US"/>
        </w:rPr>
        <w:t>No</w:t>
      </w:r>
      <w:r>
        <w:rPr>
          <w:b/>
          <w:lang w:val="en-US"/>
        </w:rPr>
        <w:t xml:space="preserve"> or </w:t>
      </w:r>
      <w:r w:rsidRPr="003A6F4F">
        <w:rPr>
          <w:b/>
          <w:lang w:val="en-US"/>
        </w:rPr>
        <w:t xml:space="preserve">Neither Agree </w:t>
      </w:r>
      <w:r>
        <w:rPr>
          <w:b/>
          <w:lang w:val="en-US"/>
        </w:rPr>
        <w:t>n</w:t>
      </w:r>
      <w:r w:rsidRPr="003A6F4F">
        <w:rPr>
          <w:b/>
          <w:lang w:val="en-US"/>
        </w:rPr>
        <w:t xml:space="preserve">or Disagree </w:t>
      </w:r>
      <w:bookmarkEnd w:id="38"/>
    </w:p>
    <w:p w14:paraId="166CA0D9" w14:textId="5FC50010" w:rsidR="003F1DA2" w:rsidRPr="00FF25D1" w:rsidRDefault="003F1DA2" w:rsidP="00FF25D1">
      <w:pPr>
        <w:pBdr>
          <w:top w:val="single" w:sz="4" w:space="1" w:color="auto"/>
          <w:left w:val="single" w:sz="4" w:space="4" w:color="auto"/>
          <w:bottom w:val="single" w:sz="4" w:space="1" w:color="auto"/>
          <w:right w:val="single" w:sz="4" w:space="4" w:color="auto"/>
        </w:pBdr>
        <w:spacing w:after="0"/>
        <w:rPr>
          <w:b/>
        </w:rPr>
      </w:pPr>
      <w:r w:rsidRPr="4CDAF053">
        <w:rPr>
          <w:b/>
        </w:rPr>
        <w:t xml:space="preserve">Do you have any further comments you wish to make on this proposal?  </w:t>
      </w:r>
    </w:p>
    <w:p w14:paraId="22B886D3" w14:textId="259763C8" w:rsidR="00C3461F" w:rsidRDefault="4CCFB965" w:rsidP="00B957AC">
      <w:pPr>
        <w:pStyle w:val="Heading2"/>
      </w:pPr>
      <w:bookmarkStart w:id="39" w:name="_Toc200715780"/>
      <w:bookmarkStart w:id="40" w:name="_Hlk85791654"/>
      <w:r>
        <w:t xml:space="preserve">Amendments to </w:t>
      </w:r>
      <w:r w:rsidR="007D5936">
        <w:t>e</w:t>
      </w:r>
      <w:r>
        <w:t xml:space="preserve">xisting </w:t>
      </w:r>
      <w:r w:rsidR="007D5936">
        <w:t>e</w:t>
      </w:r>
      <w:r>
        <w:t>xemptions</w:t>
      </w:r>
      <w:bookmarkEnd w:id="39"/>
    </w:p>
    <w:p w14:paraId="0BF54D96" w14:textId="2CA4A9E2" w:rsidR="00FC75D2" w:rsidRDefault="00FC75D2" w:rsidP="00FC75D2">
      <w:pPr>
        <w:rPr>
          <w:rFonts w:eastAsia="Times New Roman"/>
          <w:b/>
          <w:bCs/>
          <w:color w:val="008938"/>
          <w:sz w:val="28"/>
          <w:szCs w:val="28"/>
        </w:rPr>
      </w:pPr>
      <w:r w:rsidRPr="116399CC">
        <w:rPr>
          <w:rFonts w:eastAsia="Times New Roman"/>
          <w:b/>
          <w:bCs/>
          <w:color w:val="008938"/>
          <w:sz w:val="28"/>
          <w:szCs w:val="28"/>
        </w:rPr>
        <w:t xml:space="preserve">Scientific instruments – </w:t>
      </w:r>
      <w:r w:rsidR="007D5936">
        <w:rPr>
          <w:rFonts w:eastAsia="Times New Roman"/>
          <w:b/>
          <w:bCs/>
          <w:color w:val="008938"/>
          <w:sz w:val="28"/>
          <w:szCs w:val="28"/>
        </w:rPr>
        <w:t>r</w:t>
      </w:r>
      <w:r w:rsidRPr="116399CC">
        <w:rPr>
          <w:rFonts w:eastAsia="Times New Roman"/>
          <w:b/>
          <w:bCs/>
          <w:color w:val="008938"/>
          <w:sz w:val="28"/>
          <w:szCs w:val="28"/>
        </w:rPr>
        <w:t xml:space="preserve">isks to marine </w:t>
      </w:r>
      <w:bookmarkStart w:id="41" w:name="_Int_Pq1Mmb75"/>
      <w:proofErr w:type="gramStart"/>
      <w:r w:rsidRPr="116399CC">
        <w:rPr>
          <w:rFonts w:eastAsia="Times New Roman"/>
          <w:b/>
          <w:bCs/>
          <w:color w:val="008938"/>
          <w:sz w:val="28"/>
          <w:szCs w:val="28"/>
        </w:rPr>
        <w:t>mammals</w:t>
      </w:r>
      <w:bookmarkEnd w:id="41"/>
      <w:proofErr w:type="gramEnd"/>
      <w:r w:rsidR="00FE5C9E" w:rsidRPr="116399CC">
        <w:rPr>
          <w:rFonts w:eastAsia="Times New Roman"/>
          <w:b/>
          <w:bCs/>
          <w:color w:val="008938"/>
          <w:sz w:val="28"/>
          <w:szCs w:val="28"/>
        </w:rPr>
        <w:t xml:space="preserve"> part A: </w:t>
      </w:r>
      <w:r w:rsidR="007D5936">
        <w:rPr>
          <w:rFonts w:eastAsia="Times New Roman"/>
          <w:b/>
          <w:bCs/>
          <w:color w:val="008938"/>
          <w:sz w:val="28"/>
          <w:szCs w:val="28"/>
        </w:rPr>
        <w:t>g</w:t>
      </w:r>
      <w:r w:rsidR="00FE5C9E" w:rsidRPr="116399CC">
        <w:rPr>
          <w:rFonts w:eastAsia="Times New Roman"/>
          <w:b/>
          <w:bCs/>
          <w:color w:val="008938"/>
          <w:sz w:val="28"/>
          <w:szCs w:val="28"/>
        </w:rPr>
        <w:t xml:space="preserve">eophysical </w:t>
      </w:r>
      <w:r w:rsidR="00F41A98" w:rsidRPr="116399CC">
        <w:rPr>
          <w:rFonts w:eastAsia="Times New Roman"/>
          <w:b/>
          <w:bCs/>
          <w:color w:val="008938"/>
          <w:sz w:val="28"/>
          <w:szCs w:val="28"/>
        </w:rPr>
        <w:t>s</w:t>
      </w:r>
      <w:r w:rsidR="00FE5C9E" w:rsidRPr="116399CC">
        <w:rPr>
          <w:rFonts w:eastAsia="Times New Roman"/>
          <w:b/>
          <w:bCs/>
          <w:color w:val="008938"/>
          <w:sz w:val="28"/>
          <w:szCs w:val="28"/>
        </w:rPr>
        <w:t>urveys</w:t>
      </w:r>
    </w:p>
    <w:p w14:paraId="3C9877E1" w14:textId="77777777" w:rsidR="00FC75D2" w:rsidRDefault="00FC75D2" w:rsidP="00A6387A">
      <w:pPr>
        <w:jc w:val="both"/>
        <w:rPr>
          <w:rFonts w:eastAsia="Times New Roman"/>
          <w:szCs w:val="24"/>
        </w:rPr>
      </w:pPr>
      <w:r w:rsidRPr="008C51B2">
        <w:rPr>
          <w:rFonts w:eastAsia="Times New Roman"/>
          <w:szCs w:val="24"/>
        </w:rPr>
        <w:t xml:space="preserve">The current exemption for scientific instruments </w:t>
      </w:r>
      <w:r w:rsidR="00FC3800">
        <w:rPr>
          <w:rFonts w:eastAsia="Times New Roman"/>
          <w:szCs w:val="24"/>
        </w:rPr>
        <w:t xml:space="preserve">and associated equipment </w:t>
      </w:r>
      <w:r w:rsidRPr="008C51B2">
        <w:rPr>
          <w:rFonts w:eastAsia="Times New Roman"/>
          <w:szCs w:val="24"/>
        </w:rPr>
        <w:t xml:space="preserve">removes the need for a marine licence for a lot of </w:t>
      </w:r>
      <w:r>
        <w:rPr>
          <w:rFonts w:eastAsia="Times New Roman"/>
          <w:szCs w:val="24"/>
        </w:rPr>
        <w:t xml:space="preserve">geophysical </w:t>
      </w:r>
      <w:r w:rsidRPr="008C51B2">
        <w:rPr>
          <w:rFonts w:eastAsia="Times New Roman"/>
          <w:szCs w:val="24"/>
        </w:rPr>
        <w:t xml:space="preserve">survey work undertaken at sea. The survey </w:t>
      </w:r>
      <w:r w:rsidRPr="008C51B2">
        <w:rPr>
          <w:rFonts w:eastAsia="Times New Roman"/>
          <w:szCs w:val="24"/>
        </w:rPr>
        <w:lastRenderedPageBreak/>
        <w:t xml:space="preserve">work is often </w:t>
      </w:r>
      <w:r w:rsidR="00701F0D">
        <w:rPr>
          <w:rFonts w:eastAsia="Times New Roman"/>
          <w:szCs w:val="24"/>
        </w:rPr>
        <w:t>carried out</w:t>
      </w:r>
      <w:r w:rsidR="00701F0D" w:rsidRPr="008C51B2">
        <w:rPr>
          <w:rFonts w:eastAsia="Times New Roman"/>
          <w:szCs w:val="24"/>
        </w:rPr>
        <w:t xml:space="preserve"> </w:t>
      </w:r>
      <w:r w:rsidRPr="008C51B2">
        <w:rPr>
          <w:rFonts w:eastAsia="Times New Roman"/>
          <w:szCs w:val="24"/>
        </w:rPr>
        <w:t xml:space="preserve">to inform </w:t>
      </w:r>
      <w:r>
        <w:rPr>
          <w:rFonts w:eastAsia="Times New Roman"/>
          <w:szCs w:val="24"/>
        </w:rPr>
        <w:t>characterisation of marine areas of interest for development.</w:t>
      </w:r>
    </w:p>
    <w:p w14:paraId="0317461E" w14:textId="3B04E24C" w:rsidR="00063A7C" w:rsidRDefault="1614A4F5" w:rsidP="00A6387A">
      <w:pPr>
        <w:jc w:val="both"/>
        <w:rPr>
          <w:rFonts w:eastAsia="Times New Roman"/>
        </w:rPr>
      </w:pPr>
      <w:r w:rsidRPr="116399CC">
        <w:rPr>
          <w:rFonts w:eastAsia="Times New Roman"/>
        </w:rPr>
        <w:t xml:space="preserve">Broadly speaking, scientific instruments and associated equipment </w:t>
      </w:r>
      <w:r w:rsidR="00202074" w:rsidRPr="116399CC">
        <w:rPr>
          <w:rFonts w:eastAsia="Times New Roman"/>
        </w:rPr>
        <w:t>used</w:t>
      </w:r>
      <w:r w:rsidRPr="116399CC">
        <w:rPr>
          <w:rFonts w:eastAsia="Times New Roman"/>
        </w:rPr>
        <w:t xml:space="preserve"> as part of a scientific experiment or survey are themselves </w:t>
      </w:r>
      <w:bookmarkStart w:id="42" w:name="_Int_rAK4Kqkq"/>
      <w:r w:rsidRPr="116399CC">
        <w:rPr>
          <w:rFonts w:eastAsia="Times New Roman"/>
        </w:rPr>
        <w:t>low risk</w:t>
      </w:r>
      <w:bookmarkEnd w:id="42"/>
      <w:r w:rsidRPr="116399CC">
        <w:rPr>
          <w:rFonts w:eastAsia="Times New Roman"/>
        </w:rPr>
        <w:t xml:space="preserve"> to marine wildlife. However, there are some, such as sub-bottom profiling equipment</w:t>
      </w:r>
      <w:r w:rsidR="29339A2D" w:rsidRPr="116399CC">
        <w:rPr>
          <w:rFonts w:eastAsia="Times New Roman"/>
        </w:rPr>
        <w:t>,</w:t>
      </w:r>
      <w:r w:rsidRPr="116399CC">
        <w:rPr>
          <w:rFonts w:eastAsia="Times New Roman"/>
        </w:rPr>
        <w:t xml:space="preserve"> which emit impulsive noise audible to marine mammals and so have greater potential to cause significant impacts. The potential for cumulative impacts on marine mammals is magnified in the context of a busy marine area and the increasing use of the </w:t>
      </w:r>
      <w:r w:rsidR="01766075" w:rsidRPr="116399CC">
        <w:rPr>
          <w:rFonts w:eastAsia="Times New Roman"/>
        </w:rPr>
        <w:t>technique</w:t>
      </w:r>
      <w:r w:rsidRPr="116399CC">
        <w:rPr>
          <w:rFonts w:eastAsia="Times New Roman"/>
        </w:rPr>
        <w:t>.</w:t>
      </w:r>
      <w:r w:rsidR="5B3B4495" w:rsidRPr="116399CC">
        <w:rPr>
          <w:rFonts w:eastAsia="Times New Roman"/>
        </w:rPr>
        <w:t xml:space="preserve"> </w:t>
      </w:r>
      <w:r w:rsidR="70AA5673" w:rsidRPr="116399CC">
        <w:rPr>
          <w:rFonts w:eastAsia="Times New Roman"/>
        </w:rPr>
        <w:t>To understand the potential impact of these activities on underwater noise levels it is important that all instances of these activities are captured and impacts on underwater noise levels recorded</w:t>
      </w:r>
      <w:r w:rsidR="1C9EDDD2" w:rsidRPr="116399CC">
        <w:rPr>
          <w:rFonts w:eastAsia="Times New Roman"/>
        </w:rPr>
        <w:t>.</w:t>
      </w:r>
    </w:p>
    <w:p w14:paraId="122F1FC3" w14:textId="4D4A5CD3" w:rsidR="00910938" w:rsidRDefault="00EA4A34" w:rsidP="00A6387A">
      <w:pPr>
        <w:jc w:val="both"/>
        <w:rPr>
          <w:rFonts w:eastAsia="Times New Roman"/>
        </w:rPr>
      </w:pPr>
      <w:r>
        <w:rPr>
          <w:rFonts w:eastAsia="Times New Roman"/>
        </w:rPr>
        <w:t xml:space="preserve">We therefore propose to add a condition onto the existing exemption for users of these surveys to submit noise data from these activities to the </w:t>
      </w:r>
      <w:r w:rsidRPr="0F2E3EBE">
        <w:rPr>
          <w:rStyle w:val="Heading3Char"/>
          <w:rFonts w:eastAsia="Arial"/>
          <w:b w:val="0"/>
          <w:bCs w:val="0"/>
          <w:sz w:val="24"/>
          <w:szCs w:val="24"/>
        </w:rPr>
        <w:t>M</w:t>
      </w:r>
      <w:r w:rsidRPr="734B6432">
        <w:rPr>
          <w:rStyle w:val="Heading3Char"/>
          <w:rFonts w:eastAsia="Arial"/>
          <w:b w:val="0"/>
          <w:bCs w:val="0"/>
          <w:sz w:val="24"/>
          <w:szCs w:val="24"/>
        </w:rPr>
        <w:t xml:space="preserve">arine </w:t>
      </w:r>
      <w:r w:rsidRPr="0F2E3EBE">
        <w:rPr>
          <w:rStyle w:val="Heading3Char"/>
          <w:rFonts w:eastAsia="Arial"/>
          <w:b w:val="0"/>
          <w:bCs w:val="0"/>
          <w:sz w:val="24"/>
          <w:szCs w:val="24"/>
        </w:rPr>
        <w:t>N</w:t>
      </w:r>
      <w:r w:rsidRPr="734B6432">
        <w:rPr>
          <w:rStyle w:val="Heading3Char"/>
          <w:rFonts w:eastAsia="Arial"/>
          <w:b w:val="0"/>
          <w:bCs w:val="0"/>
          <w:sz w:val="24"/>
          <w:szCs w:val="24"/>
        </w:rPr>
        <w:t xml:space="preserve">oise </w:t>
      </w:r>
      <w:r w:rsidRPr="0F2E3EBE">
        <w:rPr>
          <w:rStyle w:val="Heading3Char"/>
          <w:rFonts w:eastAsia="Arial"/>
          <w:b w:val="0"/>
          <w:bCs w:val="0"/>
          <w:sz w:val="24"/>
          <w:szCs w:val="24"/>
        </w:rPr>
        <w:t>R</w:t>
      </w:r>
      <w:r w:rsidRPr="734B6432">
        <w:rPr>
          <w:rStyle w:val="Heading3Char"/>
          <w:rFonts w:eastAsia="Arial"/>
          <w:b w:val="0"/>
          <w:bCs w:val="0"/>
          <w:sz w:val="24"/>
          <w:szCs w:val="24"/>
        </w:rPr>
        <w:t>egistry</w:t>
      </w:r>
      <w:r w:rsidRPr="5A07087A">
        <w:rPr>
          <w:rStyle w:val="FootnoteReference"/>
        </w:rPr>
        <w:footnoteReference w:id="10"/>
      </w:r>
      <w:r>
        <w:rPr>
          <w:rStyle w:val="Heading3Char"/>
          <w:rFonts w:eastAsia="Arial"/>
          <w:b w:val="0"/>
          <w:bCs w:val="0"/>
          <w:sz w:val="24"/>
          <w:szCs w:val="24"/>
        </w:rPr>
        <w:t xml:space="preserve">. </w:t>
      </w:r>
      <w:r w:rsidR="00063A7C">
        <w:rPr>
          <w:rFonts w:eastAsia="Times New Roman"/>
        </w:rPr>
        <w:t xml:space="preserve">The </w:t>
      </w:r>
      <w:r w:rsidR="00063A7C" w:rsidRPr="00900DAC">
        <w:rPr>
          <w:rFonts w:eastAsia="Times New Roman"/>
        </w:rPr>
        <w:t>purpose</w:t>
      </w:r>
      <w:r w:rsidR="00063A7C">
        <w:rPr>
          <w:rFonts w:eastAsia="Times New Roman"/>
        </w:rPr>
        <w:t xml:space="preserve"> of this amendment is to </w:t>
      </w:r>
      <w:r w:rsidR="00063A7C" w:rsidRPr="00900DAC">
        <w:rPr>
          <w:rFonts w:eastAsia="Times New Roman"/>
        </w:rPr>
        <w:t>gather data to inform future policy</w:t>
      </w:r>
      <w:r w:rsidR="00063A7C">
        <w:rPr>
          <w:rFonts w:eastAsia="Times New Roman"/>
        </w:rPr>
        <w:t xml:space="preserve">, </w:t>
      </w:r>
      <w:r w:rsidR="00063A7C" w:rsidRPr="00900DAC">
        <w:rPr>
          <w:rFonts w:eastAsia="Times New Roman"/>
        </w:rPr>
        <w:t>provid</w:t>
      </w:r>
      <w:r w:rsidR="00063A7C">
        <w:rPr>
          <w:rFonts w:eastAsia="Times New Roman"/>
        </w:rPr>
        <w:t>ing</w:t>
      </w:r>
      <w:r w:rsidR="00063A7C" w:rsidRPr="00900DAC">
        <w:rPr>
          <w:rFonts w:eastAsia="Times New Roman"/>
        </w:rPr>
        <w:t xml:space="preserve"> a more realistic view of actual noise levels</w:t>
      </w:r>
      <w:r w:rsidR="00063A7C">
        <w:rPr>
          <w:rFonts w:eastAsia="Times New Roman"/>
        </w:rPr>
        <w:t>.</w:t>
      </w:r>
      <w:r w:rsidR="00911B11">
        <w:rPr>
          <w:rFonts w:eastAsia="Times New Roman"/>
        </w:rPr>
        <w:t xml:space="preserve"> I</w:t>
      </w:r>
      <w:r w:rsidR="00063A7C">
        <w:rPr>
          <w:rFonts w:eastAsia="Times New Roman"/>
        </w:rPr>
        <w:t>t is important</w:t>
      </w:r>
      <w:r w:rsidR="002A0CDE">
        <w:rPr>
          <w:rFonts w:eastAsia="Times New Roman"/>
        </w:rPr>
        <w:t xml:space="preserve"> </w:t>
      </w:r>
      <w:r w:rsidR="00063A7C">
        <w:rPr>
          <w:rFonts w:eastAsia="Times New Roman"/>
        </w:rPr>
        <w:t>to note that</w:t>
      </w:r>
      <w:r w:rsidR="00063A7C" w:rsidRPr="00900DAC">
        <w:rPr>
          <w:rFonts w:eastAsia="Times New Roman"/>
        </w:rPr>
        <w:t xml:space="preserve"> this amendment does not change what needs to be considered for </w:t>
      </w:r>
      <w:r w:rsidR="00202074">
        <w:rPr>
          <w:rFonts w:eastAsia="Times New Roman"/>
        </w:rPr>
        <w:t>HRA</w:t>
      </w:r>
      <w:r w:rsidR="00063A7C" w:rsidRPr="00900DAC">
        <w:rPr>
          <w:rFonts w:eastAsia="Times New Roman"/>
        </w:rPr>
        <w:t xml:space="preserve"> purposes</w:t>
      </w:r>
      <w:r>
        <w:rPr>
          <w:rFonts w:eastAsia="Times New Roman"/>
        </w:rPr>
        <w:t xml:space="preserve">, where </w:t>
      </w:r>
      <w:r w:rsidRPr="00EA4A34">
        <w:rPr>
          <w:rFonts w:eastAsia="Times New Roman"/>
        </w:rPr>
        <w:t>potential impacts associated with a development are</w:t>
      </w:r>
      <w:r>
        <w:rPr>
          <w:rFonts w:eastAsia="Times New Roman"/>
        </w:rPr>
        <w:t xml:space="preserve"> already</w:t>
      </w:r>
      <w:r w:rsidRPr="00EA4A34">
        <w:rPr>
          <w:rFonts w:eastAsia="Times New Roman"/>
        </w:rPr>
        <w:t xml:space="preserve"> considered by regulators before licences are granted</w:t>
      </w:r>
      <w:r w:rsidR="00063A7C" w:rsidRPr="00900DAC">
        <w:rPr>
          <w:rFonts w:eastAsia="Times New Roman"/>
        </w:rPr>
        <w:t>.</w:t>
      </w:r>
    </w:p>
    <w:p w14:paraId="6233C784" w14:textId="5EAEE216" w:rsidR="001B486D" w:rsidRDefault="001B486D" w:rsidP="00A6387A">
      <w:pPr>
        <w:jc w:val="both"/>
        <w:rPr>
          <w:rFonts w:eastAsia="Times New Roman"/>
        </w:rPr>
      </w:pPr>
      <w:r>
        <w:rPr>
          <w:rStyle w:val="normaltextrun"/>
          <w:rFonts w:cs="Arial"/>
          <w:color w:val="000000"/>
          <w:shd w:val="clear" w:color="auto" w:fill="FFFFFF"/>
        </w:rPr>
        <w:t>However, there is also the opportunity to bring these activities into self-service licensing, which would bring the management of these activities further in line with other regulators, such as Offshore Petroleum Regulator for Environment and Decommissioning.</w:t>
      </w:r>
      <w:r>
        <w:rPr>
          <w:rStyle w:val="eop"/>
          <w:rFonts w:cs="Arial"/>
          <w:color w:val="000000"/>
          <w:shd w:val="clear" w:color="auto" w:fill="FFFFFF"/>
        </w:rPr>
        <w:t> </w:t>
      </w:r>
    </w:p>
    <w:p w14:paraId="1FA4F1E0" w14:textId="77777777" w:rsidR="00FC75D2" w:rsidRPr="00E150A8" w:rsidRDefault="00FC75D2" w:rsidP="00FC75D2">
      <w:pPr>
        <w:jc w:val="both"/>
        <w:rPr>
          <w:lang w:val="en-US"/>
        </w:rPr>
      </w:pPr>
      <w:r w:rsidRPr="734B6432">
        <w:rPr>
          <w:b/>
          <w:bCs/>
          <w:lang w:val="en-US"/>
        </w:rPr>
        <w:t xml:space="preserve">Proposed </w:t>
      </w:r>
      <w:r w:rsidR="00DE7773" w:rsidRPr="734B6432">
        <w:rPr>
          <w:b/>
          <w:bCs/>
          <w:lang w:val="en-US"/>
        </w:rPr>
        <w:t>amendment</w:t>
      </w:r>
      <w:r w:rsidRPr="734B6432">
        <w:rPr>
          <w:b/>
          <w:bCs/>
          <w:lang w:val="en-US"/>
        </w:rPr>
        <w:t xml:space="preserve"> of exemption: </w:t>
      </w:r>
    </w:p>
    <w:p w14:paraId="3EE9B11C" w14:textId="0D56D644" w:rsidR="001C2E6A" w:rsidRPr="005D5654" w:rsidRDefault="65A01929" w:rsidP="00FF25D1">
      <w:pPr>
        <w:spacing w:before="0" w:after="0"/>
        <w:jc w:val="both"/>
        <w:rPr>
          <w:rStyle w:val="Heading3Char"/>
          <w:rFonts w:eastAsia="Arial"/>
          <w:b w:val="0"/>
          <w:bCs w:val="0"/>
          <w:sz w:val="24"/>
          <w:szCs w:val="24"/>
        </w:rPr>
      </w:pPr>
      <w:r w:rsidRPr="734B6432">
        <w:rPr>
          <w:rStyle w:val="Heading3Char"/>
          <w:rFonts w:eastAsia="Arial"/>
          <w:b w:val="0"/>
          <w:bCs w:val="0"/>
          <w:sz w:val="24"/>
          <w:szCs w:val="24"/>
        </w:rPr>
        <w:t xml:space="preserve">The proposed amendment would aim to remedy this issue by adding </w:t>
      </w:r>
      <w:r w:rsidR="23C19BDD">
        <w:rPr>
          <w:rStyle w:val="Heading3Char"/>
          <w:rFonts w:eastAsia="Arial"/>
          <w:b w:val="0"/>
          <w:bCs w:val="0"/>
          <w:sz w:val="24"/>
          <w:szCs w:val="24"/>
        </w:rPr>
        <w:t xml:space="preserve">a </w:t>
      </w:r>
      <w:r w:rsidRPr="734B6432">
        <w:rPr>
          <w:rStyle w:val="Heading3Char"/>
          <w:rFonts w:eastAsia="Arial"/>
          <w:b w:val="0"/>
          <w:bCs w:val="0"/>
          <w:sz w:val="24"/>
          <w:szCs w:val="24"/>
        </w:rPr>
        <w:t>condition to the exemption</w:t>
      </w:r>
      <w:r w:rsidR="23C19BDD">
        <w:rPr>
          <w:rStyle w:val="Heading3Char"/>
          <w:rFonts w:eastAsia="Arial"/>
          <w:b w:val="0"/>
          <w:bCs w:val="0"/>
          <w:sz w:val="24"/>
          <w:szCs w:val="24"/>
        </w:rPr>
        <w:t xml:space="preserve"> to</w:t>
      </w:r>
      <w:r w:rsidRPr="734B6432">
        <w:rPr>
          <w:rStyle w:val="Heading3Char"/>
          <w:rFonts w:eastAsia="Arial"/>
          <w:b w:val="0"/>
          <w:bCs w:val="0"/>
          <w:sz w:val="24"/>
          <w:szCs w:val="24"/>
        </w:rPr>
        <w:t xml:space="preserve"> </w:t>
      </w:r>
      <w:r w:rsidR="6FC2C854" w:rsidRPr="734B6432">
        <w:rPr>
          <w:rStyle w:val="Heading3Char"/>
          <w:rFonts w:eastAsia="Arial"/>
          <w:b w:val="0"/>
          <w:bCs w:val="0"/>
          <w:sz w:val="24"/>
          <w:szCs w:val="24"/>
        </w:rPr>
        <w:t>requir</w:t>
      </w:r>
      <w:r w:rsidR="23C19BDD">
        <w:rPr>
          <w:rStyle w:val="Heading3Char"/>
          <w:rFonts w:eastAsia="Arial"/>
          <w:b w:val="0"/>
          <w:bCs w:val="0"/>
          <w:sz w:val="24"/>
          <w:szCs w:val="24"/>
        </w:rPr>
        <w:t xml:space="preserve">e </w:t>
      </w:r>
      <w:r w:rsidR="00910938">
        <w:rPr>
          <w:rStyle w:val="Heading3Char"/>
          <w:rFonts w:eastAsia="Arial"/>
          <w:b w:val="0"/>
          <w:bCs w:val="0"/>
          <w:sz w:val="24"/>
          <w:szCs w:val="24"/>
        </w:rPr>
        <w:t xml:space="preserve">activity </w:t>
      </w:r>
      <w:r w:rsidRPr="734B6432">
        <w:rPr>
          <w:rStyle w:val="Heading3Char"/>
          <w:rFonts w:eastAsia="Arial"/>
          <w:b w:val="0"/>
          <w:bCs w:val="0"/>
          <w:sz w:val="24"/>
          <w:szCs w:val="24"/>
        </w:rPr>
        <w:t xml:space="preserve">noise data </w:t>
      </w:r>
      <w:r w:rsidR="00592B80">
        <w:rPr>
          <w:rStyle w:val="Heading3Char"/>
          <w:rFonts w:eastAsia="Arial"/>
          <w:b w:val="0"/>
          <w:bCs w:val="0"/>
          <w:sz w:val="24"/>
          <w:szCs w:val="24"/>
        </w:rPr>
        <w:t>to be</w:t>
      </w:r>
      <w:r w:rsidR="23C19BDD">
        <w:rPr>
          <w:rStyle w:val="Heading3Char"/>
          <w:rFonts w:eastAsia="Arial"/>
          <w:b w:val="0"/>
          <w:bCs w:val="0"/>
          <w:sz w:val="24"/>
          <w:szCs w:val="24"/>
        </w:rPr>
        <w:t xml:space="preserve"> </w:t>
      </w:r>
      <w:r w:rsidRPr="734B6432">
        <w:rPr>
          <w:rStyle w:val="Heading3Char"/>
          <w:rFonts w:eastAsia="Arial"/>
          <w:b w:val="0"/>
          <w:bCs w:val="0"/>
          <w:sz w:val="24"/>
          <w:szCs w:val="24"/>
        </w:rPr>
        <w:t xml:space="preserve">submitted to the </w:t>
      </w:r>
      <w:r w:rsidR="29339A2D" w:rsidRPr="0F2E3EBE">
        <w:rPr>
          <w:rStyle w:val="Heading3Char"/>
          <w:rFonts w:eastAsia="Arial"/>
          <w:b w:val="0"/>
          <w:bCs w:val="0"/>
          <w:sz w:val="24"/>
          <w:szCs w:val="24"/>
        </w:rPr>
        <w:t>M</w:t>
      </w:r>
      <w:r w:rsidR="37C8013D" w:rsidRPr="734B6432">
        <w:rPr>
          <w:rStyle w:val="Heading3Char"/>
          <w:rFonts w:eastAsia="Arial"/>
          <w:b w:val="0"/>
          <w:bCs w:val="0"/>
          <w:sz w:val="24"/>
          <w:szCs w:val="24"/>
        </w:rPr>
        <w:t>arine</w:t>
      </w:r>
      <w:r w:rsidRPr="734B6432">
        <w:rPr>
          <w:rStyle w:val="Heading3Char"/>
          <w:rFonts w:eastAsia="Arial"/>
          <w:b w:val="0"/>
          <w:bCs w:val="0"/>
          <w:sz w:val="24"/>
          <w:szCs w:val="24"/>
        </w:rPr>
        <w:t xml:space="preserve"> </w:t>
      </w:r>
      <w:r w:rsidR="29339A2D" w:rsidRPr="0F2E3EBE">
        <w:rPr>
          <w:rStyle w:val="Heading3Char"/>
          <w:rFonts w:eastAsia="Arial"/>
          <w:b w:val="0"/>
          <w:bCs w:val="0"/>
          <w:sz w:val="24"/>
          <w:szCs w:val="24"/>
        </w:rPr>
        <w:t>N</w:t>
      </w:r>
      <w:r w:rsidRPr="734B6432">
        <w:rPr>
          <w:rStyle w:val="Heading3Char"/>
          <w:rFonts w:eastAsia="Arial"/>
          <w:b w:val="0"/>
          <w:bCs w:val="0"/>
          <w:sz w:val="24"/>
          <w:szCs w:val="24"/>
        </w:rPr>
        <w:t xml:space="preserve">oise </w:t>
      </w:r>
      <w:r w:rsidR="29339A2D" w:rsidRPr="0F2E3EBE">
        <w:rPr>
          <w:rStyle w:val="Heading3Char"/>
          <w:rFonts w:eastAsia="Arial"/>
          <w:b w:val="0"/>
          <w:bCs w:val="0"/>
          <w:sz w:val="24"/>
          <w:szCs w:val="24"/>
        </w:rPr>
        <w:t>R</w:t>
      </w:r>
      <w:r w:rsidRPr="734B6432">
        <w:rPr>
          <w:rStyle w:val="Heading3Char"/>
          <w:rFonts w:eastAsia="Arial"/>
          <w:b w:val="0"/>
          <w:bCs w:val="0"/>
          <w:sz w:val="24"/>
          <w:szCs w:val="24"/>
        </w:rPr>
        <w:t>egistry</w:t>
      </w:r>
      <w:r w:rsidR="23C19BDD">
        <w:rPr>
          <w:rStyle w:val="Heading3Char"/>
          <w:rFonts w:eastAsia="Arial"/>
          <w:b w:val="0"/>
          <w:bCs w:val="0"/>
          <w:sz w:val="24"/>
          <w:szCs w:val="24"/>
        </w:rPr>
        <w:t xml:space="preserve"> for</w:t>
      </w:r>
      <w:r w:rsidR="00C2A670" w:rsidRPr="734B6432">
        <w:rPr>
          <w:rStyle w:val="Heading3Char"/>
          <w:rFonts w:eastAsia="Arial"/>
          <w:b w:val="0"/>
          <w:bCs w:val="0"/>
          <w:sz w:val="24"/>
          <w:szCs w:val="24"/>
        </w:rPr>
        <w:t xml:space="preserve"> </w:t>
      </w:r>
      <w:r w:rsidRPr="734B6432">
        <w:rPr>
          <w:rStyle w:val="Heading3Char"/>
          <w:rFonts w:eastAsia="Arial"/>
          <w:b w:val="0"/>
          <w:bCs w:val="0"/>
          <w:sz w:val="24"/>
          <w:szCs w:val="24"/>
        </w:rPr>
        <w:t xml:space="preserve">geophysical surveys that include sub-bottom profiling equipment (for example sparkers, boomers, </w:t>
      </w:r>
      <w:r w:rsidR="0044576A" w:rsidRPr="0044576A">
        <w:rPr>
          <w:rStyle w:val="Heading3Char"/>
          <w:rFonts w:eastAsia="Arial"/>
          <w:b w:val="0"/>
          <w:bCs w:val="0"/>
          <w:sz w:val="24"/>
          <w:szCs w:val="24"/>
        </w:rPr>
        <w:t>Compressed High Intensity Radar Pulse</w:t>
      </w:r>
      <w:r w:rsidR="0044576A">
        <w:rPr>
          <w:rStyle w:val="Heading3Char"/>
          <w:rFonts w:eastAsia="Arial"/>
          <w:b w:val="0"/>
          <w:bCs w:val="0"/>
          <w:sz w:val="24"/>
          <w:szCs w:val="24"/>
        </w:rPr>
        <w:t xml:space="preserve"> </w:t>
      </w:r>
      <w:r w:rsidRPr="734B6432">
        <w:rPr>
          <w:rStyle w:val="Heading3Char"/>
          <w:rFonts w:eastAsia="Arial"/>
          <w:b w:val="0"/>
          <w:bCs w:val="0"/>
          <w:sz w:val="24"/>
          <w:szCs w:val="24"/>
        </w:rPr>
        <w:t>and pingers)</w:t>
      </w:r>
      <w:r w:rsidR="7BD52565" w:rsidRPr="734B6432">
        <w:rPr>
          <w:rStyle w:val="Heading3Char"/>
          <w:rFonts w:eastAsia="Arial"/>
          <w:b w:val="0"/>
          <w:bCs w:val="0"/>
          <w:sz w:val="24"/>
          <w:szCs w:val="24"/>
        </w:rPr>
        <w:t>.</w:t>
      </w:r>
    </w:p>
    <w:bookmarkEnd w:id="40"/>
    <w:p w14:paraId="3096DA3F" w14:textId="57036E01" w:rsidR="008F7222" w:rsidRDefault="29CF8F13" w:rsidP="75D99BAD">
      <w:pPr>
        <w:pBdr>
          <w:top w:val="single" w:sz="4" w:space="1" w:color="auto"/>
          <w:left w:val="single" w:sz="4" w:space="4" w:color="auto"/>
          <w:bottom w:val="single" w:sz="4" w:space="1" w:color="auto"/>
          <w:right w:val="single" w:sz="4" w:space="4" w:color="auto"/>
        </w:pBdr>
        <w:spacing w:after="238" w:line="278" w:lineRule="auto"/>
        <w:rPr>
          <w:b/>
          <w:bCs/>
        </w:rPr>
      </w:pPr>
      <w:r w:rsidRPr="75D99BAD">
        <w:rPr>
          <w:rFonts w:cs="Arial"/>
          <w:b/>
          <w:bCs/>
        </w:rPr>
        <w:t xml:space="preserve">9a. Do you agree with </w:t>
      </w:r>
      <w:r w:rsidRPr="75D99BAD">
        <w:rPr>
          <w:b/>
          <w:bCs/>
        </w:rPr>
        <w:t xml:space="preserve">the government’s proposal to amend this exemption in the circumstances described? </w:t>
      </w:r>
    </w:p>
    <w:p w14:paraId="62DAD403" w14:textId="3479A3D2" w:rsidR="008F7222" w:rsidRDefault="008F7222" w:rsidP="002077E0">
      <w:pPr>
        <w:pBdr>
          <w:top w:val="single" w:sz="4" w:space="1" w:color="auto"/>
          <w:left w:val="single" w:sz="4" w:space="4" w:color="auto"/>
          <w:bottom w:val="single" w:sz="4" w:space="1" w:color="auto"/>
          <w:right w:val="single" w:sz="4" w:space="4" w:color="auto"/>
        </w:pBdr>
        <w:spacing w:after="238" w:line="278" w:lineRule="auto"/>
        <w:rPr>
          <w:rFonts w:cs="Arial"/>
          <w:b/>
          <w:bCs/>
        </w:rPr>
      </w:pPr>
      <w:r w:rsidRPr="22CBAED0">
        <w:rPr>
          <w:rFonts w:cs="Arial"/>
          <w:b/>
          <w:bCs/>
        </w:rPr>
        <w:t>Yes</w:t>
      </w:r>
      <w:r w:rsidR="00264681">
        <w:rPr>
          <w:rFonts w:cs="Arial"/>
          <w:b/>
          <w:bCs/>
        </w:rPr>
        <w:t xml:space="preserve"> or </w:t>
      </w:r>
      <w:r w:rsidRPr="22CBAED0">
        <w:rPr>
          <w:rFonts w:cs="Arial"/>
          <w:b/>
          <w:bCs/>
        </w:rPr>
        <w:t>No</w:t>
      </w:r>
      <w:r w:rsidR="00264681">
        <w:rPr>
          <w:rFonts w:cs="Arial"/>
          <w:b/>
          <w:bCs/>
        </w:rPr>
        <w:t xml:space="preserve"> or </w:t>
      </w:r>
      <w:r w:rsidRPr="22CBAED0">
        <w:rPr>
          <w:rFonts w:cs="Arial"/>
          <w:b/>
          <w:bCs/>
        </w:rPr>
        <w:t xml:space="preserve">Neither Agree nor Disagree </w:t>
      </w:r>
    </w:p>
    <w:p w14:paraId="73715096" w14:textId="358F5A70" w:rsidR="00F64D1A" w:rsidRDefault="00F64D1A" w:rsidP="002077E0">
      <w:pPr>
        <w:pBdr>
          <w:top w:val="single" w:sz="4" w:space="1" w:color="auto"/>
          <w:left w:val="single" w:sz="4" w:space="4" w:color="auto"/>
          <w:bottom w:val="single" w:sz="4" w:space="1" w:color="auto"/>
          <w:right w:val="single" w:sz="4" w:space="4" w:color="auto"/>
        </w:pBdr>
        <w:spacing w:after="238" w:line="278" w:lineRule="auto"/>
        <w:rPr>
          <w:b/>
          <w:bCs/>
        </w:rPr>
      </w:pPr>
      <w:r>
        <w:rPr>
          <w:rFonts w:cs="Arial"/>
          <w:b/>
          <w:bCs/>
        </w:rPr>
        <w:t xml:space="preserve">9b. </w:t>
      </w:r>
      <w:r w:rsidR="00194559">
        <w:rPr>
          <w:b/>
          <w:bCs/>
        </w:rPr>
        <w:t>D</w:t>
      </w:r>
      <w:r w:rsidRPr="75D99BAD">
        <w:rPr>
          <w:b/>
          <w:bCs/>
        </w:rPr>
        <w:t xml:space="preserve">o you </w:t>
      </w:r>
      <w:r w:rsidR="00194559">
        <w:rPr>
          <w:b/>
          <w:bCs/>
        </w:rPr>
        <w:t>think</w:t>
      </w:r>
      <w:r w:rsidRPr="75D99BAD">
        <w:rPr>
          <w:b/>
          <w:bCs/>
        </w:rPr>
        <w:t xml:space="preserve"> th</w:t>
      </w:r>
      <w:r w:rsidR="006731B3">
        <w:rPr>
          <w:b/>
          <w:bCs/>
        </w:rPr>
        <w:t>ese</w:t>
      </w:r>
      <w:r w:rsidRPr="75D99BAD">
        <w:rPr>
          <w:b/>
          <w:bCs/>
        </w:rPr>
        <w:t xml:space="preserve"> activit</w:t>
      </w:r>
      <w:r w:rsidR="006731B3">
        <w:rPr>
          <w:b/>
          <w:bCs/>
        </w:rPr>
        <w:t>ies</w:t>
      </w:r>
      <w:r w:rsidRPr="75D99BAD">
        <w:rPr>
          <w:b/>
          <w:bCs/>
        </w:rPr>
        <w:t xml:space="preserve"> should be brought into self-service licensing? </w:t>
      </w:r>
    </w:p>
    <w:p w14:paraId="4203BB35" w14:textId="137EA7D5" w:rsidR="00E85229" w:rsidRPr="008F7222" w:rsidRDefault="00E85229" w:rsidP="002077E0">
      <w:pPr>
        <w:pBdr>
          <w:top w:val="single" w:sz="4" w:space="1" w:color="auto"/>
          <w:left w:val="single" w:sz="4" w:space="4" w:color="auto"/>
          <w:bottom w:val="single" w:sz="4" w:space="1" w:color="auto"/>
          <w:right w:val="single" w:sz="4" w:space="4" w:color="auto"/>
        </w:pBdr>
        <w:spacing w:after="238" w:line="278" w:lineRule="auto"/>
        <w:rPr>
          <w:rFonts w:cs="Arial"/>
          <w:b/>
          <w:bCs/>
        </w:rPr>
      </w:pPr>
      <w:r w:rsidRPr="22CBAED0">
        <w:rPr>
          <w:rFonts w:cs="Arial"/>
          <w:b/>
          <w:bCs/>
        </w:rPr>
        <w:t>Yes</w:t>
      </w:r>
      <w:r>
        <w:rPr>
          <w:rFonts w:cs="Arial"/>
          <w:b/>
          <w:bCs/>
        </w:rPr>
        <w:t xml:space="preserve"> or </w:t>
      </w:r>
      <w:r w:rsidRPr="22CBAED0">
        <w:rPr>
          <w:rFonts w:cs="Arial"/>
          <w:b/>
          <w:bCs/>
        </w:rPr>
        <w:t>No</w:t>
      </w:r>
      <w:r>
        <w:rPr>
          <w:rFonts w:cs="Arial"/>
          <w:b/>
          <w:bCs/>
        </w:rPr>
        <w:t xml:space="preserve"> or </w:t>
      </w:r>
      <w:r w:rsidRPr="22CBAED0">
        <w:rPr>
          <w:rFonts w:cs="Arial"/>
          <w:b/>
          <w:bCs/>
        </w:rPr>
        <w:t xml:space="preserve">Neither Agree nor Disagree </w:t>
      </w:r>
    </w:p>
    <w:p w14:paraId="0DFAE634" w14:textId="16D099A2" w:rsidR="00D42415" w:rsidRPr="00D42415" w:rsidRDefault="008F7222" w:rsidP="00D42415">
      <w:pPr>
        <w:pBdr>
          <w:top w:val="single" w:sz="4" w:space="1" w:color="auto"/>
          <w:left w:val="single" w:sz="4" w:space="4" w:color="auto"/>
          <w:bottom w:val="single" w:sz="4" w:space="1" w:color="auto"/>
          <w:right w:val="single" w:sz="4" w:space="4" w:color="auto"/>
        </w:pBdr>
        <w:spacing w:before="0" w:after="0"/>
        <w:rPr>
          <w:rFonts w:cs="Arial"/>
          <w:b/>
        </w:rPr>
      </w:pPr>
      <w:r>
        <w:rPr>
          <w:rFonts w:cs="Arial"/>
          <w:b/>
        </w:rPr>
        <w:t>Do you have any further comments you wish to make on this propos</w:t>
      </w:r>
      <w:r w:rsidR="00122FA4">
        <w:rPr>
          <w:rFonts w:cs="Arial"/>
          <w:b/>
        </w:rPr>
        <w:t>al</w:t>
      </w:r>
      <w:r>
        <w:rPr>
          <w:rFonts w:cs="Arial"/>
          <w:b/>
        </w:rPr>
        <w:t>?</w:t>
      </w:r>
    </w:p>
    <w:p w14:paraId="471F0DA0" w14:textId="1FF69480" w:rsidR="00FC75D2" w:rsidRPr="009A464B" w:rsidRDefault="00FE5C9E" w:rsidP="00FC75D2">
      <w:pPr>
        <w:rPr>
          <w:rFonts w:eastAsia="Times New Roman"/>
          <w:b/>
          <w:bCs/>
          <w:color w:val="008938"/>
          <w:sz w:val="28"/>
          <w:szCs w:val="28"/>
        </w:rPr>
      </w:pPr>
      <w:r w:rsidRPr="4FB4945B">
        <w:rPr>
          <w:rFonts w:eastAsia="Times New Roman"/>
          <w:b/>
          <w:bCs/>
          <w:color w:val="008938"/>
          <w:sz w:val="28"/>
          <w:szCs w:val="28"/>
        </w:rPr>
        <w:lastRenderedPageBreak/>
        <w:t xml:space="preserve">Scientific instruments – </w:t>
      </w:r>
      <w:r w:rsidR="007D5936">
        <w:rPr>
          <w:rFonts w:eastAsia="Times New Roman"/>
          <w:b/>
          <w:bCs/>
          <w:color w:val="008938"/>
          <w:sz w:val="28"/>
          <w:szCs w:val="28"/>
        </w:rPr>
        <w:t>r</w:t>
      </w:r>
      <w:r w:rsidRPr="4FB4945B">
        <w:rPr>
          <w:rFonts w:eastAsia="Times New Roman"/>
          <w:b/>
          <w:bCs/>
          <w:color w:val="008938"/>
          <w:sz w:val="28"/>
          <w:szCs w:val="28"/>
        </w:rPr>
        <w:t xml:space="preserve">isks to marine </w:t>
      </w:r>
      <w:bookmarkStart w:id="43" w:name="_Int_RSEo0KGS"/>
      <w:proofErr w:type="gramStart"/>
      <w:r w:rsidRPr="4FB4945B">
        <w:rPr>
          <w:rFonts w:eastAsia="Times New Roman"/>
          <w:b/>
          <w:bCs/>
          <w:color w:val="008938"/>
          <w:sz w:val="28"/>
          <w:szCs w:val="28"/>
        </w:rPr>
        <w:t>mammals</w:t>
      </w:r>
      <w:bookmarkEnd w:id="43"/>
      <w:proofErr w:type="gramEnd"/>
      <w:r w:rsidRPr="4FB4945B">
        <w:rPr>
          <w:rFonts w:eastAsia="Times New Roman"/>
          <w:b/>
          <w:bCs/>
          <w:color w:val="008938"/>
          <w:sz w:val="28"/>
          <w:szCs w:val="28"/>
        </w:rPr>
        <w:t xml:space="preserve"> part B: </w:t>
      </w:r>
      <w:r w:rsidR="007D5936">
        <w:rPr>
          <w:rFonts w:eastAsia="Times New Roman"/>
          <w:b/>
          <w:bCs/>
          <w:color w:val="008938"/>
          <w:sz w:val="28"/>
          <w:szCs w:val="28"/>
        </w:rPr>
        <w:t>s</w:t>
      </w:r>
      <w:r w:rsidR="00FC75D2" w:rsidRPr="4FB4945B">
        <w:rPr>
          <w:rFonts w:eastAsia="Times New Roman"/>
          <w:b/>
          <w:bCs/>
          <w:color w:val="008938"/>
          <w:sz w:val="28"/>
          <w:szCs w:val="28"/>
        </w:rPr>
        <w:t>eismic airguns</w:t>
      </w:r>
    </w:p>
    <w:p w14:paraId="3DC5A478" w14:textId="77777777" w:rsidR="00FC75D2" w:rsidRDefault="1614A4F5">
      <w:pPr>
        <w:jc w:val="both"/>
      </w:pPr>
      <w:r>
        <w:t>Geophysical surveys that use seismic airguns</w:t>
      </w:r>
      <w:r w:rsidR="0CC31B6A">
        <w:t xml:space="preserve"> produce intense, impulsive noise which can propagate far from the source, and </w:t>
      </w:r>
      <w:r w:rsidR="00C90075">
        <w:t xml:space="preserve">these surveys </w:t>
      </w:r>
      <w:r w:rsidR="23C19BDD">
        <w:t>may occur</w:t>
      </w:r>
      <w:r w:rsidR="44F57723">
        <w:t xml:space="preserve"> over a duration of </w:t>
      </w:r>
      <w:r>
        <w:t xml:space="preserve">a few days </w:t>
      </w:r>
      <w:r w:rsidR="23C19BDD">
        <w:t>to</w:t>
      </w:r>
      <w:r>
        <w:t xml:space="preserve"> many weeks</w:t>
      </w:r>
      <w:r w:rsidR="4A2390C2">
        <w:t xml:space="preserve">. </w:t>
      </w:r>
      <w:r w:rsidR="3799DB2D">
        <w:t>E</w:t>
      </w:r>
      <w:r w:rsidR="08B857C4">
        <w:t>vidence has shown that these surveys have</w:t>
      </w:r>
      <w:r w:rsidR="4A2390C2">
        <w:t xml:space="preserve"> the potential to cause injury and disturbance to marine animals</w:t>
      </w:r>
      <w:r w:rsidR="08B857C4">
        <w:t>,</w:t>
      </w:r>
      <w:r w:rsidR="4A2390C2">
        <w:t xml:space="preserve"> including marine mammals, due</w:t>
      </w:r>
      <w:r>
        <w:t xml:space="preserve"> to the high intensity multiple pulsed sound produced by the</w:t>
      </w:r>
      <w:r w:rsidR="4A2390C2">
        <w:t>se</w:t>
      </w:r>
      <w:r>
        <w:t xml:space="preserve"> airguns</w:t>
      </w:r>
      <w:r w:rsidR="08B857C4">
        <w:t xml:space="preserve">. </w:t>
      </w:r>
      <w:r w:rsidR="205C1F79">
        <w:t>D</w:t>
      </w:r>
      <w:r>
        <w:t xml:space="preserve">ata on cetacean auditory sensitivities </w:t>
      </w:r>
      <w:r w:rsidR="00056772">
        <w:t>suggest</w:t>
      </w:r>
      <w:r>
        <w:t xml:space="preserve"> their hearing could be damaged by source levels emitted by airguns if the animals are close to them</w:t>
      </w:r>
      <w:r w:rsidR="00FC75D2">
        <w:rPr>
          <w:rStyle w:val="FootnoteReference"/>
        </w:rPr>
        <w:footnoteReference w:id="11"/>
      </w:r>
      <w:r>
        <w:t xml:space="preserve"> and there is evidence for short-term behavioural responses</w:t>
      </w:r>
      <w:r w:rsidR="00FC75D2">
        <w:rPr>
          <w:rStyle w:val="FootnoteReference"/>
        </w:rPr>
        <w:footnoteReference w:id="12"/>
      </w:r>
      <w:r>
        <w:t xml:space="preserve">. </w:t>
      </w:r>
    </w:p>
    <w:p w14:paraId="55CBF7A4" w14:textId="77777777" w:rsidR="005A1FB4" w:rsidRPr="005A1FB4" w:rsidRDefault="005A1FB4" w:rsidP="00FC75D2">
      <w:pPr>
        <w:rPr>
          <w:b/>
          <w:bCs/>
        </w:rPr>
      </w:pPr>
      <w:r w:rsidRPr="005A1FB4">
        <w:rPr>
          <w:b/>
          <w:bCs/>
        </w:rPr>
        <w:t xml:space="preserve">Proposed </w:t>
      </w:r>
      <w:r w:rsidR="00FC3800">
        <w:rPr>
          <w:b/>
          <w:bCs/>
        </w:rPr>
        <w:t xml:space="preserve">amendment </w:t>
      </w:r>
      <w:r w:rsidR="00184780">
        <w:rPr>
          <w:b/>
          <w:bCs/>
        </w:rPr>
        <w:t>of exemption</w:t>
      </w:r>
      <w:r w:rsidRPr="005A1FB4">
        <w:rPr>
          <w:b/>
          <w:bCs/>
        </w:rPr>
        <w:t>:</w:t>
      </w:r>
    </w:p>
    <w:p w14:paraId="27085998" w14:textId="77777777" w:rsidR="00817F05" w:rsidRPr="003526B9" w:rsidRDefault="1614A4F5" w:rsidP="00817F05">
      <w:pPr>
        <w:jc w:val="both"/>
        <w:rPr>
          <w:rStyle w:val="Heading3Char"/>
          <w:rFonts w:eastAsia="Arial"/>
          <w:b w:val="0"/>
          <w:bCs w:val="0"/>
          <w:strike/>
          <w:sz w:val="24"/>
          <w:szCs w:val="24"/>
        </w:rPr>
      </w:pPr>
      <w:r>
        <w:t>It is proposed</w:t>
      </w:r>
      <w:r w:rsidR="5FD936BA">
        <w:t xml:space="preserve"> to amend the exemption in Article 17 to exclude from its scope the use of seismic airguns,</w:t>
      </w:r>
      <w:r w:rsidR="4A2390C2">
        <w:t xml:space="preserve"> therefore </w:t>
      </w:r>
      <w:r>
        <w:t xml:space="preserve">any surveys </w:t>
      </w:r>
      <w:r w:rsidR="4A2390C2">
        <w:t>which</w:t>
      </w:r>
      <w:r>
        <w:t xml:space="preserve"> include the use of seismic airguns will require a standard marine licence</w:t>
      </w:r>
      <w:r w:rsidR="00056772">
        <w:t>.</w:t>
      </w:r>
      <w:r w:rsidR="18717831">
        <w:t xml:space="preserve"> </w:t>
      </w:r>
    </w:p>
    <w:p w14:paraId="57BAAD60" w14:textId="15C6C0AD" w:rsidR="008F7222" w:rsidRDefault="008F7222" w:rsidP="008F7222">
      <w:pPr>
        <w:pBdr>
          <w:top w:val="single" w:sz="4" w:space="1" w:color="auto"/>
          <w:left w:val="single" w:sz="4" w:space="4" w:color="auto"/>
          <w:bottom w:val="single" w:sz="4" w:space="1" w:color="auto"/>
          <w:right w:val="single" w:sz="4" w:space="4" w:color="auto"/>
        </w:pBdr>
        <w:spacing w:after="238" w:line="278" w:lineRule="auto"/>
        <w:rPr>
          <w:b/>
          <w:bCs/>
        </w:rPr>
      </w:pPr>
      <w:r>
        <w:rPr>
          <w:rFonts w:cs="Arial"/>
          <w:b/>
          <w:bCs/>
        </w:rPr>
        <w:t>9</w:t>
      </w:r>
      <w:r w:rsidR="00035466">
        <w:rPr>
          <w:rFonts w:cs="Arial"/>
          <w:b/>
          <w:bCs/>
        </w:rPr>
        <w:t>c</w:t>
      </w:r>
      <w:r w:rsidRPr="734B6432">
        <w:rPr>
          <w:rFonts w:cs="Arial"/>
          <w:b/>
          <w:bCs/>
        </w:rPr>
        <w:t xml:space="preserve">. Do you agree with </w:t>
      </w:r>
      <w:r w:rsidRPr="734B6432">
        <w:rPr>
          <w:b/>
          <w:bCs/>
        </w:rPr>
        <w:t xml:space="preserve">the </w:t>
      </w:r>
      <w:r>
        <w:rPr>
          <w:b/>
          <w:bCs/>
        </w:rPr>
        <w:t>g</w:t>
      </w:r>
      <w:r w:rsidRPr="734B6432">
        <w:rPr>
          <w:b/>
          <w:bCs/>
        </w:rPr>
        <w:t xml:space="preserve">overnment’s proposal to dis-apply this exemption </w:t>
      </w:r>
      <w:r>
        <w:rPr>
          <w:b/>
          <w:bCs/>
        </w:rPr>
        <w:t>for the use of seismic airguns</w:t>
      </w:r>
      <w:r w:rsidRPr="734B6432">
        <w:rPr>
          <w:b/>
          <w:bCs/>
        </w:rPr>
        <w:t xml:space="preserve">? </w:t>
      </w:r>
    </w:p>
    <w:p w14:paraId="3BED4109" w14:textId="2836C61F" w:rsidR="008F7222" w:rsidRDefault="008F7222" w:rsidP="002077E0">
      <w:pPr>
        <w:pBdr>
          <w:top w:val="single" w:sz="4" w:space="1" w:color="auto"/>
          <w:left w:val="single" w:sz="4" w:space="4" w:color="auto"/>
          <w:bottom w:val="single" w:sz="4" w:space="1" w:color="auto"/>
          <w:right w:val="single" w:sz="4" w:space="4" w:color="auto"/>
        </w:pBdr>
        <w:spacing w:after="238" w:line="278" w:lineRule="auto"/>
      </w:pPr>
      <w:r w:rsidRPr="734B6432">
        <w:rPr>
          <w:rFonts w:cs="Arial"/>
          <w:b/>
          <w:bCs/>
        </w:rPr>
        <w:t>Yes</w:t>
      </w:r>
      <w:r w:rsidR="00264681">
        <w:rPr>
          <w:rFonts w:cs="Arial"/>
          <w:b/>
          <w:bCs/>
        </w:rPr>
        <w:t xml:space="preserve"> or </w:t>
      </w:r>
      <w:r w:rsidRPr="734B6432">
        <w:rPr>
          <w:rFonts w:cs="Arial"/>
          <w:b/>
          <w:bCs/>
        </w:rPr>
        <w:t>No</w:t>
      </w:r>
      <w:r w:rsidR="00264681">
        <w:rPr>
          <w:rFonts w:cs="Arial"/>
          <w:b/>
          <w:bCs/>
        </w:rPr>
        <w:t xml:space="preserve"> or </w:t>
      </w:r>
      <w:r w:rsidRPr="734B6432">
        <w:rPr>
          <w:rFonts w:cs="Arial"/>
          <w:b/>
          <w:bCs/>
        </w:rPr>
        <w:t xml:space="preserve">Neither Agree </w:t>
      </w:r>
      <w:r>
        <w:rPr>
          <w:rFonts w:cs="Arial"/>
          <w:b/>
          <w:bCs/>
        </w:rPr>
        <w:t>n</w:t>
      </w:r>
      <w:r w:rsidRPr="734B6432">
        <w:rPr>
          <w:rFonts w:cs="Arial"/>
          <w:b/>
          <w:bCs/>
        </w:rPr>
        <w:t xml:space="preserve">or Disagree </w:t>
      </w:r>
    </w:p>
    <w:p w14:paraId="29D6B04F" w14:textId="1B0C374E" w:rsidR="00FC75D2" w:rsidRPr="00FF25D1" w:rsidRDefault="008F7222" w:rsidP="002077E0">
      <w:pPr>
        <w:pBdr>
          <w:top w:val="single" w:sz="4" w:space="1" w:color="auto"/>
          <w:left w:val="single" w:sz="4" w:space="4" w:color="auto"/>
          <w:bottom w:val="single" w:sz="4" w:space="1" w:color="auto"/>
          <w:right w:val="single" w:sz="4" w:space="4" w:color="auto"/>
        </w:pBdr>
        <w:spacing w:before="0" w:after="0"/>
        <w:rPr>
          <w:rFonts w:cs="Arial"/>
          <w:b/>
        </w:rPr>
      </w:pPr>
      <w:bookmarkStart w:id="44" w:name="_Hlk190087259"/>
      <w:r>
        <w:rPr>
          <w:rFonts w:cs="Arial"/>
          <w:b/>
        </w:rPr>
        <w:t>Do you have any further comments you wish to make on this propos</w:t>
      </w:r>
      <w:r w:rsidR="00122FA4">
        <w:rPr>
          <w:rFonts w:cs="Arial"/>
          <w:b/>
        </w:rPr>
        <w:t>al</w:t>
      </w:r>
      <w:r w:rsidR="001E3CC5">
        <w:rPr>
          <w:rFonts w:cs="Arial"/>
          <w:b/>
        </w:rPr>
        <w:t xml:space="preserve"> (</w:t>
      </w:r>
      <w:r w:rsidR="00726A85">
        <w:rPr>
          <w:rFonts w:cs="Arial"/>
          <w:b/>
        </w:rPr>
        <w:t xml:space="preserve">including </w:t>
      </w:r>
      <w:r w:rsidR="001E3CC5">
        <w:rPr>
          <w:rFonts w:cs="Arial"/>
          <w:b/>
        </w:rPr>
        <w:t xml:space="preserve">any evidence of </w:t>
      </w:r>
      <w:r w:rsidR="002F25B7">
        <w:rPr>
          <w:rFonts w:cs="Arial"/>
          <w:b/>
        </w:rPr>
        <w:t xml:space="preserve">potential </w:t>
      </w:r>
      <w:r w:rsidR="00A479EC">
        <w:rPr>
          <w:rFonts w:cs="Arial"/>
          <w:b/>
        </w:rPr>
        <w:t>cost</w:t>
      </w:r>
      <w:r w:rsidR="001E3CC5">
        <w:rPr>
          <w:rFonts w:cs="Arial"/>
          <w:b/>
        </w:rPr>
        <w:t xml:space="preserve"> impacts</w:t>
      </w:r>
      <w:r w:rsidR="00A479EC">
        <w:rPr>
          <w:rFonts w:cs="Arial"/>
          <w:b/>
        </w:rPr>
        <w:t>)</w:t>
      </w:r>
      <w:r>
        <w:rPr>
          <w:rFonts w:cs="Arial"/>
          <w:b/>
        </w:rPr>
        <w:t xml:space="preserve">? </w:t>
      </w:r>
    </w:p>
    <w:bookmarkEnd w:id="44"/>
    <w:p w14:paraId="11F61D70" w14:textId="77777777" w:rsidR="00E35F3C" w:rsidRPr="00C7021B" w:rsidRDefault="00E35F3C" w:rsidP="00F32B35">
      <w:pPr>
        <w:pStyle w:val="Heading3"/>
        <w:jc w:val="both"/>
        <w:rPr>
          <w:color w:val="008330"/>
        </w:rPr>
      </w:pPr>
      <w:r w:rsidRPr="00C7021B">
        <w:rPr>
          <w:color w:val="008330"/>
        </w:rPr>
        <w:t>In-</w:t>
      </w:r>
      <w:r w:rsidR="00F41A98" w:rsidRPr="00C7021B">
        <w:rPr>
          <w:color w:val="008330"/>
        </w:rPr>
        <w:t>w</w:t>
      </w:r>
      <w:r w:rsidRPr="00C7021B">
        <w:rPr>
          <w:color w:val="008330"/>
        </w:rPr>
        <w:t xml:space="preserve">ater </w:t>
      </w:r>
      <w:r w:rsidR="00F41A98" w:rsidRPr="00C7021B">
        <w:rPr>
          <w:color w:val="008330"/>
        </w:rPr>
        <w:t>h</w:t>
      </w:r>
      <w:r w:rsidRPr="00C7021B">
        <w:rPr>
          <w:color w:val="008330"/>
        </w:rPr>
        <w:t xml:space="preserve">ull </w:t>
      </w:r>
      <w:r w:rsidR="00F41A98" w:rsidRPr="00C7021B">
        <w:rPr>
          <w:color w:val="008330"/>
        </w:rPr>
        <w:t>c</w:t>
      </w:r>
      <w:r w:rsidRPr="00C7021B">
        <w:rPr>
          <w:color w:val="008330"/>
        </w:rPr>
        <w:t>leaning</w:t>
      </w:r>
    </w:p>
    <w:p w14:paraId="68C326B1" w14:textId="2DA96F26" w:rsidR="00E35F3C" w:rsidRDefault="003A208E" w:rsidP="00F32B35">
      <w:pPr>
        <w:jc w:val="both"/>
      </w:pPr>
      <w:hyperlink r:id="rId43" w:history="1">
        <w:r w:rsidRPr="000259CD">
          <w:rPr>
            <w:rStyle w:val="Hyperlink"/>
          </w:rPr>
          <w:t>Section 66(1) of MCAA</w:t>
        </w:r>
      </w:hyperlink>
      <w:r>
        <w:t xml:space="preserve"> provides that it is a marine licensable activity to deposit any substance or object anywhere in the UK marine area, either in the sea or on or under the </w:t>
      </w:r>
      <w:r w:rsidR="00D441D4">
        <w:t>seabed.</w:t>
      </w:r>
      <w:r w:rsidR="008703A2">
        <w:t xml:space="preserve"> </w:t>
      </w:r>
      <w:r>
        <w:t>In</w:t>
      </w:r>
      <w:r w:rsidR="00E35F3C">
        <w:t xml:space="preserve"> water hull cleaning </w:t>
      </w:r>
      <w:r>
        <w:t xml:space="preserve">engages </w:t>
      </w:r>
      <w:r w:rsidR="00FC3800">
        <w:t>section</w:t>
      </w:r>
      <w:r w:rsidR="0087678C">
        <w:t xml:space="preserve"> </w:t>
      </w:r>
      <w:r>
        <w:t xml:space="preserve">66 </w:t>
      </w:r>
      <w:r w:rsidR="008703A2">
        <w:t>because of</w:t>
      </w:r>
      <w:r w:rsidR="00E35F3C">
        <w:t xml:space="preserve"> a deposit</w:t>
      </w:r>
      <w:r>
        <w:t xml:space="preserve"> of a substance</w:t>
      </w:r>
      <w:r w:rsidR="00E35F3C">
        <w:t xml:space="preserve"> from the hull of the vessel </w:t>
      </w:r>
      <w:r w:rsidR="008703A2">
        <w:t>while</w:t>
      </w:r>
      <w:r>
        <w:t xml:space="preserve"> cleaning</w:t>
      </w:r>
      <w:r w:rsidR="00E35F3C">
        <w:t>. Currently, deposits into the water cannot be</w:t>
      </w:r>
      <w:r>
        <w:t xml:space="preserve"> </w:t>
      </w:r>
      <w:r w:rsidR="008703A2">
        <w:t>eliminated</w:t>
      </w:r>
      <w:r>
        <w:t xml:space="preserve"> </w:t>
      </w:r>
      <w:r w:rsidR="008703A2">
        <w:t xml:space="preserve">entirely </w:t>
      </w:r>
      <w:r w:rsidR="00E35F3C">
        <w:t xml:space="preserve">regardless of the method </w:t>
      </w:r>
      <w:r>
        <w:t>a</w:t>
      </w:r>
      <w:r w:rsidR="00E4544A">
        <w:t>nd so in most cases a marine licence</w:t>
      </w:r>
      <w:r w:rsidR="009D4166">
        <w:t xml:space="preserve"> is required</w:t>
      </w:r>
      <w:r>
        <w:t>.</w:t>
      </w:r>
    </w:p>
    <w:p w14:paraId="5731316A" w14:textId="77777777" w:rsidR="00E35F3C" w:rsidRDefault="00FC3800" w:rsidP="00F32B35">
      <w:pPr>
        <w:jc w:val="both"/>
      </w:pPr>
      <w:r>
        <w:t>The</w:t>
      </w:r>
      <w:r w:rsidR="003A208E">
        <w:t xml:space="preserve"> 2019 </w:t>
      </w:r>
      <w:r>
        <w:t>Orde</w:t>
      </w:r>
      <w:r w:rsidR="0087678C">
        <w:t>r</w:t>
      </w:r>
      <w:r>
        <w:t xml:space="preserve"> amended the 2011 Order</w:t>
      </w:r>
      <w:r w:rsidR="003A208E">
        <w:t xml:space="preserve"> to exempt </w:t>
      </w:r>
      <w:r w:rsidR="0030684C">
        <w:t>small scale hull cleaning in order to encourage more regular maintenance to reduce biosecurity risk</w:t>
      </w:r>
      <w:r w:rsidR="0087678C">
        <w:rPr>
          <w:rStyle w:val="FootnoteReference"/>
        </w:rPr>
        <w:footnoteReference w:id="13"/>
      </w:r>
      <w:r w:rsidR="0030684C">
        <w:t>.</w:t>
      </w:r>
      <w:r w:rsidR="008703A2">
        <w:t xml:space="preserve"> </w:t>
      </w:r>
      <w:r w:rsidR="0030684C">
        <w:t xml:space="preserve">The </w:t>
      </w:r>
      <w:r w:rsidR="009D4166">
        <w:t xml:space="preserve">current </w:t>
      </w:r>
      <w:r w:rsidR="0030684C">
        <w:t xml:space="preserve">exemption removes the need for a marine licence in respect of </w:t>
      </w:r>
      <w:r w:rsidR="00D441D4">
        <w:t xml:space="preserve">the </w:t>
      </w:r>
      <w:r w:rsidR="00E35F3C">
        <w:t xml:space="preserve">deposit of a substance from the hull </w:t>
      </w:r>
      <w:r w:rsidR="00E35F3C">
        <w:lastRenderedPageBreak/>
        <w:t xml:space="preserve">of a vessel, in the course of in-water hull cleaning, provided the cleaning is carried out by hand using a soft cloth, sponge, the bristles of a soft brush, </w:t>
      </w:r>
      <w:r w:rsidR="00D441D4">
        <w:t xml:space="preserve">or </w:t>
      </w:r>
      <w:r w:rsidR="00E35F3C">
        <w:t xml:space="preserve">sandpaper with a grit size of at least P2000. This exemption is therefore available for in water hull cleaning in very specific circumstances, and these are </w:t>
      </w:r>
      <w:r w:rsidR="00F4070F">
        <w:t>likely</w:t>
      </w:r>
      <w:r w:rsidR="00E35F3C">
        <w:t xml:space="preserve"> only suitable for cleaning of light recreational craft.</w:t>
      </w:r>
      <w:bookmarkStart w:id="45" w:name="_Toc76482960"/>
    </w:p>
    <w:p w14:paraId="11A6FDF9" w14:textId="77777777" w:rsidR="003D0017" w:rsidRPr="003A6F4F" w:rsidRDefault="003D0017" w:rsidP="00F32B35">
      <w:pPr>
        <w:jc w:val="both"/>
        <w:rPr>
          <w:lang w:val="en-US"/>
        </w:rPr>
      </w:pPr>
      <w:r w:rsidRPr="003A6F4F">
        <w:rPr>
          <w:b/>
          <w:lang w:val="en-US"/>
        </w:rPr>
        <w:t xml:space="preserve">Proposed amendment of exemption: </w:t>
      </w:r>
    </w:p>
    <w:p w14:paraId="771C00E5" w14:textId="77777777" w:rsidR="00472D85" w:rsidRPr="003A6F4F" w:rsidRDefault="003D0017" w:rsidP="002077E0">
      <w:pPr>
        <w:jc w:val="both"/>
        <w:rPr>
          <w:lang w:val="en-US"/>
        </w:rPr>
      </w:pPr>
      <w:r w:rsidRPr="698ABDFA">
        <w:rPr>
          <w:lang w:val="en-US"/>
        </w:rPr>
        <w:t xml:space="preserve">The proposed amendment would </w:t>
      </w:r>
      <w:r w:rsidR="00686459" w:rsidRPr="698ABDFA">
        <w:rPr>
          <w:lang w:val="en-US"/>
        </w:rPr>
        <w:t xml:space="preserve">look to </w:t>
      </w:r>
      <w:r w:rsidR="007A1B36" w:rsidRPr="698ABDFA">
        <w:rPr>
          <w:lang w:val="en-US"/>
        </w:rPr>
        <w:t xml:space="preserve">extend </w:t>
      </w:r>
      <w:r>
        <w:t>this exemption to</w:t>
      </w:r>
      <w:r w:rsidR="00686459">
        <w:t xml:space="preserve"> include the use of techniques and technology capable of significantly reducing deposits </w:t>
      </w:r>
      <w:r w:rsidR="00FC3800">
        <w:t xml:space="preserve">arising </w:t>
      </w:r>
      <w:r w:rsidR="00686459">
        <w:t>from the activity such that they are negligible</w:t>
      </w:r>
      <w:r w:rsidR="0068758B">
        <w:t>, such as mechanical cleaners that remove the material in situ</w:t>
      </w:r>
      <w:r>
        <w:t>.</w:t>
      </w:r>
      <w:r w:rsidR="00686459">
        <w:t xml:space="preserve"> This approach would build on the </w:t>
      </w:r>
      <w:r w:rsidR="00005752">
        <w:t>steps taken</w:t>
      </w:r>
      <w:r w:rsidR="00686459">
        <w:t xml:space="preserve"> </w:t>
      </w:r>
      <w:r w:rsidR="00D441D4">
        <w:t>in the</w:t>
      </w:r>
      <w:r w:rsidR="00686459">
        <w:t xml:space="preserve"> 2019 exemption encouraging regular maintenance of vessels and rewarding innovation and use of best practice</w:t>
      </w:r>
      <w:r>
        <w:t xml:space="preserve">, with a particular focus on biosecurity and </w:t>
      </w:r>
      <w:r w:rsidR="00D5723C">
        <w:t xml:space="preserve">reducing </w:t>
      </w:r>
      <w:r>
        <w:t>contamination.</w:t>
      </w:r>
    </w:p>
    <w:p w14:paraId="18E80F2D" w14:textId="3E8383AF" w:rsidR="008F7222" w:rsidRDefault="008F7222" w:rsidP="008F7222">
      <w:pPr>
        <w:pBdr>
          <w:top w:val="single" w:sz="4" w:space="1" w:color="auto"/>
          <w:left w:val="single" w:sz="4" w:space="4" w:color="auto"/>
          <w:bottom w:val="single" w:sz="4" w:space="1" w:color="auto"/>
          <w:right w:val="single" w:sz="4" w:space="4" w:color="auto"/>
        </w:pBdr>
        <w:jc w:val="both"/>
        <w:rPr>
          <w:b/>
          <w:lang w:val="en-US"/>
        </w:rPr>
      </w:pPr>
      <w:bookmarkStart w:id="46" w:name="_Toc76482961"/>
      <w:bookmarkEnd w:id="45"/>
      <w:r>
        <w:rPr>
          <w:b/>
          <w:lang w:val="en-US"/>
        </w:rPr>
        <w:t>1</w:t>
      </w:r>
      <w:r w:rsidR="00444349">
        <w:rPr>
          <w:b/>
          <w:lang w:val="en-US"/>
        </w:rPr>
        <w:t>0</w:t>
      </w:r>
      <w:r w:rsidRPr="003A6F4F">
        <w:rPr>
          <w:b/>
          <w:lang w:val="en-US"/>
        </w:rPr>
        <w:t xml:space="preserve">. Do you agree with the </w:t>
      </w:r>
      <w:r>
        <w:rPr>
          <w:b/>
          <w:lang w:val="en-US"/>
        </w:rPr>
        <w:t>p</w:t>
      </w:r>
      <w:r w:rsidRPr="003A6F4F">
        <w:rPr>
          <w:b/>
          <w:lang w:val="en-US"/>
        </w:rPr>
        <w:t xml:space="preserve">roposed amendment of </w:t>
      </w:r>
      <w:r>
        <w:rPr>
          <w:b/>
          <w:lang w:val="en-US"/>
        </w:rPr>
        <w:t xml:space="preserve">this </w:t>
      </w:r>
      <w:r w:rsidRPr="003A6F4F">
        <w:rPr>
          <w:b/>
          <w:lang w:val="en-US"/>
        </w:rPr>
        <w:t xml:space="preserve">exemption? </w:t>
      </w:r>
    </w:p>
    <w:p w14:paraId="023DAD76" w14:textId="311AC0D6" w:rsidR="008F7222" w:rsidRPr="003A6F4F" w:rsidRDefault="008F7222" w:rsidP="002077E0">
      <w:pPr>
        <w:pBdr>
          <w:top w:val="single" w:sz="4" w:space="1" w:color="auto"/>
          <w:left w:val="single" w:sz="4" w:space="4" w:color="auto"/>
          <w:bottom w:val="single" w:sz="4" w:space="1" w:color="auto"/>
          <w:right w:val="single" w:sz="4" w:space="4" w:color="auto"/>
        </w:pBdr>
        <w:jc w:val="both"/>
        <w:rPr>
          <w:lang w:val="en-US"/>
        </w:rPr>
      </w:pPr>
      <w:r w:rsidRPr="003A6F4F">
        <w:rPr>
          <w:b/>
          <w:lang w:val="en-US"/>
        </w:rPr>
        <w:t>Yes</w:t>
      </w:r>
      <w:r w:rsidR="00D95985">
        <w:rPr>
          <w:b/>
          <w:lang w:val="en-US"/>
        </w:rPr>
        <w:t xml:space="preserve"> or </w:t>
      </w:r>
      <w:r w:rsidRPr="003A6F4F">
        <w:rPr>
          <w:b/>
          <w:lang w:val="en-US"/>
        </w:rPr>
        <w:t>No</w:t>
      </w:r>
      <w:r w:rsidR="00D95985">
        <w:rPr>
          <w:b/>
          <w:lang w:val="en-US"/>
        </w:rPr>
        <w:t xml:space="preserve"> or </w:t>
      </w:r>
      <w:r w:rsidRPr="003A6F4F">
        <w:rPr>
          <w:b/>
          <w:lang w:val="en-US"/>
        </w:rPr>
        <w:t xml:space="preserve">Neither Agree </w:t>
      </w:r>
      <w:r>
        <w:rPr>
          <w:b/>
          <w:lang w:val="en-US"/>
        </w:rPr>
        <w:t>n</w:t>
      </w:r>
      <w:r w:rsidRPr="003A6F4F">
        <w:rPr>
          <w:b/>
          <w:lang w:val="en-US"/>
        </w:rPr>
        <w:t xml:space="preserve">or Disagree </w:t>
      </w:r>
    </w:p>
    <w:p w14:paraId="62EBF3C5" w14:textId="18ABA548" w:rsidR="006368BC" w:rsidRPr="00A342C9" w:rsidRDefault="008F7222" w:rsidP="002077E0">
      <w:pPr>
        <w:pBdr>
          <w:top w:val="single" w:sz="4" w:space="1" w:color="auto"/>
          <w:left w:val="single" w:sz="4" w:space="4" w:color="auto"/>
          <w:bottom w:val="single" w:sz="4" w:space="1" w:color="auto"/>
          <w:right w:val="single" w:sz="4" w:space="4" w:color="auto"/>
        </w:pBdr>
        <w:spacing w:before="0" w:after="0"/>
        <w:rPr>
          <w:b/>
        </w:rPr>
      </w:pPr>
      <w:r w:rsidRPr="4CDAF053">
        <w:rPr>
          <w:b/>
        </w:rPr>
        <w:t xml:space="preserve">Do you have any further comments you wish to make on this proposal?  </w:t>
      </w:r>
    </w:p>
    <w:p w14:paraId="4D8D2BBC" w14:textId="09E9C2B1" w:rsidR="00C3461F" w:rsidRPr="00C7021B" w:rsidRDefault="00C3461F" w:rsidP="00C3461F">
      <w:pPr>
        <w:pStyle w:val="Heading3"/>
        <w:jc w:val="both"/>
        <w:rPr>
          <w:color w:val="008330"/>
        </w:rPr>
      </w:pPr>
      <w:r w:rsidRPr="30159778">
        <w:rPr>
          <w:color w:val="008330"/>
        </w:rPr>
        <w:t xml:space="preserve">Marine Management Organisation </w:t>
      </w:r>
      <w:r w:rsidR="000F1C1D">
        <w:rPr>
          <w:color w:val="008330"/>
        </w:rPr>
        <w:t>and</w:t>
      </w:r>
      <w:r w:rsidRPr="30159778">
        <w:rPr>
          <w:color w:val="008330"/>
        </w:rPr>
        <w:t xml:space="preserve"> Natural England m</w:t>
      </w:r>
      <w:r w:rsidR="00F41A98" w:rsidRPr="30159778">
        <w:rPr>
          <w:color w:val="008330"/>
        </w:rPr>
        <w:t>a</w:t>
      </w:r>
      <w:r w:rsidRPr="30159778">
        <w:rPr>
          <w:color w:val="008330"/>
        </w:rPr>
        <w:t>rine protected area</w:t>
      </w:r>
      <w:r w:rsidR="00A27C3A" w:rsidRPr="30159778">
        <w:rPr>
          <w:color w:val="008330"/>
        </w:rPr>
        <w:t xml:space="preserve"> </w:t>
      </w:r>
      <w:r w:rsidR="00F41A98" w:rsidRPr="30159778">
        <w:rPr>
          <w:color w:val="008330"/>
        </w:rPr>
        <w:t>m</w:t>
      </w:r>
      <w:r w:rsidR="00A27C3A" w:rsidRPr="30159778">
        <w:rPr>
          <w:color w:val="008330"/>
        </w:rPr>
        <w:t>arker</w:t>
      </w:r>
      <w:r w:rsidRPr="30159778">
        <w:rPr>
          <w:color w:val="008330"/>
        </w:rPr>
        <w:t xml:space="preserve"> requirements</w:t>
      </w:r>
    </w:p>
    <w:p w14:paraId="347D67C4" w14:textId="3D96EC55" w:rsidR="00C3461F" w:rsidRDefault="00E667BC" w:rsidP="71389C10">
      <w:pPr>
        <w:jc w:val="both"/>
        <w:rPr>
          <w:rFonts w:cs="Arial"/>
          <w:color w:val="0B0C0C"/>
        </w:rPr>
      </w:pPr>
      <w:r>
        <w:rPr>
          <w:rFonts w:cs="Arial"/>
          <w:color w:val="0B0C0C"/>
        </w:rPr>
        <w:t>NE</w:t>
      </w:r>
      <w:r w:rsidR="288CE1E4" w:rsidRPr="71389C10">
        <w:rPr>
          <w:rFonts w:cs="Arial"/>
          <w:color w:val="0B0C0C"/>
        </w:rPr>
        <w:t xml:space="preserve"> and public authorities do not need a licence to place markers, provided the purpose of the marker(s) is to indicate the existence and boundaries of specified MPAs</w:t>
      </w:r>
      <w:r w:rsidR="000B762B">
        <w:rPr>
          <w:rFonts w:cs="Arial"/>
          <w:color w:val="0B0C0C"/>
        </w:rPr>
        <w:t xml:space="preserve"> and HPMAs</w:t>
      </w:r>
      <w:r w:rsidR="288CE1E4" w:rsidRPr="71389C10">
        <w:rPr>
          <w:rFonts w:cs="Arial"/>
          <w:color w:val="0B0C0C"/>
        </w:rPr>
        <w:t xml:space="preserve">. </w:t>
      </w:r>
      <w:r>
        <w:rPr>
          <w:rFonts w:cs="Arial"/>
          <w:color w:val="0B0C0C"/>
        </w:rPr>
        <w:t>NE</w:t>
      </w:r>
      <w:r w:rsidR="288CE1E4" w:rsidRPr="71389C10">
        <w:rPr>
          <w:rFonts w:cs="Arial"/>
          <w:color w:val="0B0C0C"/>
        </w:rPr>
        <w:t xml:space="preserve"> and public authorities may also remove markers placed for these purposes without a licence</w:t>
      </w:r>
      <w:r w:rsidR="00C3461F" w:rsidRPr="71389C10">
        <w:rPr>
          <w:rStyle w:val="FootnoteReference"/>
          <w:rFonts w:cs="Arial"/>
          <w:color w:val="0B0C0C"/>
        </w:rPr>
        <w:footnoteReference w:id="14"/>
      </w:r>
      <w:r w:rsidR="288CE1E4" w:rsidRPr="71389C10">
        <w:rPr>
          <w:rFonts w:cs="Arial"/>
          <w:color w:val="0B0C0C"/>
        </w:rPr>
        <w:t>.</w:t>
      </w:r>
    </w:p>
    <w:p w14:paraId="00056AD9" w14:textId="42147CF8" w:rsidR="00C3461F" w:rsidRDefault="00C3461F" w:rsidP="00C3461F">
      <w:pPr>
        <w:jc w:val="both"/>
        <w:rPr>
          <w:szCs w:val="24"/>
        </w:rPr>
      </w:pPr>
      <w:r>
        <w:rPr>
          <w:szCs w:val="24"/>
        </w:rPr>
        <w:t>As currently worded, t</w:t>
      </w:r>
      <w:r w:rsidRPr="00E94A18">
        <w:rPr>
          <w:szCs w:val="24"/>
        </w:rPr>
        <w:t xml:space="preserve">he exemption is very specific and </w:t>
      </w:r>
      <w:r>
        <w:rPr>
          <w:szCs w:val="24"/>
        </w:rPr>
        <w:t xml:space="preserve">therefore excludes the use of markers for other purposes such as to mark </w:t>
      </w:r>
      <w:r w:rsidRPr="00E94A18">
        <w:rPr>
          <w:szCs w:val="24"/>
        </w:rPr>
        <w:t>no anchorage zones facilitating compliance with management needed to protect the MPA</w:t>
      </w:r>
      <w:r w:rsidR="000B762B">
        <w:rPr>
          <w:szCs w:val="24"/>
        </w:rPr>
        <w:t xml:space="preserve"> or HPMA</w:t>
      </w:r>
      <w:r w:rsidRPr="00E94A18">
        <w:rPr>
          <w:szCs w:val="24"/>
        </w:rPr>
        <w:t xml:space="preserve">. While these markers would facilitate the management of the site, they go further than marking the boundaries of the sites themselves and as such require a marine licence. </w:t>
      </w:r>
    </w:p>
    <w:p w14:paraId="016BEC18" w14:textId="646B54D9" w:rsidR="00C3461F" w:rsidRPr="00C3461F" w:rsidRDefault="00C3461F" w:rsidP="00C3461F">
      <w:pPr>
        <w:jc w:val="both"/>
      </w:pPr>
      <w:r>
        <w:t xml:space="preserve">Furthermore, this exemption is one of the few under the 2011 Order that is subject to a requirement to obtain approval from </w:t>
      </w:r>
      <w:r w:rsidR="005B0EB5">
        <w:t xml:space="preserve">the </w:t>
      </w:r>
      <w:r>
        <w:t xml:space="preserve">MMO. However, if the public authorities seeking </w:t>
      </w:r>
      <w:r>
        <w:lastRenderedPageBreak/>
        <w:t>approval are bodies with direct interest in the management of the MPA</w:t>
      </w:r>
      <w:r w:rsidR="000B762B">
        <w:t xml:space="preserve"> or HPMA</w:t>
      </w:r>
      <w:r>
        <w:t>, such as</w:t>
      </w:r>
      <w:r w:rsidR="005B0EB5">
        <w:t xml:space="preserve"> the</w:t>
      </w:r>
      <w:r>
        <w:t xml:space="preserve"> MMO and </w:t>
      </w:r>
      <w:r w:rsidR="00E667BC">
        <w:t>NE</w:t>
      </w:r>
      <w:r>
        <w:t xml:space="preserve">, it would normally be appropriate for the MMO to grant approval.  </w:t>
      </w:r>
    </w:p>
    <w:p w14:paraId="72DA9BA9" w14:textId="77777777" w:rsidR="00C3461F" w:rsidRPr="00E150A8" w:rsidRDefault="00C3461F" w:rsidP="00C3461F">
      <w:pPr>
        <w:jc w:val="both"/>
        <w:rPr>
          <w:lang w:val="en-US"/>
        </w:rPr>
      </w:pPr>
      <w:r w:rsidRPr="003A6F4F">
        <w:rPr>
          <w:b/>
          <w:lang w:val="en-US"/>
        </w:rPr>
        <w:t xml:space="preserve">Proposed amendment of exemption: </w:t>
      </w:r>
    </w:p>
    <w:p w14:paraId="47F1C811" w14:textId="6369F735" w:rsidR="00C3461F" w:rsidRPr="00E94A18" w:rsidRDefault="00C3461F" w:rsidP="00C3461F">
      <w:pPr>
        <w:jc w:val="both"/>
        <w:rPr>
          <w:szCs w:val="24"/>
        </w:rPr>
      </w:pPr>
      <w:r w:rsidRPr="00E94A18">
        <w:rPr>
          <w:szCs w:val="24"/>
        </w:rPr>
        <w:t xml:space="preserve">The </w:t>
      </w:r>
      <w:r>
        <w:rPr>
          <w:szCs w:val="24"/>
        </w:rPr>
        <w:t xml:space="preserve">proposed amendment to the </w:t>
      </w:r>
      <w:r w:rsidRPr="00E94A18">
        <w:rPr>
          <w:szCs w:val="24"/>
        </w:rPr>
        <w:t xml:space="preserve">exemption </w:t>
      </w:r>
      <w:r>
        <w:rPr>
          <w:szCs w:val="24"/>
        </w:rPr>
        <w:t>would be to</w:t>
      </w:r>
      <w:r w:rsidRPr="00E94A18">
        <w:rPr>
          <w:szCs w:val="24"/>
        </w:rPr>
        <w:t xml:space="preserve"> expand</w:t>
      </w:r>
      <w:r>
        <w:rPr>
          <w:szCs w:val="24"/>
        </w:rPr>
        <w:t xml:space="preserve"> the scope of the exemption</w:t>
      </w:r>
      <w:r w:rsidRPr="00E94A18">
        <w:rPr>
          <w:szCs w:val="24"/>
        </w:rPr>
        <w:t xml:space="preserve"> to enable relevant </w:t>
      </w:r>
      <w:r>
        <w:rPr>
          <w:szCs w:val="24"/>
        </w:rPr>
        <w:t xml:space="preserve">public </w:t>
      </w:r>
      <w:r w:rsidRPr="00E94A18">
        <w:rPr>
          <w:szCs w:val="24"/>
        </w:rPr>
        <w:t xml:space="preserve">bodies to carry out </w:t>
      </w:r>
      <w:r>
        <w:rPr>
          <w:szCs w:val="24"/>
        </w:rPr>
        <w:t>other marker placing</w:t>
      </w:r>
      <w:r w:rsidRPr="00E94A18">
        <w:rPr>
          <w:szCs w:val="24"/>
        </w:rPr>
        <w:t xml:space="preserve"> activities</w:t>
      </w:r>
      <w:r>
        <w:rPr>
          <w:szCs w:val="24"/>
        </w:rPr>
        <w:t xml:space="preserve"> associated with the management of MPAs</w:t>
      </w:r>
      <w:r w:rsidRPr="00E94A18">
        <w:rPr>
          <w:szCs w:val="24"/>
        </w:rPr>
        <w:t xml:space="preserve"> </w:t>
      </w:r>
      <w:r w:rsidR="000B762B">
        <w:rPr>
          <w:szCs w:val="24"/>
        </w:rPr>
        <w:t xml:space="preserve">or HPMAs </w:t>
      </w:r>
      <w:r w:rsidRPr="00E94A18">
        <w:rPr>
          <w:szCs w:val="24"/>
        </w:rPr>
        <w:t>without a licence.</w:t>
      </w:r>
    </w:p>
    <w:p w14:paraId="611ED4CF" w14:textId="29616DE9" w:rsidR="00C3461F" w:rsidRDefault="00C3461F" w:rsidP="002077E0">
      <w:pPr>
        <w:jc w:val="both"/>
        <w:rPr>
          <w:lang w:val="en-US"/>
        </w:rPr>
      </w:pPr>
      <w:r>
        <w:rPr>
          <w:szCs w:val="24"/>
        </w:rPr>
        <w:t>Moreover, the exemption would be</w:t>
      </w:r>
      <w:r w:rsidRPr="00E94A18">
        <w:rPr>
          <w:szCs w:val="24"/>
        </w:rPr>
        <w:t xml:space="preserve"> changed to</w:t>
      </w:r>
      <w:r>
        <w:rPr>
          <w:szCs w:val="24"/>
        </w:rPr>
        <w:t xml:space="preserve"> require</w:t>
      </w:r>
      <w:r w:rsidRPr="00E94A18">
        <w:rPr>
          <w:szCs w:val="24"/>
        </w:rPr>
        <w:t xml:space="preserve"> </w:t>
      </w:r>
      <w:r>
        <w:rPr>
          <w:szCs w:val="24"/>
        </w:rPr>
        <w:t xml:space="preserve">notification to the MMO instead of approval to better reflect the context around MPA </w:t>
      </w:r>
      <w:r w:rsidR="000B762B">
        <w:rPr>
          <w:szCs w:val="24"/>
        </w:rPr>
        <w:t xml:space="preserve">or HPMA </w:t>
      </w:r>
      <w:r>
        <w:rPr>
          <w:szCs w:val="24"/>
        </w:rPr>
        <w:t>management.</w:t>
      </w:r>
    </w:p>
    <w:p w14:paraId="0739CE5D" w14:textId="73913392" w:rsidR="008F7222" w:rsidRDefault="008F7222" w:rsidP="6843E790">
      <w:pPr>
        <w:pBdr>
          <w:top w:val="single" w:sz="4" w:space="1" w:color="auto"/>
          <w:left w:val="single" w:sz="4" w:space="4" w:color="auto"/>
          <w:bottom w:val="single" w:sz="4" w:space="1" w:color="auto"/>
          <w:right w:val="single" w:sz="4" w:space="4" w:color="auto"/>
        </w:pBdr>
        <w:jc w:val="both"/>
        <w:rPr>
          <w:b/>
          <w:bCs/>
          <w:lang w:val="en-US"/>
        </w:rPr>
      </w:pPr>
      <w:r w:rsidRPr="6843E790">
        <w:rPr>
          <w:b/>
          <w:bCs/>
          <w:lang w:val="en-US"/>
        </w:rPr>
        <w:t>1</w:t>
      </w:r>
      <w:r w:rsidR="00444349">
        <w:rPr>
          <w:b/>
          <w:bCs/>
          <w:lang w:val="en-US"/>
        </w:rPr>
        <w:t>1</w:t>
      </w:r>
      <w:r w:rsidRPr="6843E790">
        <w:rPr>
          <w:b/>
          <w:bCs/>
          <w:lang w:val="en-US"/>
        </w:rPr>
        <w:t xml:space="preserve">. Do you agree with the proposed amendment to this exemption? </w:t>
      </w:r>
    </w:p>
    <w:p w14:paraId="76B0E7ED" w14:textId="0E65E595" w:rsidR="6948F3EE" w:rsidRDefault="6948F3EE" w:rsidP="6843E790">
      <w:pPr>
        <w:pBdr>
          <w:top w:val="single" w:sz="4" w:space="1" w:color="auto"/>
          <w:left w:val="single" w:sz="4" w:space="4" w:color="auto"/>
          <w:bottom w:val="single" w:sz="4" w:space="1" w:color="auto"/>
          <w:right w:val="single" w:sz="4" w:space="4" w:color="auto"/>
        </w:pBdr>
        <w:jc w:val="both"/>
        <w:rPr>
          <w:b/>
          <w:bCs/>
          <w:lang w:val="en-US"/>
        </w:rPr>
      </w:pPr>
      <w:r w:rsidRPr="6843E790">
        <w:rPr>
          <w:b/>
          <w:bCs/>
          <w:lang w:val="en-US"/>
        </w:rPr>
        <w:t>Yes</w:t>
      </w:r>
      <w:r w:rsidR="000F1C1D">
        <w:rPr>
          <w:b/>
          <w:bCs/>
          <w:lang w:val="en-US"/>
        </w:rPr>
        <w:t xml:space="preserve"> or </w:t>
      </w:r>
      <w:r w:rsidRPr="6843E790">
        <w:rPr>
          <w:b/>
          <w:bCs/>
          <w:lang w:val="en-US"/>
        </w:rPr>
        <w:t>No</w:t>
      </w:r>
      <w:r w:rsidR="000F1C1D">
        <w:rPr>
          <w:b/>
          <w:bCs/>
          <w:lang w:val="en-US"/>
        </w:rPr>
        <w:t xml:space="preserve"> or </w:t>
      </w:r>
      <w:r w:rsidRPr="6843E790">
        <w:rPr>
          <w:b/>
          <w:bCs/>
          <w:lang w:val="en-US"/>
        </w:rPr>
        <w:t xml:space="preserve">Neither Agree nor Disagree   </w:t>
      </w:r>
    </w:p>
    <w:p w14:paraId="2946DB82" w14:textId="2EFC0FAE" w:rsidR="008F7222" w:rsidRPr="00A342C9" w:rsidRDefault="001C2E6A" w:rsidP="00A342C9">
      <w:pPr>
        <w:pBdr>
          <w:top w:val="single" w:sz="4" w:space="1" w:color="auto"/>
          <w:left w:val="single" w:sz="4" w:space="4" w:color="auto"/>
          <w:bottom w:val="single" w:sz="4" w:space="1" w:color="auto"/>
          <w:right w:val="single" w:sz="4" w:space="4" w:color="auto"/>
        </w:pBdr>
        <w:jc w:val="both"/>
        <w:rPr>
          <w:b/>
        </w:rPr>
      </w:pPr>
      <w:r w:rsidRPr="4CDAF053">
        <w:rPr>
          <w:b/>
        </w:rPr>
        <w:t xml:space="preserve">Do you have any further comments you wish to make on this proposal?  </w:t>
      </w:r>
    </w:p>
    <w:p w14:paraId="38F5F454" w14:textId="77777777" w:rsidR="00E56C06" w:rsidRDefault="00157CCE" w:rsidP="00F32B35">
      <w:pPr>
        <w:jc w:val="both"/>
        <w:rPr>
          <w:rFonts w:eastAsia="Times New Roman"/>
          <w:b/>
          <w:bCs/>
          <w:color w:val="008938"/>
          <w:sz w:val="28"/>
          <w:szCs w:val="28"/>
        </w:rPr>
      </w:pPr>
      <w:r w:rsidRPr="734B6432">
        <w:rPr>
          <w:rFonts w:eastAsia="Times New Roman"/>
          <w:b/>
          <w:bCs/>
          <w:color w:val="008938"/>
          <w:sz w:val="28"/>
          <w:szCs w:val="28"/>
        </w:rPr>
        <w:t xml:space="preserve">Harbour </w:t>
      </w:r>
      <w:r w:rsidR="00F41A98">
        <w:rPr>
          <w:rFonts w:eastAsia="Times New Roman"/>
          <w:b/>
          <w:bCs/>
          <w:color w:val="008938"/>
          <w:sz w:val="28"/>
          <w:szCs w:val="28"/>
        </w:rPr>
        <w:t>a</w:t>
      </w:r>
      <w:r w:rsidRPr="734B6432">
        <w:rPr>
          <w:rFonts w:eastAsia="Times New Roman"/>
          <w:b/>
          <w:bCs/>
          <w:color w:val="008938"/>
          <w:sz w:val="28"/>
          <w:szCs w:val="28"/>
        </w:rPr>
        <w:t xml:space="preserve">uthority </w:t>
      </w:r>
      <w:r w:rsidR="00F41A98">
        <w:rPr>
          <w:rFonts w:eastAsia="Times New Roman"/>
          <w:b/>
          <w:bCs/>
          <w:color w:val="008938"/>
          <w:sz w:val="28"/>
          <w:szCs w:val="28"/>
        </w:rPr>
        <w:t>c</w:t>
      </w:r>
      <w:r w:rsidRPr="734B6432">
        <w:rPr>
          <w:rFonts w:eastAsia="Times New Roman"/>
          <w:b/>
          <w:bCs/>
          <w:color w:val="008938"/>
          <w:sz w:val="28"/>
          <w:szCs w:val="28"/>
        </w:rPr>
        <w:t>onsent</w:t>
      </w:r>
    </w:p>
    <w:p w14:paraId="65CDBF94" w14:textId="2BE7CFAB" w:rsidR="00466F3E" w:rsidRPr="00C7021B" w:rsidRDefault="703698D0" w:rsidP="56455EDF">
      <w:pPr>
        <w:jc w:val="both"/>
      </w:pPr>
      <w:r w:rsidRPr="00C7021B">
        <w:t>The current exemption for depositing and</w:t>
      </w:r>
      <w:r w:rsidR="7BD58A65" w:rsidRPr="00C7021B">
        <w:t xml:space="preserve"> </w:t>
      </w:r>
      <w:r w:rsidRPr="00C7021B">
        <w:t xml:space="preserve">removing moorings </w:t>
      </w:r>
      <w:r w:rsidR="00F75742">
        <w:t>and</w:t>
      </w:r>
      <w:r w:rsidR="24820217" w:rsidRPr="00C7021B">
        <w:t xml:space="preserve"> </w:t>
      </w:r>
      <w:r w:rsidRPr="00C7021B">
        <w:t xml:space="preserve">aids to navigation </w:t>
      </w:r>
      <w:r w:rsidR="2C6A99FF" w:rsidRPr="00C7021B">
        <w:t>and</w:t>
      </w:r>
      <w:r w:rsidR="67FFD5F9" w:rsidRPr="00C7021B">
        <w:t xml:space="preserve"> the exemption for the depositing and removal of</w:t>
      </w:r>
      <w:r w:rsidRPr="00C7021B">
        <w:t xml:space="preserve"> pontoons</w:t>
      </w:r>
      <w:r w:rsidR="00157CCE" w:rsidRPr="00C7021B">
        <w:rPr>
          <w:rStyle w:val="FootnoteReference"/>
        </w:rPr>
        <w:footnoteReference w:id="15"/>
      </w:r>
      <w:r w:rsidRPr="00C7021B">
        <w:t xml:space="preserve"> </w:t>
      </w:r>
      <w:r w:rsidR="2EAFF494" w:rsidRPr="00C7021B">
        <w:t>include</w:t>
      </w:r>
      <w:r w:rsidR="0A0FE774" w:rsidRPr="00C7021B">
        <w:t xml:space="preserve"> </w:t>
      </w:r>
      <w:r w:rsidR="5A7A4501" w:rsidRPr="00C7021B">
        <w:rPr>
          <w:shd w:val="clear" w:color="auto" w:fill="FFFFFF"/>
        </w:rPr>
        <w:t xml:space="preserve">specific </w:t>
      </w:r>
      <w:r w:rsidR="2EAFF494" w:rsidRPr="00C7021B">
        <w:rPr>
          <w:shd w:val="clear" w:color="auto" w:fill="FFFFFF"/>
        </w:rPr>
        <w:t>activit</w:t>
      </w:r>
      <w:r w:rsidR="496EDB53" w:rsidRPr="00C7021B">
        <w:rPr>
          <w:shd w:val="clear" w:color="auto" w:fill="FFFFFF"/>
        </w:rPr>
        <w:t>ies</w:t>
      </w:r>
      <w:r w:rsidR="2EAFF494" w:rsidRPr="00C7021B">
        <w:rPr>
          <w:shd w:val="clear" w:color="auto" w:fill="FFFFFF"/>
        </w:rPr>
        <w:t xml:space="preserve"> where the activity is carried </w:t>
      </w:r>
      <w:r w:rsidR="385A62A4" w:rsidRPr="00C7021B">
        <w:rPr>
          <w:shd w:val="clear" w:color="auto" w:fill="FFFFFF"/>
        </w:rPr>
        <w:t>out</w:t>
      </w:r>
      <w:r w:rsidR="2EAFF494" w:rsidRPr="00C7021B">
        <w:rPr>
          <w:shd w:val="clear" w:color="auto" w:fill="FFFFFF"/>
        </w:rPr>
        <w:t xml:space="preserve"> in accordance with a </w:t>
      </w:r>
      <w:r w:rsidR="385A62A4" w:rsidRPr="00C7021B">
        <w:rPr>
          <w:shd w:val="clear" w:color="auto" w:fill="FFFFFF"/>
        </w:rPr>
        <w:t xml:space="preserve">required </w:t>
      </w:r>
      <w:r w:rsidR="2EAFF494" w:rsidRPr="00C7021B">
        <w:rPr>
          <w:shd w:val="clear" w:color="auto" w:fill="FFFFFF"/>
        </w:rPr>
        <w:t xml:space="preserve">consent granted by </w:t>
      </w:r>
      <w:r w:rsidR="496EDB53" w:rsidRPr="00C7021B">
        <w:rPr>
          <w:shd w:val="clear" w:color="auto" w:fill="FFFFFF"/>
        </w:rPr>
        <w:t>a Harbour</w:t>
      </w:r>
      <w:r w:rsidR="2EAFF494" w:rsidRPr="00C7021B">
        <w:rPr>
          <w:shd w:val="clear" w:color="auto" w:fill="FFFFFF"/>
        </w:rPr>
        <w:t xml:space="preserve"> </w:t>
      </w:r>
      <w:r w:rsidR="496EDB53" w:rsidRPr="00C7021B">
        <w:rPr>
          <w:shd w:val="clear" w:color="auto" w:fill="FFFFFF"/>
        </w:rPr>
        <w:t>A</w:t>
      </w:r>
      <w:r w:rsidR="2EAFF494" w:rsidRPr="00C7021B">
        <w:rPr>
          <w:shd w:val="clear" w:color="auto" w:fill="FFFFFF"/>
        </w:rPr>
        <w:t>uthority</w:t>
      </w:r>
      <w:r w:rsidR="7D0136BD" w:rsidRPr="00C7021B">
        <w:rPr>
          <w:shd w:val="clear" w:color="auto" w:fill="FFFFFF"/>
        </w:rPr>
        <w:t>.</w:t>
      </w:r>
    </w:p>
    <w:p w14:paraId="4F139EA8" w14:textId="77777777" w:rsidR="00466F3E" w:rsidRPr="00C7021B" w:rsidRDefault="496EDB53" w:rsidP="56455EDF">
      <w:pPr>
        <w:jc w:val="both"/>
        <w:rPr>
          <w:shd w:val="clear" w:color="auto" w:fill="FFFFFF"/>
        </w:rPr>
      </w:pPr>
      <w:r>
        <w:t>This in effect removes the need for a licence from the MMO in these circumstances to avoid duplication of regulation.</w:t>
      </w:r>
      <w:r w:rsidRPr="00C7021B">
        <w:rPr>
          <w:shd w:val="clear" w:color="auto" w:fill="FFFFFF"/>
        </w:rPr>
        <w:t xml:space="preserve"> However, a</w:t>
      </w:r>
      <w:r w:rsidR="5A7A4501" w:rsidRPr="00C7021B">
        <w:rPr>
          <w:shd w:val="clear" w:color="auto" w:fill="FFFFFF"/>
        </w:rPr>
        <w:t xml:space="preserve">pplicants </w:t>
      </w:r>
      <w:r w:rsidR="5A079AE0" w:rsidRPr="00C7021B">
        <w:rPr>
          <w:shd w:val="clear" w:color="auto" w:fill="FFFFFF"/>
        </w:rPr>
        <w:t xml:space="preserve">can </w:t>
      </w:r>
      <w:r w:rsidR="78C0B5A8" w:rsidRPr="00C7021B">
        <w:rPr>
          <w:shd w:val="clear" w:color="auto" w:fill="FFFFFF"/>
        </w:rPr>
        <w:t xml:space="preserve">sometimes </w:t>
      </w:r>
      <w:r w:rsidR="5A7A4501" w:rsidRPr="00C7021B">
        <w:rPr>
          <w:shd w:val="clear" w:color="auto" w:fill="FFFFFF"/>
        </w:rPr>
        <w:t xml:space="preserve">misinterpret this to simply mean </w:t>
      </w:r>
      <w:r w:rsidR="2C3F203C" w:rsidRPr="00C7021B">
        <w:rPr>
          <w:shd w:val="clear" w:color="auto" w:fill="FFFFFF"/>
        </w:rPr>
        <w:t xml:space="preserve">Harbour Authority </w:t>
      </w:r>
      <w:r w:rsidR="5A7A4501" w:rsidRPr="00C7021B">
        <w:rPr>
          <w:shd w:val="clear" w:color="auto" w:fill="FFFFFF"/>
        </w:rPr>
        <w:t>permission</w:t>
      </w:r>
      <w:r w:rsidR="2C3F203C" w:rsidRPr="00C7021B">
        <w:rPr>
          <w:shd w:val="clear" w:color="auto" w:fill="FFFFFF"/>
        </w:rPr>
        <w:t xml:space="preserve"> is required</w:t>
      </w:r>
      <w:r w:rsidR="5A7A4501" w:rsidRPr="00C7021B">
        <w:rPr>
          <w:shd w:val="clear" w:color="auto" w:fill="FFFFFF"/>
        </w:rPr>
        <w:t>.</w:t>
      </w:r>
    </w:p>
    <w:p w14:paraId="30613BA5" w14:textId="306651B6" w:rsidR="00445BD6" w:rsidRPr="008B5657" w:rsidRDefault="00445BD6" w:rsidP="00F32B35">
      <w:pPr>
        <w:jc w:val="both"/>
        <w:rPr>
          <w:lang w:val="en-US"/>
        </w:rPr>
      </w:pPr>
      <w:r w:rsidRPr="008B5657">
        <w:rPr>
          <w:b/>
          <w:lang w:val="en-US"/>
        </w:rPr>
        <w:t xml:space="preserve">Proposed amendment of exemption: </w:t>
      </w:r>
    </w:p>
    <w:p w14:paraId="60EF409E" w14:textId="14D47143" w:rsidR="00B17ED8" w:rsidRPr="00C7021B" w:rsidRDefault="140FFEC6" w:rsidP="56455EDF">
      <w:pPr>
        <w:jc w:val="both"/>
        <w:rPr>
          <w:shd w:val="clear" w:color="auto" w:fill="FFFFFF"/>
        </w:rPr>
      </w:pPr>
      <w:r w:rsidRPr="00C7021B">
        <w:rPr>
          <w:shd w:val="clear" w:color="auto" w:fill="FFFFFF"/>
        </w:rPr>
        <w:t xml:space="preserve">The </w:t>
      </w:r>
      <w:r w:rsidR="2C3F203C" w:rsidRPr="00C7021B">
        <w:rPr>
          <w:shd w:val="clear" w:color="auto" w:fill="FFFFFF"/>
        </w:rPr>
        <w:t xml:space="preserve">relevant </w:t>
      </w:r>
      <w:r w:rsidR="3C231503" w:rsidRPr="00C7021B">
        <w:rPr>
          <w:shd w:val="clear" w:color="auto" w:fill="FFFFFF"/>
        </w:rPr>
        <w:t>exemption</w:t>
      </w:r>
      <w:r w:rsidR="2C3F203C" w:rsidRPr="00C7021B">
        <w:rPr>
          <w:shd w:val="clear" w:color="auto" w:fill="FFFFFF"/>
        </w:rPr>
        <w:t>s</w:t>
      </w:r>
      <w:r w:rsidR="3C231503" w:rsidRPr="00C7021B">
        <w:rPr>
          <w:shd w:val="clear" w:color="auto" w:fill="FFFFFF"/>
        </w:rPr>
        <w:t xml:space="preserve"> would</w:t>
      </w:r>
      <w:r w:rsidRPr="00C7021B">
        <w:rPr>
          <w:shd w:val="clear" w:color="auto" w:fill="FFFFFF"/>
        </w:rPr>
        <w:t xml:space="preserve"> be amended to clarify th</w:t>
      </w:r>
      <w:r w:rsidR="496EDB53" w:rsidRPr="00C7021B">
        <w:rPr>
          <w:shd w:val="clear" w:color="auto" w:fill="FFFFFF"/>
        </w:rPr>
        <w:t>e</w:t>
      </w:r>
      <w:r w:rsidRPr="00C7021B">
        <w:rPr>
          <w:shd w:val="clear" w:color="auto" w:fill="FFFFFF"/>
        </w:rPr>
        <w:t xml:space="preserve"> requirement</w:t>
      </w:r>
      <w:r w:rsidR="496EDB53" w:rsidRPr="00C7021B">
        <w:rPr>
          <w:shd w:val="clear" w:color="auto" w:fill="FFFFFF"/>
        </w:rPr>
        <w:t xml:space="preserve"> for consent</w:t>
      </w:r>
      <w:r w:rsidRPr="00C7021B">
        <w:rPr>
          <w:shd w:val="clear" w:color="auto" w:fill="FFFFFF"/>
        </w:rPr>
        <w:t xml:space="preserve"> </w:t>
      </w:r>
      <w:r w:rsidR="07A6EEB9" w:rsidRPr="00C7021B">
        <w:rPr>
          <w:shd w:val="clear" w:color="auto" w:fill="FFFFFF"/>
        </w:rPr>
        <w:t xml:space="preserve">from another </w:t>
      </w:r>
      <w:r w:rsidR="421CE4EC" w:rsidRPr="00C7021B">
        <w:rPr>
          <w:shd w:val="clear" w:color="auto" w:fill="FFFFFF"/>
        </w:rPr>
        <w:t>authority</w:t>
      </w:r>
      <w:r w:rsidR="008BB1CB" w:rsidRPr="00C7021B">
        <w:rPr>
          <w:shd w:val="clear" w:color="auto" w:fill="FFFFFF"/>
        </w:rPr>
        <w:t xml:space="preserve">, </w:t>
      </w:r>
      <w:r w:rsidR="496EDB53" w:rsidRPr="00C7021B">
        <w:rPr>
          <w:shd w:val="clear" w:color="auto" w:fill="FFFFFF"/>
        </w:rPr>
        <w:t>add a</w:t>
      </w:r>
      <w:r w:rsidRPr="00C7021B">
        <w:rPr>
          <w:shd w:val="clear" w:color="auto" w:fill="FFFFFF"/>
        </w:rPr>
        <w:t xml:space="preserve"> condition </w:t>
      </w:r>
      <w:r w:rsidR="496EDB53" w:rsidRPr="00C7021B">
        <w:rPr>
          <w:shd w:val="clear" w:color="auto" w:fill="FFFFFF"/>
        </w:rPr>
        <w:t>for</w:t>
      </w:r>
      <w:r w:rsidRPr="00C7021B">
        <w:rPr>
          <w:shd w:val="clear" w:color="auto" w:fill="FFFFFF"/>
        </w:rPr>
        <w:t xml:space="preserve"> notification</w:t>
      </w:r>
      <w:r w:rsidR="00C00458" w:rsidRPr="00C7021B">
        <w:rPr>
          <w:shd w:val="clear" w:color="auto" w:fill="FFFFFF"/>
        </w:rPr>
        <w:t xml:space="preserve"> (when any person other than the Harbour Authority carries out the activity)</w:t>
      </w:r>
      <w:r w:rsidRPr="00C7021B">
        <w:rPr>
          <w:shd w:val="clear" w:color="auto" w:fill="FFFFFF"/>
        </w:rPr>
        <w:t xml:space="preserve"> </w:t>
      </w:r>
      <w:r w:rsidR="02AB1CD0" w:rsidRPr="00C7021B">
        <w:rPr>
          <w:shd w:val="clear" w:color="auto" w:fill="FFFFFF"/>
        </w:rPr>
        <w:t>of the intention to rely o</w:t>
      </w:r>
      <w:r w:rsidR="00655836">
        <w:rPr>
          <w:shd w:val="clear" w:color="auto" w:fill="FFFFFF"/>
        </w:rPr>
        <w:t>n</w:t>
      </w:r>
      <w:r w:rsidR="02AB1CD0" w:rsidRPr="00C7021B">
        <w:rPr>
          <w:shd w:val="clear" w:color="auto" w:fill="FFFFFF"/>
        </w:rPr>
        <w:t xml:space="preserve"> the exemption to be given </w:t>
      </w:r>
      <w:r w:rsidRPr="00C7021B">
        <w:rPr>
          <w:shd w:val="clear" w:color="auto" w:fill="FFFFFF"/>
        </w:rPr>
        <w:t xml:space="preserve">to the MMO </w:t>
      </w:r>
      <w:r w:rsidR="07A6EEB9" w:rsidRPr="00C7021B">
        <w:rPr>
          <w:shd w:val="clear" w:color="auto" w:fill="FFFFFF"/>
        </w:rPr>
        <w:t>and</w:t>
      </w:r>
      <w:r w:rsidR="496EDB53" w:rsidRPr="00C7021B">
        <w:rPr>
          <w:shd w:val="clear" w:color="auto" w:fill="FFFFFF"/>
        </w:rPr>
        <w:t xml:space="preserve"> to </w:t>
      </w:r>
      <w:r w:rsidR="318A54CC" w:rsidRPr="00C7021B">
        <w:rPr>
          <w:shd w:val="clear" w:color="auto" w:fill="FFFFFF"/>
        </w:rPr>
        <w:t xml:space="preserve">require </w:t>
      </w:r>
      <w:r w:rsidRPr="00C7021B">
        <w:rPr>
          <w:shd w:val="clear" w:color="auto" w:fill="FFFFFF"/>
        </w:rPr>
        <w:t xml:space="preserve">a copy of the consent granted by the </w:t>
      </w:r>
      <w:r w:rsidR="2BA7F08A" w:rsidRPr="00C7021B">
        <w:rPr>
          <w:shd w:val="clear" w:color="auto" w:fill="FFFFFF"/>
        </w:rPr>
        <w:t xml:space="preserve">relevant </w:t>
      </w:r>
      <w:r w:rsidR="4AD5B5EE" w:rsidRPr="00C7021B">
        <w:rPr>
          <w:shd w:val="clear" w:color="auto" w:fill="FFFFFF"/>
        </w:rPr>
        <w:t>a</w:t>
      </w:r>
      <w:r w:rsidRPr="00C7021B">
        <w:rPr>
          <w:shd w:val="clear" w:color="auto" w:fill="FFFFFF"/>
        </w:rPr>
        <w:t>uthority</w:t>
      </w:r>
      <w:r w:rsidR="756F70A2" w:rsidRPr="00C7021B">
        <w:rPr>
          <w:shd w:val="clear" w:color="auto" w:fill="FFFFFF"/>
        </w:rPr>
        <w:t xml:space="preserve"> </w:t>
      </w:r>
      <w:r w:rsidR="756F70A2" w:rsidRPr="00C7021B">
        <w:t>in such instances</w:t>
      </w:r>
      <w:r w:rsidRPr="00C7021B">
        <w:rPr>
          <w:shd w:val="clear" w:color="auto" w:fill="FFFFFF"/>
        </w:rPr>
        <w:t xml:space="preserve">. </w:t>
      </w:r>
    </w:p>
    <w:p w14:paraId="622B6515" w14:textId="5927265E" w:rsidR="008F7222" w:rsidRDefault="008F7222" w:rsidP="008F7222">
      <w:pPr>
        <w:pBdr>
          <w:top w:val="single" w:sz="4" w:space="1" w:color="auto"/>
          <w:left w:val="single" w:sz="4" w:space="4" w:color="auto"/>
          <w:bottom w:val="single" w:sz="4" w:space="1" w:color="auto"/>
          <w:right w:val="single" w:sz="4" w:space="4" w:color="auto"/>
        </w:pBdr>
        <w:jc w:val="both"/>
        <w:rPr>
          <w:b/>
          <w:lang w:val="en-US"/>
        </w:rPr>
      </w:pPr>
      <w:r>
        <w:rPr>
          <w:b/>
          <w:lang w:val="en-US"/>
        </w:rPr>
        <w:t>1</w:t>
      </w:r>
      <w:r w:rsidR="00444349">
        <w:rPr>
          <w:b/>
          <w:lang w:val="en-US"/>
        </w:rPr>
        <w:t>2</w:t>
      </w:r>
      <w:r w:rsidRPr="003A6F4F">
        <w:rPr>
          <w:b/>
          <w:lang w:val="en-US"/>
        </w:rPr>
        <w:t xml:space="preserve">. Do you agree with the </w:t>
      </w:r>
      <w:r w:rsidRPr="00336C1C">
        <w:rPr>
          <w:b/>
          <w:bCs/>
        </w:rPr>
        <w:t xml:space="preserve">proposed </w:t>
      </w:r>
      <w:r>
        <w:rPr>
          <w:b/>
          <w:bCs/>
        </w:rPr>
        <w:t>amendment to this exemption</w:t>
      </w:r>
      <w:r w:rsidRPr="003A6F4F">
        <w:rPr>
          <w:b/>
          <w:lang w:val="en-US"/>
        </w:rPr>
        <w:t xml:space="preserve">? </w:t>
      </w:r>
    </w:p>
    <w:p w14:paraId="268D2669" w14:textId="492E20FB" w:rsidR="008F7222" w:rsidRPr="009762C5" w:rsidRDefault="008F7222" w:rsidP="002077E0">
      <w:pPr>
        <w:pBdr>
          <w:top w:val="single" w:sz="4" w:space="1" w:color="auto"/>
          <w:left w:val="single" w:sz="4" w:space="4" w:color="auto"/>
          <w:bottom w:val="single" w:sz="4" w:space="1" w:color="auto"/>
          <w:right w:val="single" w:sz="4" w:space="4" w:color="auto"/>
        </w:pBdr>
        <w:jc w:val="both"/>
        <w:rPr>
          <w:b/>
          <w:bCs/>
        </w:rPr>
      </w:pPr>
      <w:r w:rsidRPr="003A6F4F">
        <w:rPr>
          <w:b/>
          <w:lang w:val="en-US"/>
        </w:rPr>
        <w:t>Yes</w:t>
      </w:r>
      <w:r w:rsidR="000F1C1D">
        <w:rPr>
          <w:b/>
          <w:lang w:val="en-US"/>
        </w:rPr>
        <w:t xml:space="preserve"> or </w:t>
      </w:r>
      <w:r w:rsidRPr="003A6F4F">
        <w:rPr>
          <w:b/>
          <w:lang w:val="en-US"/>
        </w:rPr>
        <w:t>No</w:t>
      </w:r>
      <w:r w:rsidR="000F1C1D">
        <w:rPr>
          <w:b/>
          <w:lang w:val="en-US"/>
        </w:rPr>
        <w:t xml:space="preserve"> or </w:t>
      </w:r>
      <w:r w:rsidRPr="003A6F4F">
        <w:rPr>
          <w:b/>
          <w:lang w:val="en-US"/>
        </w:rPr>
        <w:t xml:space="preserve">Neither Agree </w:t>
      </w:r>
      <w:r>
        <w:rPr>
          <w:b/>
          <w:lang w:val="en-US"/>
        </w:rPr>
        <w:t>n</w:t>
      </w:r>
      <w:r w:rsidRPr="003A6F4F">
        <w:rPr>
          <w:b/>
          <w:lang w:val="en-US"/>
        </w:rPr>
        <w:t xml:space="preserve">or Disagree </w:t>
      </w:r>
    </w:p>
    <w:p w14:paraId="13B21695" w14:textId="7957DC30" w:rsidR="005D6BD7" w:rsidRDefault="008F7222" w:rsidP="009D42F0">
      <w:pPr>
        <w:pBdr>
          <w:top w:val="single" w:sz="4" w:space="1" w:color="auto"/>
          <w:left w:val="single" w:sz="4" w:space="4" w:color="auto"/>
          <w:bottom w:val="single" w:sz="4" w:space="1" w:color="auto"/>
          <w:right w:val="single" w:sz="4" w:space="4" w:color="auto"/>
        </w:pBdr>
        <w:tabs>
          <w:tab w:val="left" w:pos="3465"/>
        </w:tabs>
        <w:spacing w:after="0"/>
        <w:jc w:val="both"/>
        <w:rPr>
          <w:rFonts w:eastAsia="Times New Roman"/>
          <w:b/>
          <w:bCs/>
          <w:color w:val="008938"/>
          <w:sz w:val="28"/>
          <w:szCs w:val="28"/>
        </w:rPr>
      </w:pPr>
      <w:r w:rsidRPr="4CDAF053">
        <w:rPr>
          <w:b/>
        </w:rPr>
        <w:t xml:space="preserve">Do you have any further comments you wish to make on this proposal?  </w:t>
      </w:r>
      <w:bookmarkEnd w:id="46"/>
    </w:p>
    <w:p w14:paraId="21798526" w14:textId="6BD2DE96" w:rsidR="002E0C28" w:rsidRDefault="002E0C28" w:rsidP="002E0C28">
      <w:pPr>
        <w:jc w:val="both"/>
        <w:rPr>
          <w:rFonts w:eastAsia="Times New Roman"/>
          <w:b/>
          <w:bCs/>
          <w:color w:val="008938"/>
          <w:sz w:val="28"/>
          <w:szCs w:val="28"/>
        </w:rPr>
      </w:pPr>
      <w:r w:rsidRPr="6638B5BA">
        <w:rPr>
          <w:rFonts w:eastAsia="Times New Roman"/>
          <w:b/>
          <w:bCs/>
          <w:color w:val="008938"/>
          <w:sz w:val="28"/>
          <w:szCs w:val="28"/>
        </w:rPr>
        <w:lastRenderedPageBreak/>
        <w:t xml:space="preserve">Removal of exemptions for </w:t>
      </w:r>
      <w:r w:rsidR="00F7454D">
        <w:rPr>
          <w:rFonts w:eastAsia="Times New Roman"/>
          <w:b/>
          <w:bCs/>
          <w:color w:val="008938"/>
          <w:sz w:val="28"/>
          <w:szCs w:val="28"/>
        </w:rPr>
        <w:t>H</w:t>
      </w:r>
      <w:r w:rsidRPr="6638B5BA">
        <w:rPr>
          <w:rFonts w:eastAsia="Times New Roman"/>
          <w:b/>
          <w:bCs/>
          <w:color w:val="008938"/>
          <w:sz w:val="28"/>
          <w:szCs w:val="28"/>
        </w:rPr>
        <w:t xml:space="preserve">ighly </w:t>
      </w:r>
      <w:r w:rsidR="00F7454D">
        <w:rPr>
          <w:rFonts w:eastAsia="Times New Roman"/>
          <w:b/>
          <w:bCs/>
          <w:color w:val="008938"/>
          <w:sz w:val="28"/>
          <w:szCs w:val="28"/>
        </w:rPr>
        <w:t>P</w:t>
      </w:r>
      <w:r w:rsidRPr="6638B5BA">
        <w:rPr>
          <w:rFonts w:eastAsia="Times New Roman"/>
          <w:b/>
          <w:bCs/>
          <w:color w:val="008938"/>
          <w:sz w:val="28"/>
          <w:szCs w:val="28"/>
        </w:rPr>
        <w:t xml:space="preserve">rotected </w:t>
      </w:r>
      <w:r w:rsidR="00F7454D">
        <w:rPr>
          <w:rFonts w:eastAsia="Times New Roman"/>
          <w:b/>
          <w:bCs/>
          <w:color w:val="008938"/>
          <w:sz w:val="28"/>
          <w:szCs w:val="28"/>
        </w:rPr>
        <w:t>M</w:t>
      </w:r>
      <w:r w:rsidRPr="6638B5BA">
        <w:rPr>
          <w:rFonts w:eastAsia="Times New Roman"/>
          <w:b/>
          <w:bCs/>
          <w:color w:val="008938"/>
          <w:sz w:val="28"/>
          <w:szCs w:val="28"/>
        </w:rPr>
        <w:t xml:space="preserve">arine </w:t>
      </w:r>
      <w:r w:rsidR="00F7454D">
        <w:rPr>
          <w:rFonts w:eastAsia="Times New Roman"/>
          <w:b/>
          <w:bCs/>
          <w:color w:val="008938"/>
          <w:sz w:val="28"/>
          <w:szCs w:val="28"/>
        </w:rPr>
        <w:t>A</w:t>
      </w:r>
      <w:r w:rsidRPr="6638B5BA">
        <w:rPr>
          <w:rFonts w:eastAsia="Times New Roman"/>
          <w:b/>
          <w:bCs/>
          <w:color w:val="008938"/>
          <w:sz w:val="28"/>
          <w:szCs w:val="28"/>
        </w:rPr>
        <w:t>reas</w:t>
      </w:r>
    </w:p>
    <w:p w14:paraId="635B921F" w14:textId="77777777" w:rsidR="008C1BA1" w:rsidRPr="00125BCB" w:rsidRDefault="008C1BA1" w:rsidP="003C59DB">
      <w:pPr>
        <w:jc w:val="both"/>
      </w:pPr>
      <w:r w:rsidRPr="00125BCB">
        <w:t xml:space="preserve">HPMAs are MPAs (including in some cases the shoreline) that </w:t>
      </w:r>
      <w:r>
        <w:t xml:space="preserve">have been </w:t>
      </w:r>
      <w:r w:rsidRPr="00125BCB">
        <w:t>designated to allow the protection and full recovery of marine ecosystems. By setting aside some areas of sea with high levels of protection, HPMAs allow nature to fully recover to a more natural state, allowing the ecosystem to thrive.</w:t>
      </w:r>
    </w:p>
    <w:p w14:paraId="42D2A68C" w14:textId="6F8DA36E" w:rsidR="008C1BA1" w:rsidRPr="00125BCB" w:rsidRDefault="008C1BA1" w:rsidP="003C59DB">
      <w:pPr>
        <w:jc w:val="both"/>
      </w:pPr>
      <w:r>
        <w:t>Many but not all</w:t>
      </w:r>
      <w:r w:rsidRPr="00125BCB">
        <w:t xml:space="preserve"> current marine licence exemptions are </w:t>
      </w:r>
      <w:r>
        <w:t xml:space="preserve">disapplied where an activity is capable of </w:t>
      </w:r>
      <w:r w:rsidRPr="00125BCB">
        <w:t xml:space="preserve">having a </w:t>
      </w:r>
      <w:r>
        <w:t xml:space="preserve">significant </w:t>
      </w:r>
      <w:r w:rsidRPr="00125BCB">
        <w:t xml:space="preserve">impact on </w:t>
      </w:r>
      <w:r>
        <w:t xml:space="preserve">an </w:t>
      </w:r>
      <w:r w:rsidRPr="00125BCB">
        <w:t>MPA</w:t>
      </w:r>
      <w:r>
        <w:t>. Exemptions which currently do not include this disapplication include,</w:t>
      </w:r>
      <w:r w:rsidRPr="00125BCB">
        <w:t xml:space="preserve"> </w:t>
      </w:r>
      <w:r w:rsidR="00593C4B">
        <w:t>f</w:t>
      </w:r>
      <w:r w:rsidRPr="00125BCB">
        <w:t>or example</w:t>
      </w:r>
      <w:r>
        <w:t>,</w:t>
      </w:r>
      <w:r w:rsidRPr="00125BCB">
        <w:t xml:space="preserve"> the exemptions applicable to using moorings and aids to navigation. However, </w:t>
      </w:r>
      <w:r>
        <w:t>several</w:t>
      </w:r>
      <w:r w:rsidRPr="00125BCB">
        <w:t xml:space="preserve"> of these </w:t>
      </w:r>
      <w:r>
        <w:t xml:space="preserve">exempted </w:t>
      </w:r>
      <w:r w:rsidRPr="00125BCB">
        <w:t>activities are incompatible with the higher conservation goals of HPMAs.</w:t>
      </w:r>
    </w:p>
    <w:p w14:paraId="50A22E73" w14:textId="76A14DD9" w:rsidR="6396CFC6" w:rsidRPr="001C2E6A" w:rsidRDefault="00714253" w:rsidP="6396CFC6">
      <w:pPr>
        <w:jc w:val="both"/>
      </w:pPr>
      <w:r>
        <w:rPr>
          <w:shd w:val="clear" w:color="auto" w:fill="FFFFFF"/>
        </w:rPr>
        <w:t>W</w:t>
      </w:r>
      <w:r w:rsidR="008C1BA1" w:rsidRPr="00125BCB">
        <w:rPr>
          <w:shd w:val="clear" w:color="auto" w:fill="FFFFFF"/>
        </w:rPr>
        <w:t xml:space="preserve">e therefore propose to </w:t>
      </w:r>
      <w:r w:rsidR="008C1BA1">
        <w:rPr>
          <w:shd w:val="clear" w:color="auto" w:fill="FFFFFF"/>
        </w:rPr>
        <w:t>disapply</w:t>
      </w:r>
      <w:r w:rsidR="008C1BA1" w:rsidRPr="00125BCB">
        <w:rPr>
          <w:shd w:val="clear" w:color="auto" w:fill="FFFFFF"/>
        </w:rPr>
        <w:t xml:space="preserve"> certain </w:t>
      </w:r>
      <w:r w:rsidR="008C1BA1">
        <w:rPr>
          <w:shd w:val="clear" w:color="auto" w:fill="FFFFFF"/>
        </w:rPr>
        <w:t xml:space="preserve">additional </w:t>
      </w:r>
      <w:r w:rsidR="008C1BA1" w:rsidRPr="00125BCB">
        <w:rPr>
          <w:shd w:val="clear" w:color="auto" w:fill="FFFFFF"/>
        </w:rPr>
        <w:t xml:space="preserve">exemptions where </w:t>
      </w:r>
      <w:r w:rsidR="008C1BA1">
        <w:rPr>
          <w:shd w:val="clear" w:color="auto" w:fill="FFFFFF"/>
        </w:rPr>
        <w:t>the proposed activities</w:t>
      </w:r>
      <w:r w:rsidR="008C1BA1" w:rsidRPr="00125BCB">
        <w:rPr>
          <w:shd w:val="clear" w:color="auto" w:fill="FFFFFF"/>
        </w:rPr>
        <w:t xml:space="preserve"> risk </w:t>
      </w:r>
      <w:r w:rsidR="008C1BA1">
        <w:rPr>
          <w:shd w:val="clear" w:color="auto" w:fill="FFFFFF"/>
        </w:rPr>
        <w:t xml:space="preserve">significantly </w:t>
      </w:r>
      <w:r w:rsidR="008C1BA1" w:rsidRPr="00125BCB">
        <w:rPr>
          <w:shd w:val="clear" w:color="auto" w:fill="FFFFFF"/>
        </w:rPr>
        <w:t>affecting HPMAs.</w:t>
      </w:r>
      <w:r w:rsidR="008C1BA1" w:rsidRPr="00F41A98">
        <w:rPr>
          <w:color w:val="7030A0"/>
        </w:rPr>
        <w:t xml:space="preserve"> </w:t>
      </w:r>
      <w:r w:rsidR="008C1BA1" w:rsidRPr="00202074">
        <w:t xml:space="preserve">See </w:t>
      </w:r>
      <w:r w:rsidR="00093963" w:rsidRPr="00093963">
        <w:t>Annex A</w:t>
      </w:r>
      <w:r w:rsidR="008C1BA1">
        <w:rPr>
          <w:color w:val="7030A0"/>
        </w:rPr>
        <w:t xml:space="preserve"> </w:t>
      </w:r>
      <w:r w:rsidR="008C1BA1">
        <w:t>which lists</w:t>
      </w:r>
      <w:r w:rsidR="008C1BA1" w:rsidRPr="00202074">
        <w:t xml:space="preserve"> exemptions which </w:t>
      </w:r>
      <w:r w:rsidR="008C1BA1">
        <w:t>are currently disapplied and the additional exemptions that it is proposed would be disapplied where the activity in question is capable of having a significant impact on a HPMA.</w:t>
      </w:r>
    </w:p>
    <w:p w14:paraId="20F13687" w14:textId="77777777" w:rsidR="008C1BA1" w:rsidRPr="008B5657" w:rsidRDefault="008C1BA1" w:rsidP="003C59DB">
      <w:pPr>
        <w:jc w:val="both"/>
        <w:rPr>
          <w:lang w:val="en-US"/>
        </w:rPr>
      </w:pPr>
      <w:r w:rsidRPr="008B5657">
        <w:rPr>
          <w:b/>
          <w:lang w:val="en-US"/>
        </w:rPr>
        <w:t>Proposed amendment of exemption</w:t>
      </w:r>
      <w:r>
        <w:rPr>
          <w:b/>
          <w:lang w:val="en-US"/>
        </w:rPr>
        <w:t>s</w:t>
      </w:r>
      <w:r w:rsidRPr="008B5657">
        <w:rPr>
          <w:b/>
          <w:lang w:val="en-US"/>
        </w:rPr>
        <w:t xml:space="preserve">: </w:t>
      </w:r>
    </w:p>
    <w:p w14:paraId="7A2E337C" w14:textId="1B816C92" w:rsidR="008C1BA1" w:rsidRDefault="008C1BA1" w:rsidP="04F347C9">
      <w:pPr>
        <w:jc w:val="both"/>
      </w:pPr>
      <w:r>
        <w:rPr>
          <w:shd w:val="clear" w:color="auto" w:fill="FFFFFF"/>
        </w:rPr>
        <w:t>It is proposed that additional</w:t>
      </w:r>
      <w:r w:rsidRPr="00125BCB">
        <w:rPr>
          <w:shd w:val="clear" w:color="auto" w:fill="FFFFFF"/>
        </w:rPr>
        <w:t xml:space="preserve"> exemptions </w:t>
      </w:r>
      <w:r>
        <w:rPr>
          <w:shd w:val="clear" w:color="auto" w:fill="FFFFFF"/>
        </w:rPr>
        <w:t xml:space="preserve">(as listed in Annex A) </w:t>
      </w:r>
      <w:r w:rsidRPr="00125BCB">
        <w:rPr>
          <w:shd w:val="clear" w:color="auto" w:fill="FFFFFF"/>
        </w:rPr>
        <w:t xml:space="preserve">would be amended </w:t>
      </w:r>
      <w:r>
        <w:rPr>
          <w:shd w:val="clear" w:color="auto" w:fill="FFFFFF"/>
        </w:rPr>
        <w:t xml:space="preserve">so that these exemptions would not be applicable to </w:t>
      </w:r>
      <w:r w:rsidRPr="00125BCB">
        <w:rPr>
          <w:shd w:val="clear" w:color="auto" w:fill="FFFFFF"/>
        </w:rPr>
        <w:t xml:space="preserve">activities </w:t>
      </w:r>
      <w:r>
        <w:rPr>
          <w:shd w:val="clear" w:color="auto" w:fill="FFFFFF"/>
        </w:rPr>
        <w:t>wh</w:t>
      </w:r>
      <w:r>
        <w:t>ich are capable of affecting</w:t>
      </w:r>
      <w:r>
        <w:rPr>
          <w:shd w:val="clear" w:color="auto" w:fill="FFFFFF"/>
        </w:rPr>
        <w:t xml:space="preserve"> </w:t>
      </w:r>
      <w:r>
        <w:t xml:space="preserve">(other than insignificantly) </w:t>
      </w:r>
      <w:r>
        <w:rPr>
          <w:shd w:val="clear" w:color="auto" w:fill="FFFFFF"/>
        </w:rPr>
        <w:t>an HPMA</w:t>
      </w:r>
      <w:r w:rsidRPr="00125BCB">
        <w:rPr>
          <w:shd w:val="clear" w:color="auto" w:fill="FFFFFF"/>
        </w:rPr>
        <w:t>.</w:t>
      </w:r>
      <w:r w:rsidRPr="00125BCB">
        <w:t xml:space="preserve"> Examples of exemptions where it may not be appropriate for this </w:t>
      </w:r>
      <w:r>
        <w:t>type of amendment to be made</w:t>
      </w:r>
      <w:r w:rsidRPr="00125BCB">
        <w:t xml:space="preserve"> include exemptions related to emergency pollution response and emergency response to flood risk and </w:t>
      </w:r>
      <w:r w:rsidR="47C2BF62" w:rsidRPr="00125BCB">
        <w:t>firefighting</w:t>
      </w:r>
      <w:r w:rsidRPr="00125BCB">
        <w:t>.</w:t>
      </w:r>
    </w:p>
    <w:p w14:paraId="306D0964" w14:textId="77777777" w:rsidR="005D6BD7" w:rsidRDefault="005D6BD7" w:rsidP="04F347C9">
      <w:pPr>
        <w:jc w:val="both"/>
      </w:pPr>
    </w:p>
    <w:p w14:paraId="3CC8F209" w14:textId="77777777" w:rsidR="005D6BD7" w:rsidRDefault="005D6BD7" w:rsidP="04F347C9">
      <w:pPr>
        <w:jc w:val="both"/>
      </w:pPr>
    </w:p>
    <w:p w14:paraId="4940FB78" w14:textId="77777777" w:rsidR="005D6BD7" w:rsidRDefault="005D6BD7" w:rsidP="04F347C9">
      <w:pPr>
        <w:jc w:val="both"/>
      </w:pPr>
    </w:p>
    <w:p w14:paraId="682E5AC3" w14:textId="77777777" w:rsidR="005D6BD7" w:rsidRDefault="005D6BD7" w:rsidP="04F347C9">
      <w:pPr>
        <w:jc w:val="both"/>
      </w:pPr>
    </w:p>
    <w:p w14:paraId="394C1766" w14:textId="77777777" w:rsidR="005D6BD7" w:rsidRDefault="005D6BD7" w:rsidP="04F347C9">
      <w:pPr>
        <w:jc w:val="both"/>
      </w:pPr>
    </w:p>
    <w:p w14:paraId="3EE22278" w14:textId="77777777" w:rsidR="005D6BD7" w:rsidRDefault="005D6BD7" w:rsidP="04F347C9">
      <w:pPr>
        <w:jc w:val="both"/>
      </w:pPr>
    </w:p>
    <w:p w14:paraId="5DFCEA96" w14:textId="77777777" w:rsidR="005D6BD7" w:rsidRDefault="005D6BD7" w:rsidP="04F347C9">
      <w:pPr>
        <w:jc w:val="both"/>
      </w:pPr>
    </w:p>
    <w:p w14:paraId="1EE9B728" w14:textId="77777777" w:rsidR="005D6BD7" w:rsidRDefault="005D6BD7" w:rsidP="04F347C9">
      <w:pPr>
        <w:jc w:val="both"/>
      </w:pPr>
    </w:p>
    <w:p w14:paraId="67DB0A9D" w14:textId="77777777" w:rsidR="005D6BD7" w:rsidRDefault="005D6BD7" w:rsidP="04F347C9">
      <w:pPr>
        <w:jc w:val="both"/>
      </w:pPr>
    </w:p>
    <w:p w14:paraId="1E1627B6" w14:textId="77777777" w:rsidR="005D6BD7" w:rsidRDefault="005D6BD7" w:rsidP="04F347C9">
      <w:pPr>
        <w:jc w:val="both"/>
      </w:pPr>
    </w:p>
    <w:p w14:paraId="580075A2" w14:textId="77777777" w:rsidR="005D6BD7" w:rsidRPr="00125BCB" w:rsidRDefault="005D6BD7" w:rsidP="04F347C9">
      <w:pPr>
        <w:jc w:val="both"/>
        <w:rPr>
          <w:shd w:val="clear" w:color="auto" w:fill="FFFFFF"/>
        </w:rPr>
      </w:pPr>
    </w:p>
    <w:p w14:paraId="30201C6B" w14:textId="58DBC2BA" w:rsidR="008C1BA1" w:rsidRDefault="008C1BA1" w:rsidP="0AD88DBA">
      <w:pPr>
        <w:pBdr>
          <w:top w:val="single" w:sz="4" w:space="1" w:color="auto"/>
          <w:left w:val="single" w:sz="4" w:space="4" w:color="auto"/>
          <w:bottom w:val="single" w:sz="4" w:space="1" w:color="auto"/>
          <w:right w:val="single" w:sz="4" w:space="4" w:color="auto"/>
        </w:pBdr>
        <w:jc w:val="both"/>
        <w:rPr>
          <w:b/>
          <w:bCs/>
          <w:lang w:val="en-US"/>
        </w:rPr>
      </w:pPr>
      <w:r w:rsidRPr="0AD88DBA">
        <w:rPr>
          <w:b/>
          <w:bCs/>
          <w:lang w:val="en-US"/>
        </w:rPr>
        <w:lastRenderedPageBreak/>
        <w:t>1</w:t>
      </w:r>
      <w:r w:rsidR="00444349">
        <w:rPr>
          <w:b/>
          <w:bCs/>
          <w:lang w:val="en-US"/>
        </w:rPr>
        <w:t>3</w:t>
      </w:r>
      <w:r w:rsidR="00186EA0">
        <w:rPr>
          <w:b/>
          <w:bCs/>
          <w:lang w:val="en-US"/>
        </w:rPr>
        <w:t>a</w:t>
      </w:r>
      <w:r w:rsidRPr="0AD88DBA">
        <w:rPr>
          <w:b/>
          <w:bCs/>
          <w:lang w:val="en-US"/>
        </w:rPr>
        <w:t xml:space="preserve">. Do you agree with the </w:t>
      </w:r>
      <w:r w:rsidRPr="0AD88DBA">
        <w:rPr>
          <w:b/>
          <w:bCs/>
        </w:rPr>
        <w:t>proposals to disapply exemptions for certain activities which may have a significant effect on an HPMA (as listed in Annex A)</w:t>
      </w:r>
      <w:r w:rsidRPr="0AD88DBA">
        <w:rPr>
          <w:b/>
          <w:bCs/>
          <w:lang w:val="en-US"/>
        </w:rPr>
        <w:t>?</w:t>
      </w:r>
    </w:p>
    <w:p w14:paraId="2F5545EA" w14:textId="1CC18962" w:rsidR="008C1BA1" w:rsidRDefault="008C1BA1" w:rsidP="002077E0">
      <w:pPr>
        <w:pBdr>
          <w:top w:val="single" w:sz="4" w:space="1" w:color="auto"/>
          <w:left w:val="single" w:sz="4" w:space="4" w:color="auto"/>
          <w:bottom w:val="single" w:sz="4" w:space="1" w:color="auto"/>
          <w:right w:val="single" w:sz="4" w:space="4" w:color="auto"/>
        </w:pBdr>
        <w:jc w:val="both"/>
        <w:rPr>
          <w:b/>
          <w:bCs/>
          <w:lang w:val="en-US"/>
        </w:rPr>
      </w:pPr>
      <w:r w:rsidRPr="008E49CE">
        <w:rPr>
          <w:b/>
          <w:bCs/>
          <w:lang w:val="en-US"/>
        </w:rPr>
        <w:t>Y</w:t>
      </w:r>
      <w:r w:rsidRPr="008F7222">
        <w:rPr>
          <w:b/>
          <w:bCs/>
          <w:lang w:val="en-US"/>
        </w:rPr>
        <w:t>es</w:t>
      </w:r>
      <w:r w:rsidR="00C202FF">
        <w:rPr>
          <w:b/>
          <w:bCs/>
          <w:lang w:val="en-US"/>
        </w:rPr>
        <w:t xml:space="preserve"> or </w:t>
      </w:r>
      <w:r w:rsidRPr="6B7C734B">
        <w:rPr>
          <w:b/>
          <w:bCs/>
          <w:lang w:val="en-US"/>
        </w:rPr>
        <w:t>No</w:t>
      </w:r>
      <w:r w:rsidR="00C202FF">
        <w:rPr>
          <w:b/>
          <w:bCs/>
          <w:lang w:val="en-US"/>
        </w:rPr>
        <w:t xml:space="preserve"> or </w:t>
      </w:r>
      <w:r w:rsidRPr="6B7C734B">
        <w:rPr>
          <w:b/>
          <w:bCs/>
          <w:lang w:val="en-US"/>
        </w:rPr>
        <w:t>Neither Agree nor Disagree</w:t>
      </w:r>
    </w:p>
    <w:p w14:paraId="0ACCBD47" w14:textId="5C2F3CDD" w:rsidR="00AC784B" w:rsidRDefault="00AC784B" w:rsidP="002077E0">
      <w:pPr>
        <w:pBdr>
          <w:top w:val="single" w:sz="4" w:space="1" w:color="auto"/>
          <w:left w:val="single" w:sz="4" w:space="4" w:color="auto"/>
          <w:bottom w:val="single" w:sz="4" w:space="1" w:color="auto"/>
          <w:right w:val="single" w:sz="4" w:space="4" w:color="auto"/>
        </w:pBdr>
        <w:jc w:val="both"/>
        <w:rPr>
          <w:b/>
          <w:bCs/>
          <w:lang w:val="en-US"/>
        </w:rPr>
      </w:pPr>
      <w:r>
        <w:rPr>
          <w:b/>
          <w:bCs/>
          <w:lang w:val="en-US"/>
        </w:rPr>
        <w:t>1</w:t>
      </w:r>
      <w:r w:rsidR="00EC25FE">
        <w:rPr>
          <w:b/>
          <w:bCs/>
          <w:lang w:val="en-US"/>
        </w:rPr>
        <w:t>3</w:t>
      </w:r>
      <w:r>
        <w:rPr>
          <w:b/>
          <w:bCs/>
          <w:lang w:val="en-US"/>
        </w:rPr>
        <w:t xml:space="preserve">b. </w:t>
      </w:r>
      <w:r w:rsidR="000339E0">
        <w:rPr>
          <w:b/>
          <w:bCs/>
          <w:lang w:val="en-US"/>
        </w:rPr>
        <w:t>Should</w:t>
      </w:r>
      <w:r w:rsidR="00410008">
        <w:rPr>
          <w:b/>
          <w:bCs/>
          <w:lang w:val="en-US"/>
        </w:rPr>
        <w:t xml:space="preserve"> any </w:t>
      </w:r>
      <w:r w:rsidR="000339E0">
        <w:rPr>
          <w:b/>
          <w:bCs/>
          <w:lang w:val="en-US"/>
        </w:rPr>
        <w:t xml:space="preserve">of the following </w:t>
      </w:r>
      <w:r w:rsidRPr="0AD88DBA">
        <w:rPr>
          <w:b/>
          <w:bCs/>
        </w:rPr>
        <w:t xml:space="preserve">exemptions </w:t>
      </w:r>
      <w:r w:rsidRPr="0AD88DBA">
        <w:rPr>
          <w:b/>
          <w:bCs/>
          <w:u w:val="single"/>
          <w:lang w:val="en-US"/>
        </w:rPr>
        <w:t>not</w:t>
      </w:r>
      <w:r w:rsidRPr="0AD88DBA">
        <w:rPr>
          <w:b/>
          <w:bCs/>
          <w:lang w:val="en-US"/>
        </w:rPr>
        <w:t xml:space="preserve"> be disapplied</w:t>
      </w:r>
      <w:r w:rsidR="00C00E75">
        <w:rPr>
          <w:b/>
          <w:bCs/>
          <w:lang w:val="en-US"/>
        </w:rPr>
        <w:t xml:space="preserve"> </w:t>
      </w:r>
      <w:r w:rsidR="00C00E75" w:rsidRPr="0AD88DBA">
        <w:rPr>
          <w:b/>
          <w:bCs/>
        </w:rPr>
        <w:t>(as listed in Annex A)</w:t>
      </w:r>
      <w:r w:rsidR="00C00E75" w:rsidRPr="0AD88DBA">
        <w:rPr>
          <w:b/>
          <w:bCs/>
          <w:lang w:val="en-US"/>
        </w:rPr>
        <w:t>?</w:t>
      </w:r>
      <w:r w:rsidRPr="0AD88DBA">
        <w:rPr>
          <w:b/>
          <w:bCs/>
          <w:lang w:val="en-US"/>
        </w:rPr>
        <w:t xml:space="preserve"> </w:t>
      </w:r>
    </w:p>
    <w:p w14:paraId="4118A9E8" w14:textId="77777777" w:rsidR="00487E58" w:rsidRPr="00487E58" w:rsidRDefault="00487E58" w:rsidP="00487E58">
      <w:pPr>
        <w:pBdr>
          <w:top w:val="single" w:sz="4" w:space="1" w:color="auto"/>
          <w:left w:val="single" w:sz="4" w:space="4" w:color="auto"/>
          <w:bottom w:val="single" w:sz="4" w:space="1" w:color="auto"/>
          <w:right w:val="single" w:sz="4" w:space="4" w:color="auto"/>
        </w:pBdr>
        <w:spacing w:after="0"/>
        <w:jc w:val="both"/>
        <w:rPr>
          <w:b/>
          <w:bCs/>
          <w:lang w:val="en-US"/>
        </w:rPr>
      </w:pPr>
      <w:r w:rsidRPr="00487E58">
        <w:rPr>
          <w:b/>
          <w:bCs/>
          <w:lang w:val="en-US"/>
        </w:rPr>
        <w:t>•</w:t>
      </w:r>
      <w:r w:rsidRPr="00487E58">
        <w:rPr>
          <w:b/>
          <w:bCs/>
          <w:lang w:val="en-US"/>
        </w:rPr>
        <w:tab/>
      </w:r>
      <w:bookmarkStart w:id="47" w:name="_Hlk188538765"/>
      <w:r w:rsidRPr="00487E58">
        <w:rPr>
          <w:b/>
          <w:bCs/>
          <w:lang w:val="en-US"/>
        </w:rPr>
        <w:t xml:space="preserve">Moorings and aids to navigation </w:t>
      </w:r>
    </w:p>
    <w:p w14:paraId="6A3AF7BB" w14:textId="77777777" w:rsidR="00487E58" w:rsidRPr="00487E58" w:rsidRDefault="00487E58" w:rsidP="00487E58">
      <w:pPr>
        <w:pBdr>
          <w:top w:val="single" w:sz="4" w:space="1" w:color="auto"/>
          <w:left w:val="single" w:sz="4" w:space="4" w:color="auto"/>
          <w:bottom w:val="single" w:sz="4" w:space="1" w:color="auto"/>
          <w:right w:val="single" w:sz="4" w:space="4" w:color="auto"/>
        </w:pBdr>
        <w:spacing w:after="0"/>
        <w:jc w:val="both"/>
        <w:rPr>
          <w:b/>
          <w:bCs/>
          <w:lang w:val="en-US"/>
        </w:rPr>
      </w:pPr>
      <w:r w:rsidRPr="00487E58">
        <w:rPr>
          <w:b/>
          <w:bCs/>
          <w:lang w:val="en-US"/>
        </w:rPr>
        <w:t>•</w:t>
      </w:r>
      <w:r w:rsidRPr="00487E58">
        <w:rPr>
          <w:b/>
          <w:bCs/>
          <w:lang w:val="en-US"/>
        </w:rPr>
        <w:tab/>
        <w:t xml:space="preserve">Pontoons </w:t>
      </w:r>
    </w:p>
    <w:p w14:paraId="733EA197" w14:textId="77777777" w:rsidR="00487E58" w:rsidRPr="00487E58" w:rsidRDefault="00487E58" w:rsidP="00487E58">
      <w:pPr>
        <w:pBdr>
          <w:top w:val="single" w:sz="4" w:space="1" w:color="auto"/>
          <w:left w:val="single" w:sz="4" w:space="4" w:color="auto"/>
          <w:bottom w:val="single" w:sz="4" w:space="1" w:color="auto"/>
          <w:right w:val="single" w:sz="4" w:space="4" w:color="auto"/>
        </w:pBdr>
        <w:spacing w:after="0"/>
        <w:jc w:val="both"/>
        <w:rPr>
          <w:b/>
          <w:bCs/>
          <w:lang w:val="en-US"/>
        </w:rPr>
      </w:pPr>
      <w:r w:rsidRPr="00487E58">
        <w:rPr>
          <w:b/>
          <w:bCs/>
          <w:lang w:val="en-US"/>
        </w:rPr>
        <w:t>•</w:t>
      </w:r>
      <w:r w:rsidRPr="00487E58">
        <w:rPr>
          <w:b/>
          <w:bCs/>
          <w:lang w:val="en-US"/>
        </w:rPr>
        <w:tab/>
        <w:t xml:space="preserve">Diver trails within restricted areas </w:t>
      </w:r>
    </w:p>
    <w:p w14:paraId="44CA03D5" w14:textId="77777777" w:rsidR="00487E58" w:rsidRPr="00487E58" w:rsidRDefault="00487E58" w:rsidP="00487E58">
      <w:pPr>
        <w:pBdr>
          <w:top w:val="single" w:sz="4" w:space="1" w:color="auto"/>
          <w:left w:val="single" w:sz="4" w:space="4" w:color="auto"/>
          <w:bottom w:val="single" w:sz="4" w:space="1" w:color="auto"/>
          <w:right w:val="single" w:sz="4" w:space="4" w:color="auto"/>
        </w:pBdr>
        <w:spacing w:after="0"/>
        <w:jc w:val="both"/>
        <w:rPr>
          <w:b/>
          <w:bCs/>
          <w:lang w:val="en-US"/>
        </w:rPr>
      </w:pPr>
      <w:r w:rsidRPr="00487E58">
        <w:rPr>
          <w:b/>
          <w:bCs/>
          <w:lang w:val="en-US"/>
        </w:rPr>
        <w:t>•</w:t>
      </w:r>
      <w:r w:rsidRPr="00487E58">
        <w:rPr>
          <w:b/>
          <w:bCs/>
          <w:lang w:val="en-US"/>
        </w:rPr>
        <w:tab/>
        <w:t>Maintenance of harbour works</w:t>
      </w:r>
    </w:p>
    <w:p w14:paraId="04A653CB" w14:textId="78DE56DD" w:rsidR="00487E58" w:rsidRPr="00487E58" w:rsidRDefault="00487E58" w:rsidP="00487E58">
      <w:pPr>
        <w:pBdr>
          <w:top w:val="single" w:sz="4" w:space="1" w:color="auto"/>
          <w:left w:val="single" w:sz="4" w:space="4" w:color="auto"/>
          <w:bottom w:val="single" w:sz="4" w:space="1" w:color="auto"/>
          <w:right w:val="single" w:sz="4" w:space="4" w:color="auto"/>
        </w:pBdr>
        <w:spacing w:after="0"/>
        <w:jc w:val="both"/>
        <w:rPr>
          <w:b/>
          <w:bCs/>
          <w:lang w:val="en-US"/>
        </w:rPr>
      </w:pPr>
      <w:r w:rsidRPr="00487E58">
        <w:rPr>
          <w:b/>
          <w:bCs/>
          <w:lang w:val="en-US"/>
        </w:rPr>
        <w:t>•</w:t>
      </w:r>
      <w:r w:rsidRPr="00487E58">
        <w:rPr>
          <w:b/>
          <w:bCs/>
          <w:lang w:val="en-US"/>
        </w:rPr>
        <w:tab/>
        <w:t xml:space="preserve">Maintenance of coastal protection, drainage and flood defence works </w:t>
      </w:r>
    </w:p>
    <w:p w14:paraId="047E6E7D" w14:textId="00D0C3E2" w:rsidR="00487E58" w:rsidRPr="00487E58" w:rsidRDefault="00487E58" w:rsidP="19E318FD">
      <w:pPr>
        <w:pBdr>
          <w:top w:val="single" w:sz="4" w:space="1" w:color="auto"/>
          <w:left w:val="single" w:sz="4" w:space="4" w:color="auto"/>
          <w:bottom w:val="single" w:sz="4" w:space="1" w:color="auto"/>
          <w:right w:val="single" w:sz="4" w:space="4" w:color="auto"/>
        </w:pBdr>
        <w:spacing w:after="0"/>
        <w:jc w:val="both"/>
        <w:rPr>
          <w:b/>
          <w:bCs/>
          <w:lang w:val="en-US"/>
        </w:rPr>
      </w:pPr>
      <w:r w:rsidRPr="19E318FD">
        <w:rPr>
          <w:b/>
          <w:bCs/>
          <w:lang w:val="en-US"/>
        </w:rPr>
        <w:t>•</w:t>
      </w:r>
      <w:r>
        <w:tab/>
      </w:r>
      <w:r w:rsidRPr="19E318FD">
        <w:rPr>
          <w:b/>
          <w:bCs/>
          <w:lang w:val="en-US"/>
        </w:rPr>
        <w:t xml:space="preserve">Shellfish </w:t>
      </w:r>
      <w:bookmarkEnd w:id="47"/>
      <w:r w:rsidRPr="19E318FD">
        <w:rPr>
          <w:b/>
          <w:bCs/>
          <w:lang w:val="en-US"/>
        </w:rPr>
        <w:t xml:space="preserve">propagation and cultivation  </w:t>
      </w:r>
    </w:p>
    <w:p w14:paraId="016173F3" w14:textId="41E619D0" w:rsidR="00487E58" w:rsidRPr="00487E58" w:rsidRDefault="00487E58" w:rsidP="00487E58">
      <w:pPr>
        <w:pBdr>
          <w:top w:val="single" w:sz="4" w:space="1" w:color="auto"/>
          <w:left w:val="single" w:sz="4" w:space="4" w:color="auto"/>
          <w:bottom w:val="single" w:sz="4" w:space="1" w:color="auto"/>
          <w:right w:val="single" w:sz="4" w:space="4" w:color="auto"/>
        </w:pBdr>
        <w:spacing w:after="0"/>
        <w:jc w:val="both"/>
        <w:rPr>
          <w:b/>
          <w:bCs/>
          <w:lang w:val="en-US"/>
        </w:rPr>
      </w:pPr>
      <w:r w:rsidRPr="00487E58">
        <w:rPr>
          <w:b/>
          <w:bCs/>
          <w:lang w:val="en-US"/>
        </w:rPr>
        <w:t>•</w:t>
      </w:r>
      <w:r w:rsidRPr="00487E58">
        <w:rPr>
          <w:b/>
          <w:bCs/>
          <w:lang w:val="en-US"/>
        </w:rPr>
        <w:tab/>
        <w:t xml:space="preserve">Deposits </w:t>
      </w:r>
      <w:proofErr w:type="gramStart"/>
      <w:r w:rsidRPr="00487E58">
        <w:rPr>
          <w:b/>
          <w:bCs/>
          <w:lang w:val="en-US"/>
        </w:rPr>
        <w:t>in the course of</w:t>
      </w:r>
      <w:proofErr w:type="gramEnd"/>
      <w:r w:rsidRPr="00487E58">
        <w:rPr>
          <w:b/>
          <w:bCs/>
          <w:lang w:val="en-US"/>
        </w:rPr>
        <w:t xml:space="preserve"> normal navigation or maintenance</w:t>
      </w:r>
    </w:p>
    <w:p w14:paraId="12A9F025" w14:textId="77777777" w:rsidR="00487E58" w:rsidRPr="00487E58" w:rsidRDefault="00487E58" w:rsidP="00487E58">
      <w:pPr>
        <w:pBdr>
          <w:top w:val="single" w:sz="4" w:space="1" w:color="auto"/>
          <w:left w:val="single" w:sz="4" w:space="4" w:color="auto"/>
          <w:bottom w:val="single" w:sz="4" w:space="1" w:color="auto"/>
          <w:right w:val="single" w:sz="4" w:space="4" w:color="auto"/>
        </w:pBdr>
        <w:spacing w:after="0"/>
        <w:jc w:val="both"/>
        <w:rPr>
          <w:b/>
          <w:bCs/>
          <w:lang w:val="en-US"/>
        </w:rPr>
      </w:pPr>
      <w:r w:rsidRPr="00487E58">
        <w:rPr>
          <w:b/>
          <w:bCs/>
          <w:lang w:val="en-US"/>
        </w:rPr>
        <w:t>•</w:t>
      </w:r>
      <w:r w:rsidRPr="00487E58">
        <w:rPr>
          <w:b/>
          <w:bCs/>
          <w:lang w:val="en-US"/>
        </w:rPr>
        <w:tab/>
        <w:t xml:space="preserve">Deposits of a substance arising from hull cleaning </w:t>
      </w:r>
    </w:p>
    <w:p w14:paraId="55E9904A" w14:textId="43E8A343" w:rsidR="00487E58" w:rsidRPr="00487E58" w:rsidRDefault="00487E58" w:rsidP="00487E58">
      <w:pPr>
        <w:pBdr>
          <w:top w:val="single" w:sz="4" w:space="1" w:color="auto"/>
          <w:left w:val="single" w:sz="4" w:space="4" w:color="auto"/>
          <w:bottom w:val="single" w:sz="4" w:space="1" w:color="auto"/>
          <w:right w:val="single" w:sz="4" w:space="4" w:color="auto"/>
        </w:pBdr>
        <w:spacing w:after="0"/>
        <w:jc w:val="both"/>
        <w:rPr>
          <w:b/>
          <w:bCs/>
          <w:lang w:val="en-US"/>
        </w:rPr>
      </w:pPr>
      <w:r w:rsidRPr="00487E58">
        <w:rPr>
          <w:b/>
          <w:bCs/>
          <w:lang w:val="en-US"/>
        </w:rPr>
        <w:t>•</w:t>
      </w:r>
      <w:r w:rsidRPr="00487E58">
        <w:rPr>
          <w:b/>
          <w:bCs/>
          <w:lang w:val="en-US"/>
        </w:rPr>
        <w:tab/>
        <w:t>Dismantling a ship</w:t>
      </w:r>
    </w:p>
    <w:p w14:paraId="39BAE6F2" w14:textId="4A4C83C0" w:rsidR="003D68DA" w:rsidRDefault="00487E58" w:rsidP="00C14BDA">
      <w:pPr>
        <w:pBdr>
          <w:top w:val="single" w:sz="4" w:space="1" w:color="auto"/>
          <w:left w:val="single" w:sz="4" w:space="4" w:color="auto"/>
          <w:bottom w:val="single" w:sz="4" w:space="1" w:color="auto"/>
          <w:right w:val="single" w:sz="4" w:space="4" w:color="auto"/>
        </w:pBdr>
        <w:jc w:val="both"/>
        <w:rPr>
          <w:b/>
          <w:bCs/>
          <w:lang w:val="en-US"/>
        </w:rPr>
      </w:pPr>
      <w:r w:rsidRPr="00487E58">
        <w:rPr>
          <w:b/>
          <w:bCs/>
          <w:lang w:val="en-US"/>
        </w:rPr>
        <w:t>•</w:t>
      </w:r>
      <w:r w:rsidRPr="00487E58">
        <w:rPr>
          <w:b/>
          <w:bCs/>
          <w:lang w:val="en-US"/>
        </w:rPr>
        <w:tab/>
        <w:t>None of the abov</w:t>
      </w:r>
      <w:r>
        <w:rPr>
          <w:b/>
          <w:bCs/>
          <w:lang w:val="en-US"/>
        </w:rPr>
        <w:t>e</w:t>
      </w:r>
    </w:p>
    <w:p w14:paraId="110FFD37" w14:textId="02A92D07" w:rsidR="006368BC" w:rsidRPr="00797031" w:rsidRDefault="008C1BA1" w:rsidP="00A342C9">
      <w:pPr>
        <w:pBdr>
          <w:top w:val="single" w:sz="4" w:space="1" w:color="auto"/>
          <w:left w:val="single" w:sz="4" w:space="4" w:color="auto"/>
          <w:bottom w:val="single" w:sz="4" w:space="1" w:color="auto"/>
          <w:right w:val="single" w:sz="4" w:space="4" w:color="auto"/>
        </w:pBdr>
        <w:spacing w:after="0"/>
        <w:jc w:val="both"/>
        <w:rPr>
          <w:b/>
          <w:lang w:val="en-US"/>
        </w:rPr>
      </w:pPr>
      <w:r w:rsidRPr="003A6F4F">
        <w:rPr>
          <w:b/>
          <w:lang w:val="en-US"/>
        </w:rPr>
        <w:t>Do you have any further comments you wish to make on this proposal</w:t>
      </w:r>
      <w:r w:rsidR="00DF30A5">
        <w:rPr>
          <w:b/>
          <w:lang w:val="en-US"/>
        </w:rPr>
        <w:t xml:space="preserve"> </w:t>
      </w:r>
      <w:r w:rsidR="00DF30A5" w:rsidRPr="00DF30A5">
        <w:rPr>
          <w:b/>
          <w:lang w:val="en-US"/>
        </w:rPr>
        <w:t xml:space="preserve">(including any evidence of </w:t>
      </w:r>
      <w:r w:rsidR="002F25B7">
        <w:rPr>
          <w:b/>
          <w:lang w:val="en-US"/>
        </w:rPr>
        <w:t xml:space="preserve">potential </w:t>
      </w:r>
      <w:r w:rsidR="00DF30A5" w:rsidRPr="00DF30A5">
        <w:rPr>
          <w:b/>
          <w:lang w:val="en-US"/>
        </w:rPr>
        <w:t>cost impacts)</w:t>
      </w:r>
      <w:r w:rsidRPr="003A6F4F">
        <w:rPr>
          <w:b/>
          <w:lang w:val="en-US"/>
        </w:rPr>
        <w:t xml:space="preserve">? </w:t>
      </w:r>
    </w:p>
    <w:p w14:paraId="224B622C" w14:textId="23F1D713" w:rsidR="004E31BC" w:rsidRPr="00B957AC" w:rsidRDefault="00B957AC" w:rsidP="00B957AC">
      <w:pPr>
        <w:pStyle w:val="Heading2"/>
      </w:pPr>
      <w:bookmarkStart w:id="48" w:name="_Toc200715781"/>
      <w:r w:rsidRPr="00B957AC">
        <w:t>F</w:t>
      </w:r>
      <w:r w:rsidR="004E31BC" w:rsidRPr="00B957AC">
        <w:t>urther changes to self-service activities or exemptions</w:t>
      </w:r>
      <w:bookmarkEnd w:id="48"/>
    </w:p>
    <w:p w14:paraId="4101FE30" w14:textId="01DD4431" w:rsidR="004E31BC" w:rsidRDefault="44BFE9F9" w:rsidP="004E31BC">
      <w:r>
        <w:t xml:space="preserve">The </w:t>
      </w:r>
      <w:r w:rsidR="00A70435">
        <w:t>g</w:t>
      </w:r>
      <w:r>
        <w:t xml:space="preserve">overnment is committed to accelerating economic growth and promoting nature’s recovery. The proposals in this consultation are designed to support delivery of these government priorities by ensuring efficient, proportionate regulation through marine licensing. </w:t>
      </w:r>
      <w:r w:rsidR="2E8CC937">
        <w:t>W</w:t>
      </w:r>
      <w:r>
        <w:t>e would like to continue to work with stakeholders to identify any further opportunities for improvements.</w:t>
      </w:r>
    </w:p>
    <w:p w14:paraId="048146DE" w14:textId="77777777" w:rsidR="004E31BC" w:rsidRDefault="004E31BC" w:rsidP="004E31BC">
      <w:r>
        <w:t xml:space="preserve">We would therefore welcome suggestions from stakeholders on any further changes to self-service activities or exemptions you would recommend </w:t>
      </w:r>
      <w:proofErr w:type="gramStart"/>
      <w:r>
        <w:t>to enable</w:t>
      </w:r>
      <w:proofErr w:type="gramEnd"/>
      <w:r>
        <w:t xml:space="preserve"> marine licensing to further support the government’s growth agenda and environmental priorities. Work would be needed to scope out and determine the full impacts of any suggestions.</w:t>
      </w:r>
    </w:p>
    <w:p w14:paraId="3E18B341" w14:textId="1CEBE886" w:rsidR="004E31BC" w:rsidRDefault="00745E7C" w:rsidP="00745E7C">
      <w:pPr>
        <w:pBdr>
          <w:top w:val="single" w:sz="4" w:space="1" w:color="000000"/>
          <w:left w:val="single" w:sz="4" w:space="4" w:color="000000"/>
          <w:bottom w:val="single" w:sz="4" w:space="1" w:color="000000"/>
          <w:right w:val="single" w:sz="4" w:space="4" w:color="000000"/>
        </w:pBdr>
        <w:spacing w:after="0" w:line="240" w:lineRule="auto"/>
        <w:jc w:val="both"/>
      </w:pPr>
      <w:r>
        <w:rPr>
          <w:b/>
          <w:bCs/>
          <w:lang w:val="en-US"/>
        </w:rPr>
        <w:t>1</w:t>
      </w:r>
      <w:r w:rsidR="00EC25FE">
        <w:rPr>
          <w:b/>
          <w:bCs/>
          <w:lang w:val="en-US"/>
        </w:rPr>
        <w:t>4</w:t>
      </w:r>
      <w:r w:rsidR="004E31BC" w:rsidRPr="5EBE98B7">
        <w:rPr>
          <w:b/>
          <w:bCs/>
          <w:lang w:val="en-US"/>
        </w:rPr>
        <w:t>. Are there further changes to self-service activities or exemptions that you would recommend?</w:t>
      </w:r>
    </w:p>
    <w:p w14:paraId="1B4545E9" w14:textId="09E3E173" w:rsidR="000079B7" w:rsidRDefault="000079B7" w:rsidP="000079B7">
      <w:pPr>
        <w:pStyle w:val="Heading1"/>
      </w:pPr>
      <w:bookmarkStart w:id="49" w:name="_Toc856997654"/>
      <w:bookmarkStart w:id="50" w:name="_Toc200715782"/>
      <w:r>
        <w:lastRenderedPageBreak/>
        <w:t xml:space="preserve">Marine </w:t>
      </w:r>
      <w:r w:rsidR="00B17662">
        <w:t>l</w:t>
      </w:r>
      <w:r>
        <w:t xml:space="preserve">icensing </w:t>
      </w:r>
      <w:r w:rsidR="00B17662">
        <w:t>c</w:t>
      </w:r>
      <w:r>
        <w:t xml:space="preserve">ost </w:t>
      </w:r>
      <w:r w:rsidR="00B17662">
        <w:t>r</w:t>
      </w:r>
      <w:r>
        <w:t>ecovery</w:t>
      </w:r>
      <w:bookmarkEnd w:id="49"/>
      <w:bookmarkEnd w:id="50"/>
    </w:p>
    <w:p w14:paraId="7377C2FE" w14:textId="5ED42519" w:rsidR="00487E58" w:rsidRDefault="1A6E0728" w:rsidP="00487E58">
      <w:pPr>
        <w:jc w:val="both"/>
      </w:pPr>
      <w:r>
        <w:t>The</w:t>
      </w:r>
      <w:r w:rsidR="000079B7">
        <w:t xml:space="preserve"> </w:t>
      </w:r>
      <w:r w:rsidR="62D10885">
        <w:t xml:space="preserve">UK </w:t>
      </w:r>
      <w:r w:rsidR="012041C6">
        <w:t>G</w:t>
      </w:r>
      <w:r w:rsidR="000079B7">
        <w:t>overnment wishes to drive quality, timeliness, and value for money in regulatory services. Developers in particular wish to see greater efficiencies in the services being provided, and accountability for the costs that those entail.</w:t>
      </w:r>
    </w:p>
    <w:p w14:paraId="7529B3EA" w14:textId="34417D59" w:rsidR="000079B7" w:rsidRPr="00666FD7" w:rsidRDefault="000079B7" w:rsidP="000079B7">
      <w:pPr>
        <w:jc w:val="both"/>
      </w:pPr>
      <w:r>
        <w:t xml:space="preserve">The consultation seeks views in respect of proposals to update fee rates for marine licensing services, increasing the marine licence fee cost recovery rate for some services which are currently undervalued. The intended outcome of the intervention is to reduce the reliance on </w:t>
      </w:r>
      <w:r w:rsidR="00D530DE">
        <w:t>GiA</w:t>
      </w:r>
      <w:r>
        <w:t xml:space="preserve"> funding the assessment of marine developments, in line with the polluter pays principle. </w:t>
      </w:r>
      <w:r w:rsidRPr="00D6351E">
        <w:t>The Marine Licensing (Application Fees) Regulations 2014</w:t>
      </w:r>
      <w:r>
        <w:rPr>
          <w:rStyle w:val="FootnoteReference"/>
        </w:rPr>
        <w:footnoteReference w:id="16"/>
      </w:r>
      <w:r w:rsidRPr="00D94CAB">
        <w:t xml:space="preserve"> would be amended to incorporate the revised fees for both licence applications and post-consent work</w:t>
      </w:r>
      <w:r>
        <w:t>.</w:t>
      </w:r>
    </w:p>
    <w:p w14:paraId="1EABABB5" w14:textId="7AD79658" w:rsidR="000079B7" w:rsidRPr="00666FD7" w:rsidRDefault="000079B7" w:rsidP="00B957AC">
      <w:pPr>
        <w:pStyle w:val="Heading2"/>
      </w:pPr>
      <w:bookmarkStart w:id="51" w:name="_Toc719653365"/>
      <w:bookmarkStart w:id="52" w:name="_Toc200715783"/>
      <w:r>
        <w:t xml:space="preserve">Current </w:t>
      </w:r>
      <w:r w:rsidR="00B17662">
        <w:t>m</w:t>
      </w:r>
      <w:r>
        <w:t xml:space="preserve">arine </w:t>
      </w:r>
      <w:r w:rsidR="00B17662">
        <w:t>l</w:t>
      </w:r>
      <w:r>
        <w:t xml:space="preserve">icensing </w:t>
      </w:r>
      <w:r w:rsidR="00B17662">
        <w:t>f</w:t>
      </w:r>
      <w:r>
        <w:t xml:space="preserve">ee </w:t>
      </w:r>
      <w:r w:rsidR="00B17662">
        <w:t>s</w:t>
      </w:r>
      <w:r>
        <w:t>tructure</w:t>
      </w:r>
      <w:bookmarkEnd w:id="51"/>
      <w:bookmarkEnd w:id="52"/>
    </w:p>
    <w:p w14:paraId="73EBBC16" w14:textId="77777777" w:rsidR="000079B7" w:rsidRPr="00666FD7" w:rsidRDefault="000079B7" w:rsidP="000079B7">
      <w:pPr>
        <w:jc w:val="both"/>
      </w:pPr>
      <w:r>
        <w:t>The current fees regime for m</w:t>
      </w:r>
      <w:r w:rsidRPr="00666FD7">
        <w:t>arine licence applications</w:t>
      </w:r>
      <w:r>
        <w:t xml:space="preserve">, where the Secretary of State is the appropriate licensing authority, is </w:t>
      </w:r>
      <w:r w:rsidRPr="00666FD7">
        <w:t xml:space="preserve">set out in </w:t>
      </w:r>
      <w:r>
        <w:t>t</w:t>
      </w:r>
      <w:r w:rsidRPr="00666FD7">
        <w:t>he Marine Licensing (Application Fees) Regulations 2014</w:t>
      </w:r>
      <w:r>
        <w:t>. Fees for marine licence transfers, monitoring and variations where the Secretary of State is the appropriate licensing authority (other than certain petroleum or energy licences) (“post-consent fees”) are set out in the Public Bodies (Marine Management Organisation Fees) Order 2014</w:t>
      </w:r>
      <w:r>
        <w:rPr>
          <w:rStyle w:val="FootnoteReference"/>
        </w:rPr>
        <w:footnoteReference w:id="17"/>
      </w:r>
      <w:r>
        <w:t>. Licence applications are assessed and categorised into fee bands as follows:</w:t>
      </w:r>
    </w:p>
    <w:p w14:paraId="66888933" w14:textId="77777777" w:rsidR="000079B7" w:rsidRDefault="000079B7" w:rsidP="000079B7">
      <w:pPr>
        <w:numPr>
          <w:ilvl w:val="0"/>
          <w:numId w:val="15"/>
        </w:numPr>
        <w:jc w:val="both"/>
      </w:pPr>
      <w:hyperlink r:id="rId44" w:anchor="self-service">
        <w:r w:rsidRPr="00666FD7">
          <w:rPr>
            <w:rStyle w:val="Hyperlink"/>
          </w:rPr>
          <w:t>Band 1</w:t>
        </w:r>
      </w:hyperlink>
      <w:r w:rsidRPr="00666FD7">
        <w:t xml:space="preserve"> (Self-service): </w:t>
      </w:r>
      <w:r>
        <w:t xml:space="preserve"> </w:t>
      </w:r>
    </w:p>
    <w:p w14:paraId="388936B2" w14:textId="01A38C16" w:rsidR="000079B7" w:rsidRPr="00666FD7" w:rsidRDefault="000079B7" w:rsidP="000079B7">
      <w:pPr>
        <w:jc w:val="both"/>
      </w:pPr>
      <w:r w:rsidRPr="00666FD7">
        <w:t xml:space="preserve">A self-service marine licence costs </w:t>
      </w:r>
      <w:r>
        <w:t xml:space="preserve">a fixed fee of </w:t>
      </w:r>
      <w:r w:rsidRPr="00666FD7">
        <w:t>£50</w:t>
      </w:r>
      <w:r>
        <w:t xml:space="preserve"> and is determined through the online self-service portal without the need for determination from a marine licensing case officer</w:t>
      </w:r>
      <w:r w:rsidRPr="00666FD7">
        <w:t> </w:t>
      </w:r>
    </w:p>
    <w:p w14:paraId="18D49427" w14:textId="77777777" w:rsidR="000079B7" w:rsidRPr="00666FD7" w:rsidRDefault="000079B7" w:rsidP="000079B7">
      <w:pPr>
        <w:numPr>
          <w:ilvl w:val="0"/>
          <w:numId w:val="15"/>
        </w:numPr>
        <w:jc w:val="both"/>
        <w:rPr>
          <w:b/>
          <w:bCs/>
        </w:rPr>
      </w:pPr>
      <w:hyperlink r:id="rId45" w:anchor="band-2" w:history="1">
        <w:r w:rsidRPr="00666FD7">
          <w:rPr>
            <w:rStyle w:val="Hyperlink"/>
          </w:rPr>
          <w:t>Band 2</w:t>
        </w:r>
      </w:hyperlink>
      <w:r>
        <w:t xml:space="preserve"> (Standard marine licence)</w:t>
      </w:r>
      <w:r w:rsidRPr="00666FD7">
        <w:t xml:space="preserve">: </w:t>
      </w:r>
    </w:p>
    <w:p w14:paraId="5153223C" w14:textId="622A843A" w:rsidR="005D6BD7" w:rsidRDefault="000079B7" w:rsidP="000079B7">
      <w:pPr>
        <w:jc w:val="both"/>
      </w:pPr>
      <w:r w:rsidRPr="00666FD7">
        <w:t xml:space="preserve">Band 2 </w:t>
      </w:r>
      <w:r>
        <w:t xml:space="preserve">marine </w:t>
      </w:r>
      <w:r w:rsidRPr="00666FD7">
        <w:t>licence fees are</w:t>
      </w:r>
      <w:r>
        <w:t xml:space="preserve"> currently</w:t>
      </w:r>
      <w:r w:rsidRPr="00666FD7">
        <w:t xml:space="preserve"> set </w:t>
      </w:r>
      <w:r>
        <w:t>by reference to</w:t>
      </w:r>
      <w:r w:rsidRPr="00666FD7">
        <w:t xml:space="preserve"> the overall cos</w:t>
      </w:r>
      <w:r>
        <w:t>t</w:t>
      </w:r>
      <w:r w:rsidRPr="00666FD7">
        <w:t xml:space="preserve"> of a desired project. </w:t>
      </w:r>
      <w:r>
        <w:t>The current f</w:t>
      </w:r>
      <w:r w:rsidRPr="00BC45BE">
        <w:t xml:space="preserve">ee </w:t>
      </w:r>
      <w:r>
        <w:t>s</w:t>
      </w:r>
      <w:r w:rsidRPr="00BC45BE">
        <w:t xml:space="preserve">tructure for </w:t>
      </w:r>
      <w:r>
        <w:t>band 2</w:t>
      </w:r>
      <w:r w:rsidRPr="00BC45BE">
        <w:t xml:space="preserve"> </w:t>
      </w:r>
      <w:r>
        <w:t>m</w:t>
      </w:r>
      <w:r w:rsidRPr="00BC45BE">
        <w:t>arine licen</w:t>
      </w:r>
      <w:r>
        <w:t>c</w:t>
      </w:r>
      <w:r w:rsidRPr="00BC45BE">
        <w:t>es</w:t>
      </w:r>
      <w:r>
        <w:t xml:space="preserve"> is listed in the table below</w:t>
      </w:r>
      <w:r w:rsidRPr="00BC45BE">
        <w:t>:</w:t>
      </w:r>
    </w:p>
    <w:p w14:paraId="3C9A3B47" w14:textId="77777777" w:rsidR="00675BC2" w:rsidRDefault="00675BC2" w:rsidP="000079B7">
      <w:pPr>
        <w:jc w:val="both"/>
      </w:pPr>
    </w:p>
    <w:p w14:paraId="62C0EE24" w14:textId="77777777" w:rsidR="00675BC2" w:rsidRPr="005C681B" w:rsidRDefault="00675BC2" w:rsidP="000079B7">
      <w:pPr>
        <w:jc w:val="both"/>
      </w:pPr>
    </w:p>
    <w:tbl>
      <w:tblPr>
        <w:tblW w:w="0" w:type="auto"/>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Look w:val="04A0" w:firstRow="1" w:lastRow="0" w:firstColumn="1" w:lastColumn="0" w:noHBand="0" w:noVBand="1"/>
      </w:tblPr>
      <w:tblGrid>
        <w:gridCol w:w="1039"/>
        <w:gridCol w:w="1777"/>
        <w:gridCol w:w="1310"/>
        <w:gridCol w:w="1516"/>
        <w:gridCol w:w="3979"/>
      </w:tblGrid>
      <w:tr w:rsidR="002621D5" w:rsidRPr="00666FD7" w14:paraId="37F22062" w14:textId="77777777" w:rsidTr="00C7021B">
        <w:trPr>
          <w:trHeight w:val="997"/>
        </w:trPr>
        <w:tc>
          <w:tcPr>
            <w:tcW w:w="0" w:type="auto"/>
            <w:tcBorders>
              <w:top w:val="single" w:sz="4" w:space="0" w:color="auto"/>
              <w:left w:val="single" w:sz="4" w:space="0" w:color="auto"/>
              <w:bottom w:val="single" w:sz="4" w:space="0" w:color="auto"/>
              <w:right w:val="single" w:sz="4" w:space="0" w:color="auto"/>
            </w:tcBorders>
            <w:shd w:val="clear" w:color="auto" w:fill="008938"/>
            <w:hideMark/>
          </w:tcPr>
          <w:p w14:paraId="4097072F" w14:textId="77777777" w:rsidR="000079B7" w:rsidRPr="00C7021B" w:rsidRDefault="00E00080" w:rsidP="002856C1">
            <w:pPr>
              <w:rPr>
                <w:rFonts w:eastAsia="Calibri"/>
                <w:b/>
                <w:bCs/>
                <w:color w:val="FFFFFF"/>
              </w:rPr>
            </w:pPr>
            <w:r w:rsidRPr="00C7021B">
              <w:rPr>
                <w:rFonts w:eastAsia="Calibri"/>
                <w:b/>
                <w:bCs/>
                <w:color w:val="FFFFFF"/>
              </w:rPr>
              <w:lastRenderedPageBreak/>
              <w:t xml:space="preserve">Fee </w:t>
            </w:r>
            <w:r w:rsidR="000079B7" w:rsidRPr="00C7021B">
              <w:rPr>
                <w:rFonts w:eastAsia="Calibri"/>
                <w:b/>
                <w:bCs/>
                <w:color w:val="FFFFFF"/>
              </w:rPr>
              <w:t>Band</w:t>
            </w:r>
          </w:p>
        </w:tc>
        <w:tc>
          <w:tcPr>
            <w:tcW w:w="0" w:type="auto"/>
            <w:tcBorders>
              <w:top w:val="single" w:sz="4" w:space="0" w:color="auto"/>
              <w:left w:val="single" w:sz="4" w:space="0" w:color="auto"/>
              <w:bottom w:val="single" w:sz="4" w:space="0" w:color="auto"/>
              <w:right w:val="single" w:sz="4" w:space="0" w:color="auto"/>
            </w:tcBorders>
            <w:shd w:val="clear" w:color="auto" w:fill="008938"/>
            <w:hideMark/>
          </w:tcPr>
          <w:p w14:paraId="26238A63" w14:textId="77777777" w:rsidR="000079B7" w:rsidRPr="00C7021B" w:rsidRDefault="000079B7" w:rsidP="002856C1">
            <w:pPr>
              <w:rPr>
                <w:rFonts w:eastAsia="Calibri"/>
                <w:b/>
                <w:bCs/>
                <w:color w:val="FFFFFF"/>
              </w:rPr>
            </w:pPr>
            <w:r w:rsidRPr="00C7021B">
              <w:rPr>
                <w:rFonts w:eastAsia="Calibri"/>
                <w:b/>
                <w:bCs/>
                <w:color w:val="FFFFFF"/>
              </w:rPr>
              <w:t>Project cost</w:t>
            </w:r>
          </w:p>
        </w:tc>
        <w:tc>
          <w:tcPr>
            <w:tcW w:w="0" w:type="auto"/>
            <w:tcBorders>
              <w:top w:val="single" w:sz="4" w:space="0" w:color="auto"/>
              <w:left w:val="single" w:sz="4" w:space="0" w:color="auto"/>
              <w:bottom w:val="single" w:sz="4" w:space="0" w:color="auto"/>
              <w:right w:val="single" w:sz="4" w:space="0" w:color="auto"/>
            </w:tcBorders>
            <w:shd w:val="clear" w:color="auto" w:fill="008938"/>
            <w:hideMark/>
          </w:tcPr>
          <w:p w14:paraId="236902E2" w14:textId="77777777" w:rsidR="000079B7" w:rsidRPr="00C7021B" w:rsidRDefault="000079B7" w:rsidP="002856C1">
            <w:pPr>
              <w:rPr>
                <w:rFonts w:eastAsia="Calibri"/>
                <w:b/>
                <w:bCs/>
                <w:color w:val="FFFFFF"/>
              </w:rPr>
            </w:pPr>
            <w:r w:rsidRPr="00C7021B">
              <w:rPr>
                <w:rFonts w:eastAsia="Calibri"/>
                <w:b/>
                <w:bCs/>
                <w:color w:val="FFFFFF"/>
              </w:rPr>
              <w:t>MMO rate</w:t>
            </w:r>
          </w:p>
        </w:tc>
        <w:tc>
          <w:tcPr>
            <w:tcW w:w="0" w:type="auto"/>
            <w:tcBorders>
              <w:top w:val="single" w:sz="4" w:space="0" w:color="auto"/>
              <w:left w:val="single" w:sz="4" w:space="0" w:color="auto"/>
              <w:bottom w:val="single" w:sz="4" w:space="0" w:color="auto"/>
              <w:right w:val="single" w:sz="4" w:space="0" w:color="auto"/>
            </w:tcBorders>
            <w:shd w:val="clear" w:color="auto" w:fill="008938"/>
            <w:hideMark/>
          </w:tcPr>
          <w:p w14:paraId="3C8CB397" w14:textId="77777777" w:rsidR="000079B7" w:rsidRPr="00C7021B" w:rsidRDefault="000079B7" w:rsidP="002856C1">
            <w:pPr>
              <w:rPr>
                <w:rFonts w:eastAsia="Calibri"/>
                <w:b/>
                <w:bCs/>
                <w:color w:val="FFFFFF"/>
              </w:rPr>
            </w:pPr>
            <w:r w:rsidRPr="00C7021B">
              <w:rPr>
                <w:rFonts w:eastAsia="Calibri"/>
                <w:b/>
                <w:bCs/>
                <w:color w:val="FFFFFF"/>
              </w:rPr>
              <w:t>Maximum fee</w:t>
            </w:r>
          </w:p>
        </w:tc>
        <w:tc>
          <w:tcPr>
            <w:tcW w:w="0" w:type="auto"/>
            <w:tcBorders>
              <w:top w:val="single" w:sz="4" w:space="0" w:color="auto"/>
              <w:left w:val="single" w:sz="4" w:space="0" w:color="auto"/>
              <w:bottom w:val="single" w:sz="4" w:space="0" w:color="auto"/>
              <w:right w:val="single" w:sz="4" w:space="0" w:color="auto"/>
            </w:tcBorders>
            <w:shd w:val="clear" w:color="auto" w:fill="008938"/>
            <w:hideMark/>
          </w:tcPr>
          <w:p w14:paraId="1A8FF419" w14:textId="77777777" w:rsidR="000079B7" w:rsidRPr="00C7021B" w:rsidRDefault="000079B7" w:rsidP="002856C1">
            <w:pPr>
              <w:rPr>
                <w:rFonts w:eastAsia="Calibri"/>
                <w:b/>
                <w:bCs/>
                <w:color w:val="FFFFFF"/>
              </w:rPr>
            </w:pPr>
            <w:r w:rsidRPr="00C7021B">
              <w:rPr>
                <w:rFonts w:eastAsia="Calibri"/>
                <w:b/>
                <w:bCs/>
                <w:color w:val="FFFFFF"/>
              </w:rPr>
              <w:t>Payment Terms</w:t>
            </w:r>
          </w:p>
        </w:tc>
      </w:tr>
      <w:tr w:rsidR="002621D5" w:rsidRPr="00666FD7" w14:paraId="4F132924" w14:textId="77777777" w:rsidTr="00C7021B">
        <w:trPr>
          <w:trHeight w:val="1330"/>
        </w:trPr>
        <w:tc>
          <w:tcPr>
            <w:tcW w:w="0" w:type="auto"/>
            <w:tcBorders>
              <w:top w:val="single" w:sz="4" w:space="0" w:color="auto"/>
            </w:tcBorders>
            <w:shd w:val="clear" w:color="auto" w:fill="CBE9D3"/>
            <w:hideMark/>
          </w:tcPr>
          <w:p w14:paraId="072F2CC5" w14:textId="77777777" w:rsidR="000079B7" w:rsidRPr="00C7021B" w:rsidRDefault="000079B7" w:rsidP="002856C1">
            <w:pPr>
              <w:rPr>
                <w:rFonts w:eastAsia="Calibri"/>
              </w:rPr>
            </w:pPr>
            <w:r w:rsidRPr="00C7021B">
              <w:rPr>
                <w:rFonts w:eastAsia="Calibri"/>
              </w:rPr>
              <w:t>Band 2a</w:t>
            </w:r>
          </w:p>
        </w:tc>
        <w:tc>
          <w:tcPr>
            <w:tcW w:w="0" w:type="auto"/>
            <w:tcBorders>
              <w:top w:val="single" w:sz="4" w:space="0" w:color="auto"/>
            </w:tcBorders>
            <w:shd w:val="clear" w:color="auto" w:fill="FFFFFF"/>
            <w:hideMark/>
          </w:tcPr>
          <w:p w14:paraId="7A75E5FD" w14:textId="77777777" w:rsidR="000079B7" w:rsidRPr="00C7021B" w:rsidRDefault="000079B7" w:rsidP="002856C1">
            <w:pPr>
              <w:rPr>
                <w:rFonts w:eastAsia="Calibri"/>
              </w:rPr>
            </w:pPr>
            <w:r w:rsidRPr="00C7021B">
              <w:rPr>
                <w:rFonts w:eastAsia="Calibri"/>
              </w:rPr>
              <w:t>£0 to £49,999</w:t>
            </w:r>
          </w:p>
        </w:tc>
        <w:tc>
          <w:tcPr>
            <w:tcW w:w="0" w:type="auto"/>
            <w:tcBorders>
              <w:top w:val="single" w:sz="4" w:space="0" w:color="auto"/>
            </w:tcBorders>
            <w:shd w:val="clear" w:color="auto" w:fill="FFFFFF"/>
            <w:hideMark/>
          </w:tcPr>
          <w:p w14:paraId="343D9E14" w14:textId="77777777" w:rsidR="000079B7" w:rsidRPr="00C7021B" w:rsidRDefault="000079B7" w:rsidP="002856C1">
            <w:pPr>
              <w:rPr>
                <w:rFonts w:eastAsia="Calibri"/>
              </w:rPr>
            </w:pPr>
            <w:r w:rsidRPr="00C7021B">
              <w:rPr>
                <w:rFonts w:eastAsia="Calibri"/>
              </w:rPr>
              <w:t>£122</w:t>
            </w:r>
          </w:p>
          <w:p w14:paraId="593D8247" w14:textId="77777777" w:rsidR="000079B7" w:rsidRPr="00C7021B" w:rsidRDefault="000079B7" w:rsidP="002856C1">
            <w:pPr>
              <w:rPr>
                <w:rFonts w:eastAsia="Calibri"/>
              </w:rPr>
            </w:pPr>
            <w:r w:rsidRPr="00C7021B">
              <w:rPr>
                <w:rFonts w:eastAsia="Calibri"/>
              </w:rPr>
              <w:t>per hour</w:t>
            </w:r>
          </w:p>
        </w:tc>
        <w:tc>
          <w:tcPr>
            <w:tcW w:w="0" w:type="auto"/>
            <w:tcBorders>
              <w:top w:val="single" w:sz="4" w:space="0" w:color="auto"/>
            </w:tcBorders>
            <w:shd w:val="clear" w:color="auto" w:fill="FFFFFF"/>
            <w:hideMark/>
          </w:tcPr>
          <w:p w14:paraId="712A0B3C" w14:textId="77777777" w:rsidR="000079B7" w:rsidRPr="00C7021B" w:rsidRDefault="000079B7" w:rsidP="002856C1">
            <w:pPr>
              <w:rPr>
                <w:rFonts w:eastAsia="Calibri"/>
              </w:rPr>
            </w:pPr>
            <w:r w:rsidRPr="00C7021B">
              <w:rPr>
                <w:rFonts w:eastAsia="Calibri"/>
              </w:rPr>
              <w:t>£1,400</w:t>
            </w:r>
          </w:p>
        </w:tc>
        <w:tc>
          <w:tcPr>
            <w:tcW w:w="0" w:type="auto"/>
            <w:tcBorders>
              <w:top w:val="single" w:sz="4" w:space="0" w:color="auto"/>
            </w:tcBorders>
            <w:shd w:val="clear" w:color="auto" w:fill="FFFFFF"/>
            <w:hideMark/>
          </w:tcPr>
          <w:p w14:paraId="4D0B28A8" w14:textId="77777777" w:rsidR="000079B7" w:rsidRPr="00C7021B" w:rsidRDefault="000079B7" w:rsidP="002856C1">
            <w:pPr>
              <w:rPr>
                <w:rFonts w:eastAsia="Calibri"/>
              </w:rPr>
            </w:pPr>
            <w:r w:rsidRPr="00C7021B">
              <w:rPr>
                <w:rFonts w:eastAsia="Calibri"/>
              </w:rPr>
              <w:t>Fees payable in full in arrears of determination of application</w:t>
            </w:r>
          </w:p>
        </w:tc>
      </w:tr>
      <w:tr w:rsidR="002621D5" w:rsidRPr="00666FD7" w14:paraId="2B69802B" w14:textId="77777777" w:rsidTr="00C7021B">
        <w:trPr>
          <w:trHeight w:val="1315"/>
        </w:trPr>
        <w:tc>
          <w:tcPr>
            <w:tcW w:w="0" w:type="auto"/>
            <w:shd w:val="clear" w:color="auto" w:fill="CBE9D3"/>
            <w:hideMark/>
          </w:tcPr>
          <w:p w14:paraId="2027BD82" w14:textId="77777777" w:rsidR="000079B7" w:rsidRPr="00C7021B" w:rsidRDefault="000079B7" w:rsidP="002856C1">
            <w:pPr>
              <w:rPr>
                <w:rFonts w:eastAsia="Calibri"/>
              </w:rPr>
            </w:pPr>
            <w:r w:rsidRPr="00C7021B">
              <w:rPr>
                <w:rFonts w:eastAsia="Calibri"/>
              </w:rPr>
              <w:t>Band 2b</w:t>
            </w:r>
          </w:p>
        </w:tc>
        <w:tc>
          <w:tcPr>
            <w:tcW w:w="0" w:type="auto"/>
            <w:shd w:val="clear" w:color="auto" w:fill="FFFFFF"/>
            <w:hideMark/>
          </w:tcPr>
          <w:p w14:paraId="556F96F5" w14:textId="77777777" w:rsidR="000079B7" w:rsidRPr="00C7021B" w:rsidRDefault="000079B7" w:rsidP="002856C1">
            <w:pPr>
              <w:rPr>
                <w:rFonts w:eastAsia="Calibri"/>
              </w:rPr>
            </w:pPr>
            <w:r w:rsidRPr="00C7021B">
              <w:rPr>
                <w:rFonts w:eastAsia="Calibri"/>
              </w:rPr>
              <w:t>£50,000 to £999,999</w:t>
            </w:r>
          </w:p>
        </w:tc>
        <w:tc>
          <w:tcPr>
            <w:tcW w:w="0" w:type="auto"/>
            <w:shd w:val="clear" w:color="auto" w:fill="FFFFFF"/>
            <w:hideMark/>
          </w:tcPr>
          <w:p w14:paraId="4211170E" w14:textId="77777777" w:rsidR="000079B7" w:rsidRPr="00C7021B" w:rsidRDefault="000079B7" w:rsidP="002856C1">
            <w:pPr>
              <w:rPr>
                <w:rFonts w:eastAsia="Calibri"/>
              </w:rPr>
            </w:pPr>
            <w:r w:rsidRPr="00C7021B">
              <w:rPr>
                <w:rFonts w:eastAsia="Calibri"/>
              </w:rPr>
              <w:t xml:space="preserve">£122 </w:t>
            </w:r>
          </w:p>
          <w:p w14:paraId="489FBA8C" w14:textId="77777777" w:rsidR="000079B7" w:rsidRPr="00C7021B" w:rsidRDefault="000079B7" w:rsidP="002856C1">
            <w:pPr>
              <w:rPr>
                <w:rFonts w:eastAsia="Calibri"/>
              </w:rPr>
            </w:pPr>
            <w:r w:rsidRPr="00C7021B">
              <w:rPr>
                <w:rFonts w:eastAsia="Calibri"/>
              </w:rPr>
              <w:t>per hour</w:t>
            </w:r>
          </w:p>
        </w:tc>
        <w:tc>
          <w:tcPr>
            <w:tcW w:w="0" w:type="auto"/>
            <w:shd w:val="clear" w:color="auto" w:fill="FFFFFF"/>
            <w:hideMark/>
          </w:tcPr>
          <w:p w14:paraId="6CFC14DD" w14:textId="77777777" w:rsidR="000079B7" w:rsidRPr="00C7021B" w:rsidRDefault="000079B7" w:rsidP="002856C1">
            <w:pPr>
              <w:rPr>
                <w:rFonts w:eastAsia="Calibri"/>
              </w:rPr>
            </w:pPr>
            <w:r w:rsidRPr="00C7021B">
              <w:rPr>
                <w:rFonts w:eastAsia="Calibri"/>
              </w:rPr>
              <w:t>£2,200</w:t>
            </w:r>
          </w:p>
        </w:tc>
        <w:tc>
          <w:tcPr>
            <w:tcW w:w="0" w:type="auto"/>
            <w:shd w:val="clear" w:color="auto" w:fill="FFFFFF"/>
            <w:hideMark/>
          </w:tcPr>
          <w:p w14:paraId="246C74E1" w14:textId="77777777" w:rsidR="000079B7" w:rsidRPr="00C7021B" w:rsidRDefault="000079B7" w:rsidP="002856C1">
            <w:pPr>
              <w:rPr>
                <w:rFonts w:eastAsia="Calibri"/>
              </w:rPr>
            </w:pPr>
            <w:r w:rsidRPr="00C7021B">
              <w:rPr>
                <w:rFonts w:eastAsia="Calibri"/>
              </w:rPr>
              <w:t>Fees payable in full in arrears of determination of application</w:t>
            </w:r>
          </w:p>
        </w:tc>
      </w:tr>
    </w:tbl>
    <w:p w14:paraId="0CFC43D9" w14:textId="77777777" w:rsidR="000079B7" w:rsidRPr="00666FD7" w:rsidRDefault="000079B7" w:rsidP="00076CC9">
      <w:pPr>
        <w:spacing w:before="0"/>
        <w:rPr>
          <w:i/>
          <w:iCs/>
        </w:rPr>
      </w:pPr>
      <w:r w:rsidRPr="00666FD7">
        <w:rPr>
          <w:i/>
          <w:iCs/>
        </w:rPr>
        <w:t xml:space="preserve">Table </w:t>
      </w:r>
      <w:r w:rsidRPr="00666FD7">
        <w:rPr>
          <w:i/>
          <w:iCs/>
        </w:rPr>
        <w:fldChar w:fldCharType="begin"/>
      </w:r>
      <w:r w:rsidRPr="00666FD7">
        <w:rPr>
          <w:i/>
          <w:iCs/>
        </w:rPr>
        <w:instrText>SEQ Table \* ARABIC</w:instrText>
      </w:r>
      <w:r w:rsidRPr="00666FD7">
        <w:rPr>
          <w:i/>
          <w:iCs/>
        </w:rPr>
        <w:fldChar w:fldCharType="separate"/>
      </w:r>
      <w:r w:rsidRPr="00666FD7">
        <w:rPr>
          <w:i/>
          <w:iCs/>
        </w:rPr>
        <w:t>1</w:t>
      </w:r>
      <w:r w:rsidRPr="00666FD7">
        <w:fldChar w:fldCharType="end"/>
      </w:r>
      <w:r w:rsidRPr="00666FD7">
        <w:rPr>
          <w:i/>
          <w:iCs/>
          <w:vertAlign w:val="superscript"/>
        </w:rPr>
        <w:footnoteReference w:id="18"/>
      </w:r>
    </w:p>
    <w:p w14:paraId="328A90AE" w14:textId="77777777" w:rsidR="000079B7" w:rsidRDefault="000079B7" w:rsidP="000079B7">
      <w:pPr>
        <w:numPr>
          <w:ilvl w:val="0"/>
          <w:numId w:val="15"/>
        </w:numPr>
      </w:pPr>
      <w:hyperlink r:id="rId46" w:anchor="band-3" w:history="1">
        <w:r w:rsidRPr="00666FD7">
          <w:rPr>
            <w:rStyle w:val="Hyperlink"/>
          </w:rPr>
          <w:t>Band 3</w:t>
        </w:r>
      </w:hyperlink>
      <w:r>
        <w:t xml:space="preserve"> (Complex marine licence)</w:t>
      </w:r>
      <w:r w:rsidRPr="00666FD7">
        <w:t xml:space="preserve">: </w:t>
      </w:r>
    </w:p>
    <w:p w14:paraId="5805475D" w14:textId="770A6B8D" w:rsidR="000079B7" w:rsidRDefault="000079B7" w:rsidP="000079B7">
      <w:pPr>
        <w:spacing w:after="0"/>
        <w:ind w:left="720"/>
      </w:pPr>
      <w:r w:rsidRPr="00666FD7">
        <w:t xml:space="preserve">Any </w:t>
      </w:r>
      <w:r>
        <w:t xml:space="preserve">band 1 or </w:t>
      </w:r>
      <w:r w:rsidRPr="00666FD7">
        <w:t>band 2 project with</w:t>
      </w:r>
      <w:r w:rsidRPr="00C7021B">
        <w:rPr>
          <w:color w:val="000000"/>
        </w:rPr>
        <w:t> </w:t>
      </w:r>
      <w:r w:rsidR="000A04DF" w:rsidRPr="007B5C14">
        <w:t>c</w:t>
      </w:r>
      <w:r w:rsidRPr="007B5C14">
        <w:rPr>
          <w:color w:val="000000"/>
        </w:rPr>
        <w:t xml:space="preserve">omplex </w:t>
      </w:r>
      <w:r w:rsidRPr="007B5C14">
        <w:t>case characteristics</w:t>
      </w:r>
      <w:r w:rsidRPr="00666FD7">
        <w:rPr>
          <w:u w:val="single"/>
          <w:vertAlign w:val="superscript"/>
        </w:rPr>
        <w:footnoteReference w:id="19"/>
      </w:r>
      <w:r w:rsidRPr="00666FD7">
        <w:t xml:space="preserve"> is moved to band 3. </w:t>
      </w:r>
      <w:r w:rsidR="00C33B5B">
        <w:t>A</w:t>
      </w:r>
      <w:r w:rsidRPr="00666FD7">
        <w:t xml:space="preserve"> project or plan is </w:t>
      </w:r>
      <w:r>
        <w:t>treated</w:t>
      </w:r>
      <w:r w:rsidRPr="00666FD7">
        <w:t xml:space="preserve"> as a complex case if it</w:t>
      </w:r>
      <w:r>
        <w:t>:</w:t>
      </w:r>
    </w:p>
    <w:p w14:paraId="3E2EB380" w14:textId="77777777" w:rsidR="000079B7" w:rsidRDefault="000079B7" w:rsidP="000079B7">
      <w:pPr>
        <w:pStyle w:val="ListParagraph"/>
        <w:numPr>
          <w:ilvl w:val="0"/>
          <w:numId w:val="29"/>
        </w:numPr>
        <w:spacing w:before="0"/>
        <w:jc w:val="both"/>
      </w:pPr>
      <w:r>
        <w:t xml:space="preserve">is </w:t>
      </w:r>
      <w:r w:rsidRPr="00666FD7">
        <w:t>estimated to cost of more than £1 million</w:t>
      </w:r>
      <w:r>
        <w:t xml:space="preserve"> or it is not possible to provide a confident cost estimate</w:t>
      </w:r>
      <w:r w:rsidRPr="00666FD7">
        <w:t xml:space="preserve">, </w:t>
      </w:r>
    </w:p>
    <w:p w14:paraId="3F600F4B" w14:textId="77777777" w:rsidR="000079B7" w:rsidRDefault="000079B7" w:rsidP="000079B7">
      <w:pPr>
        <w:pStyle w:val="ListParagraph"/>
        <w:numPr>
          <w:ilvl w:val="0"/>
          <w:numId w:val="29"/>
        </w:numPr>
        <w:jc w:val="both"/>
      </w:pPr>
      <w:r w:rsidRPr="00666FD7">
        <w:t xml:space="preserve">requires an environmental impact assessment, or </w:t>
      </w:r>
    </w:p>
    <w:p w14:paraId="77022825" w14:textId="6FBF8A9A" w:rsidR="000079B7" w:rsidRPr="00666FD7" w:rsidRDefault="000079B7" w:rsidP="000079B7">
      <w:pPr>
        <w:pStyle w:val="ListParagraph"/>
        <w:numPr>
          <w:ilvl w:val="0"/>
          <w:numId w:val="29"/>
        </w:numPr>
        <w:jc w:val="both"/>
      </w:pPr>
      <w:r w:rsidRPr="00666FD7">
        <w:t>is likely</w:t>
      </w:r>
      <w:r>
        <w:t xml:space="preserve">, alone or in combination with other plans or projects, </w:t>
      </w:r>
      <w:r w:rsidRPr="00666FD7">
        <w:t>to have a significant effect on a protected site</w:t>
      </w:r>
      <w:r>
        <w:t xml:space="preserve"> or any process on which any protected feature is dependent</w:t>
      </w:r>
    </w:p>
    <w:p w14:paraId="46B94D6D" w14:textId="6230140E" w:rsidR="00FC0B3A" w:rsidRPr="00666FD7" w:rsidRDefault="000079B7" w:rsidP="000079B7">
      <w:pPr>
        <w:jc w:val="both"/>
      </w:pPr>
      <w:r w:rsidRPr="00666FD7">
        <w:t xml:space="preserve">These have no fee maximum, as complex characteristics can make </w:t>
      </w:r>
      <w:r>
        <w:t>determining</w:t>
      </w:r>
      <w:r w:rsidRPr="00666FD7">
        <w:t xml:space="preserve"> the licence </w:t>
      </w:r>
      <w:r>
        <w:t>a longer process</w:t>
      </w:r>
      <w:r w:rsidRPr="00666FD7">
        <w:t>, with the need for external consultation</w:t>
      </w:r>
      <w:r>
        <w:t xml:space="preserve"> and investigations</w:t>
      </w:r>
      <w:r w:rsidRPr="00666FD7">
        <w:t xml:space="preserve">. </w:t>
      </w:r>
      <w:r>
        <w:t>The current f</w:t>
      </w:r>
      <w:r w:rsidRPr="00BC45BE">
        <w:t xml:space="preserve">ee </w:t>
      </w:r>
      <w:r>
        <w:t>s</w:t>
      </w:r>
      <w:r w:rsidRPr="00BC45BE">
        <w:t xml:space="preserve">tructure for </w:t>
      </w:r>
      <w:r>
        <w:t>Band 3</w:t>
      </w:r>
      <w:r w:rsidRPr="00BC45BE">
        <w:t xml:space="preserve"> </w:t>
      </w:r>
      <w:r>
        <w:t>m</w:t>
      </w:r>
      <w:r w:rsidRPr="00BC45BE">
        <w:t>arine licen</w:t>
      </w:r>
      <w:r>
        <w:t>c</w:t>
      </w:r>
      <w:r w:rsidRPr="00BC45BE">
        <w:t>es</w:t>
      </w:r>
      <w:r>
        <w:t xml:space="preserve"> is listed in the table below</w:t>
      </w:r>
      <w:r w:rsidRPr="00BC45BE">
        <w:t>:</w:t>
      </w:r>
    </w:p>
    <w:tbl>
      <w:tblPr>
        <w:tblW w:w="9631" w:type="dxa"/>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Look w:val="04A0" w:firstRow="1" w:lastRow="0" w:firstColumn="1" w:lastColumn="0" w:noHBand="0" w:noVBand="1"/>
      </w:tblPr>
      <w:tblGrid>
        <w:gridCol w:w="1112"/>
        <w:gridCol w:w="1578"/>
        <w:gridCol w:w="1556"/>
        <w:gridCol w:w="1577"/>
        <w:gridCol w:w="3808"/>
      </w:tblGrid>
      <w:tr w:rsidR="002621D5" w:rsidRPr="00666FD7" w14:paraId="0E960194" w14:textId="77777777" w:rsidTr="00C7021B">
        <w:trPr>
          <w:trHeight w:val="1077"/>
        </w:trPr>
        <w:tc>
          <w:tcPr>
            <w:tcW w:w="0" w:type="auto"/>
            <w:tcBorders>
              <w:top w:val="single" w:sz="4" w:space="0" w:color="auto"/>
              <w:left w:val="single" w:sz="4" w:space="0" w:color="auto"/>
              <w:bottom w:val="single" w:sz="4" w:space="0" w:color="auto"/>
              <w:right w:val="single" w:sz="4" w:space="0" w:color="auto"/>
            </w:tcBorders>
            <w:shd w:val="clear" w:color="auto" w:fill="008938"/>
            <w:hideMark/>
          </w:tcPr>
          <w:p w14:paraId="1FCF216F" w14:textId="77777777" w:rsidR="000079B7" w:rsidRPr="00C7021B" w:rsidRDefault="00E00080" w:rsidP="002856C1">
            <w:pPr>
              <w:rPr>
                <w:rFonts w:eastAsia="Calibri"/>
                <w:b/>
                <w:bCs/>
                <w:color w:val="FFFFFF"/>
              </w:rPr>
            </w:pPr>
            <w:r w:rsidRPr="00C7021B">
              <w:rPr>
                <w:rFonts w:eastAsia="Calibri"/>
                <w:b/>
                <w:bCs/>
                <w:color w:val="FFFFFF"/>
              </w:rPr>
              <w:t xml:space="preserve">Fee </w:t>
            </w:r>
            <w:r w:rsidR="000079B7" w:rsidRPr="00C7021B">
              <w:rPr>
                <w:rFonts w:eastAsia="Calibri"/>
                <w:b/>
                <w:bCs/>
                <w:color w:val="FFFFFF"/>
              </w:rPr>
              <w:t>Band</w:t>
            </w:r>
          </w:p>
        </w:tc>
        <w:tc>
          <w:tcPr>
            <w:tcW w:w="0" w:type="auto"/>
            <w:tcBorders>
              <w:top w:val="single" w:sz="4" w:space="0" w:color="auto"/>
              <w:left w:val="single" w:sz="4" w:space="0" w:color="auto"/>
              <w:bottom w:val="single" w:sz="4" w:space="0" w:color="auto"/>
              <w:right w:val="single" w:sz="4" w:space="0" w:color="auto"/>
            </w:tcBorders>
            <w:shd w:val="clear" w:color="auto" w:fill="008938"/>
            <w:hideMark/>
          </w:tcPr>
          <w:p w14:paraId="17582DAF" w14:textId="77777777" w:rsidR="000079B7" w:rsidRPr="00C7021B" w:rsidRDefault="000079B7" w:rsidP="002856C1">
            <w:pPr>
              <w:rPr>
                <w:rFonts w:eastAsia="Calibri"/>
                <w:b/>
                <w:bCs/>
                <w:color w:val="FFFFFF"/>
              </w:rPr>
            </w:pPr>
            <w:r w:rsidRPr="00C7021B">
              <w:rPr>
                <w:rFonts w:eastAsia="Calibri"/>
                <w:b/>
                <w:bCs/>
                <w:color w:val="FFFFFF"/>
              </w:rPr>
              <w:t>Project cost</w:t>
            </w:r>
          </w:p>
        </w:tc>
        <w:tc>
          <w:tcPr>
            <w:tcW w:w="0" w:type="auto"/>
            <w:tcBorders>
              <w:top w:val="single" w:sz="4" w:space="0" w:color="auto"/>
              <w:left w:val="single" w:sz="4" w:space="0" w:color="auto"/>
              <w:bottom w:val="single" w:sz="4" w:space="0" w:color="auto"/>
              <w:right w:val="single" w:sz="4" w:space="0" w:color="auto"/>
            </w:tcBorders>
            <w:shd w:val="clear" w:color="auto" w:fill="008938"/>
            <w:hideMark/>
          </w:tcPr>
          <w:p w14:paraId="43927A18" w14:textId="77777777" w:rsidR="000079B7" w:rsidRPr="00C7021B" w:rsidRDefault="000079B7" w:rsidP="002856C1">
            <w:pPr>
              <w:rPr>
                <w:rFonts w:eastAsia="Calibri"/>
                <w:b/>
                <w:bCs/>
                <w:color w:val="FFFFFF"/>
              </w:rPr>
            </w:pPr>
            <w:r w:rsidRPr="00C7021B">
              <w:rPr>
                <w:rFonts w:eastAsia="Calibri"/>
                <w:b/>
                <w:bCs/>
                <w:color w:val="FFFFFF"/>
              </w:rPr>
              <w:t>MMO rate</w:t>
            </w:r>
          </w:p>
        </w:tc>
        <w:tc>
          <w:tcPr>
            <w:tcW w:w="0" w:type="auto"/>
            <w:tcBorders>
              <w:top w:val="single" w:sz="4" w:space="0" w:color="auto"/>
              <w:left w:val="single" w:sz="4" w:space="0" w:color="auto"/>
              <w:bottom w:val="single" w:sz="4" w:space="0" w:color="auto"/>
              <w:right w:val="single" w:sz="4" w:space="0" w:color="auto"/>
            </w:tcBorders>
            <w:shd w:val="clear" w:color="auto" w:fill="008938"/>
            <w:hideMark/>
          </w:tcPr>
          <w:p w14:paraId="78297848" w14:textId="77777777" w:rsidR="000079B7" w:rsidRPr="00C7021B" w:rsidRDefault="000079B7" w:rsidP="002856C1">
            <w:pPr>
              <w:rPr>
                <w:rFonts w:eastAsia="Calibri"/>
                <w:b/>
                <w:bCs/>
                <w:color w:val="FFFFFF"/>
              </w:rPr>
            </w:pPr>
            <w:r w:rsidRPr="00C7021B">
              <w:rPr>
                <w:rFonts w:eastAsia="Calibri"/>
                <w:b/>
                <w:bCs/>
                <w:color w:val="FFFFFF"/>
              </w:rPr>
              <w:t>Maximum fee</w:t>
            </w:r>
          </w:p>
        </w:tc>
        <w:tc>
          <w:tcPr>
            <w:tcW w:w="0" w:type="auto"/>
            <w:tcBorders>
              <w:top w:val="single" w:sz="4" w:space="0" w:color="auto"/>
              <w:left w:val="single" w:sz="4" w:space="0" w:color="auto"/>
              <w:bottom w:val="single" w:sz="4" w:space="0" w:color="auto"/>
              <w:right w:val="single" w:sz="4" w:space="0" w:color="auto"/>
            </w:tcBorders>
            <w:shd w:val="clear" w:color="auto" w:fill="008938"/>
            <w:hideMark/>
          </w:tcPr>
          <w:p w14:paraId="7D7655B0" w14:textId="77777777" w:rsidR="000079B7" w:rsidRPr="00C7021B" w:rsidRDefault="000079B7" w:rsidP="002856C1">
            <w:pPr>
              <w:rPr>
                <w:rFonts w:eastAsia="Calibri"/>
                <w:b/>
                <w:bCs/>
                <w:color w:val="FFFFFF"/>
              </w:rPr>
            </w:pPr>
            <w:r w:rsidRPr="00C7021B">
              <w:rPr>
                <w:rFonts w:eastAsia="Calibri"/>
                <w:b/>
                <w:bCs/>
                <w:color w:val="FFFFFF"/>
              </w:rPr>
              <w:t>Payment Terms</w:t>
            </w:r>
          </w:p>
        </w:tc>
      </w:tr>
      <w:tr w:rsidR="002621D5" w:rsidRPr="00666FD7" w14:paraId="3FEDC481" w14:textId="77777777" w:rsidTr="00C7021B">
        <w:trPr>
          <w:trHeight w:val="1094"/>
        </w:trPr>
        <w:tc>
          <w:tcPr>
            <w:tcW w:w="0" w:type="auto"/>
            <w:tcBorders>
              <w:top w:val="single" w:sz="4" w:space="0" w:color="auto"/>
            </w:tcBorders>
            <w:shd w:val="clear" w:color="auto" w:fill="CBE9D3"/>
            <w:hideMark/>
          </w:tcPr>
          <w:p w14:paraId="62ACE9BE" w14:textId="77777777" w:rsidR="000079B7" w:rsidRPr="00C7021B" w:rsidRDefault="000079B7" w:rsidP="002856C1">
            <w:pPr>
              <w:rPr>
                <w:rFonts w:eastAsia="Calibri"/>
              </w:rPr>
            </w:pPr>
            <w:r w:rsidRPr="00C7021B">
              <w:rPr>
                <w:rFonts w:eastAsia="Calibri"/>
              </w:rPr>
              <w:t>Band 3</w:t>
            </w:r>
          </w:p>
        </w:tc>
        <w:tc>
          <w:tcPr>
            <w:tcW w:w="0" w:type="auto"/>
            <w:tcBorders>
              <w:top w:val="single" w:sz="4" w:space="0" w:color="auto"/>
            </w:tcBorders>
            <w:shd w:val="clear" w:color="auto" w:fill="FFFFFF"/>
            <w:hideMark/>
          </w:tcPr>
          <w:p w14:paraId="60E1BDF6" w14:textId="77777777" w:rsidR="000079B7" w:rsidRPr="00C7021B" w:rsidRDefault="000079B7" w:rsidP="002856C1">
            <w:pPr>
              <w:rPr>
                <w:rFonts w:eastAsia="Calibri"/>
              </w:rPr>
            </w:pPr>
            <w:r w:rsidRPr="00C7021B">
              <w:rPr>
                <w:rFonts w:eastAsia="Calibri"/>
              </w:rPr>
              <w:t>Over £999,999</w:t>
            </w:r>
          </w:p>
        </w:tc>
        <w:tc>
          <w:tcPr>
            <w:tcW w:w="0" w:type="auto"/>
            <w:tcBorders>
              <w:top w:val="single" w:sz="4" w:space="0" w:color="auto"/>
            </w:tcBorders>
            <w:shd w:val="clear" w:color="auto" w:fill="FFFFFF"/>
            <w:hideMark/>
          </w:tcPr>
          <w:p w14:paraId="44A18354" w14:textId="77777777" w:rsidR="000079B7" w:rsidRPr="00C7021B" w:rsidRDefault="000079B7" w:rsidP="002856C1">
            <w:pPr>
              <w:rPr>
                <w:rFonts w:eastAsia="Calibri"/>
              </w:rPr>
            </w:pPr>
            <w:r w:rsidRPr="00C7021B">
              <w:rPr>
                <w:rFonts w:eastAsia="Calibri"/>
              </w:rPr>
              <w:t>£122 per hour</w:t>
            </w:r>
          </w:p>
        </w:tc>
        <w:tc>
          <w:tcPr>
            <w:tcW w:w="0" w:type="auto"/>
            <w:tcBorders>
              <w:top w:val="single" w:sz="4" w:space="0" w:color="auto"/>
            </w:tcBorders>
            <w:shd w:val="clear" w:color="auto" w:fill="FFFFFF"/>
            <w:hideMark/>
          </w:tcPr>
          <w:p w14:paraId="3FF389C4" w14:textId="77777777" w:rsidR="000079B7" w:rsidRPr="00C7021B" w:rsidRDefault="000079B7" w:rsidP="002856C1">
            <w:pPr>
              <w:rPr>
                <w:rFonts w:eastAsia="Calibri"/>
              </w:rPr>
            </w:pPr>
            <w:r w:rsidRPr="00C7021B">
              <w:rPr>
                <w:rFonts w:eastAsia="Calibri"/>
              </w:rPr>
              <w:t>No maximum</w:t>
            </w:r>
          </w:p>
        </w:tc>
        <w:tc>
          <w:tcPr>
            <w:tcW w:w="0" w:type="auto"/>
            <w:tcBorders>
              <w:top w:val="single" w:sz="4" w:space="0" w:color="auto"/>
            </w:tcBorders>
            <w:shd w:val="clear" w:color="auto" w:fill="FFFFFF"/>
            <w:hideMark/>
          </w:tcPr>
          <w:p w14:paraId="3F419A2F" w14:textId="77777777" w:rsidR="000079B7" w:rsidRPr="00C7021B" w:rsidRDefault="000079B7" w:rsidP="002856C1">
            <w:pPr>
              <w:rPr>
                <w:rFonts w:eastAsia="Calibri"/>
              </w:rPr>
            </w:pPr>
            <w:r w:rsidRPr="00C7021B">
              <w:rPr>
                <w:rFonts w:eastAsia="Calibri"/>
              </w:rPr>
              <w:t>Fees payable in full in arrears on a monthly basis</w:t>
            </w:r>
          </w:p>
        </w:tc>
      </w:tr>
    </w:tbl>
    <w:p w14:paraId="3E60D829" w14:textId="77777777" w:rsidR="000079B7" w:rsidRDefault="000079B7" w:rsidP="00076CC9">
      <w:pPr>
        <w:spacing w:before="0"/>
        <w:rPr>
          <w:i/>
          <w:iCs/>
        </w:rPr>
      </w:pPr>
      <w:r w:rsidRPr="00666FD7">
        <w:rPr>
          <w:i/>
          <w:iCs/>
        </w:rPr>
        <w:t xml:space="preserve">Table </w:t>
      </w:r>
      <w:r w:rsidRPr="00666FD7">
        <w:rPr>
          <w:i/>
          <w:iCs/>
        </w:rPr>
        <w:fldChar w:fldCharType="begin"/>
      </w:r>
      <w:r w:rsidRPr="00666FD7">
        <w:rPr>
          <w:i/>
          <w:iCs/>
        </w:rPr>
        <w:instrText>SEQ Table \* ARABIC</w:instrText>
      </w:r>
      <w:r w:rsidRPr="00666FD7">
        <w:rPr>
          <w:i/>
          <w:iCs/>
        </w:rPr>
        <w:fldChar w:fldCharType="separate"/>
      </w:r>
      <w:r w:rsidRPr="00666FD7">
        <w:rPr>
          <w:i/>
          <w:iCs/>
        </w:rPr>
        <w:t>2</w:t>
      </w:r>
      <w:r w:rsidRPr="00666FD7">
        <w:fldChar w:fldCharType="end"/>
      </w:r>
      <w:r w:rsidRPr="00666FD7">
        <w:rPr>
          <w:i/>
          <w:iCs/>
          <w:vertAlign w:val="superscript"/>
        </w:rPr>
        <w:footnoteReference w:id="20"/>
      </w:r>
      <w:r w:rsidRPr="00666FD7">
        <w:rPr>
          <w:i/>
          <w:iCs/>
        </w:rPr>
        <w:t xml:space="preserve">. </w:t>
      </w:r>
    </w:p>
    <w:p w14:paraId="189EC8DC" w14:textId="3A8B6477" w:rsidR="000079B7" w:rsidRDefault="000079B7" w:rsidP="000079B7">
      <w:pPr>
        <w:pStyle w:val="ListParagraph"/>
        <w:numPr>
          <w:ilvl w:val="0"/>
          <w:numId w:val="16"/>
        </w:numPr>
      </w:pPr>
      <w:r>
        <w:lastRenderedPageBreak/>
        <w:t xml:space="preserve">Marine </w:t>
      </w:r>
      <w:r w:rsidR="44C16F6A">
        <w:t>l</w:t>
      </w:r>
      <w:r>
        <w:t>icence variations</w:t>
      </w:r>
    </w:p>
    <w:p w14:paraId="6ABAFD58" w14:textId="77777777" w:rsidR="000079B7" w:rsidRDefault="000079B7" w:rsidP="000079B7">
      <w:pPr>
        <w:pStyle w:val="NormalWeb"/>
        <w:shd w:val="clear" w:color="auto" w:fill="FFFFFF"/>
        <w:spacing w:before="300" w:after="300"/>
        <w:jc w:val="both"/>
        <w:rPr>
          <w:rFonts w:ascii="Arial" w:hAnsi="Arial" w:cs="Arial"/>
          <w:color w:val="0B0C0C"/>
        </w:rPr>
      </w:pPr>
      <w:r>
        <w:rPr>
          <w:rFonts w:ascii="Arial" w:hAnsi="Arial" w:cs="Arial"/>
          <w:color w:val="0B0C0C"/>
        </w:rPr>
        <w:t>If circumstances change, a marine licence can be varied or transferred and can be obtained by request through the online case management system. In addition, the MMO may vary or transfer a marine licence</w:t>
      </w:r>
      <w:r>
        <w:rPr>
          <w:rStyle w:val="FootnoteReference"/>
          <w:rFonts w:ascii="Arial" w:hAnsi="Arial" w:cs="Arial"/>
          <w:color w:val="0B0C0C"/>
        </w:rPr>
        <w:footnoteReference w:id="21"/>
      </w:r>
      <w:r>
        <w:rPr>
          <w:rFonts w:ascii="Arial" w:hAnsi="Arial" w:cs="Arial"/>
          <w:color w:val="0B0C0C"/>
        </w:rPr>
        <w:t>. If the licence holder requests a variation or transfer of their licence, then they must pay the appropriate fee. Requests for a variation or transfer are assessed and categorised into fee bands:</w:t>
      </w:r>
    </w:p>
    <w:p w14:paraId="671CF524" w14:textId="56F6B742" w:rsidR="000079B7" w:rsidRDefault="001073C9" w:rsidP="000079B7">
      <w:pPr>
        <w:pStyle w:val="NormalWeb"/>
        <w:numPr>
          <w:ilvl w:val="0"/>
          <w:numId w:val="18"/>
        </w:numPr>
        <w:shd w:val="clear" w:color="auto" w:fill="FFFFFF"/>
        <w:spacing w:before="300" w:after="300"/>
        <w:jc w:val="both"/>
        <w:rPr>
          <w:rFonts w:ascii="Arial" w:hAnsi="Arial" w:cs="Arial"/>
          <w:color w:val="0B0C0C"/>
        </w:rPr>
      </w:pPr>
      <w:r>
        <w:rPr>
          <w:rFonts w:ascii="Arial" w:hAnsi="Arial" w:cs="Arial"/>
          <w:color w:val="0B0C0C"/>
        </w:rPr>
        <w:t>B</w:t>
      </w:r>
      <w:r w:rsidR="712CA522" w:rsidRPr="131D2E08">
        <w:rPr>
          <w:rFonts w:ascii="Arial" w:hAnsi="Arial" w:cs="Arial"/>
          <w:color w:val="0B0C0C"/>
        </w:rPr>
        <w:t>and V0: A change to a licence where the charge has been waived by the MMO</w:t>
      </w:r>
    </w:p>
    <w:p w14:paraId="0ED51132" w14:textId="5F9755BE" w:rsidR="000079B7" w:rsidRDefault="001073C9" w:rsidP="000079B7">
      <w:pPr>
        <w:pStyle w:val="NormalWeb"/>
        <w:numPr>
          <w:ilvl w:val="0"/>
          <w:numId w:val="18"/>
        </w:numPr>
        <w:shd w:val="clear" w:color="auto" w:fill="FFFFFF"/>
        <w:spacing w:before="300" w:after="300"/>
        <w:jc w:val="both"/>
        <w:rPr>
          <w:rFonts w:ascii="Arial" w:hAnsi="Arial" w:cs="Arial"/>
          <w:color w:val="0B0C0C"/>
        </w:rPr>
      </w:pPr>
      <w:r>
        <w:rPr>
          <w:rFonts w:ascii="Arial" w:hAnsi="Arial" w:cs="Arial"/>
          <w:color w:val="0B0C0C"/>
        </w:rPr>
        <w:t>B</w:t>
      </w:r>
      <w:r w:rsidR="712CA522" w:rsidRPr="131D2E08">
        <w:rPr>
          <w:rFonts w:ascii="Arial" w:hAnsi="Arial" w:cs="Arial"/>
          <w:color w:val="0B0C0C"/>
        </w:rPr>
        <w:t>and V1: Administrative changes - Any request for a minor change to a marine licence, including:</w:t>
      </w:r>
    </w:p>
    <w:p w14:paraId="11FF1119" w14:textId="5E402FD2" w:rsidR="000079B7" w:rsidRPr="003A05B3" w:rsidRDefault="00A966E4" w:rsidP="000079B7">
      <w:pPr>
        <w:pStyle w:val="ListParagraph"/>
        <w:numPr>
          <w:ilvl w:val="1"/>
          <w:numId w:val="18"/>
        </w:numPr>
        <w:shd w:val="clear" w:color="auto" w:fill="FFFFFF"/>
        <w:spacing w:before="0" w:after="75" w:line="240" w:lineRule="auto"/>
        <w:jc w:val="both"/>
        <w:rPr>
          <w:rFonts w:cs="Arial"/>
          <w:color w:val="0B0C0C"/>
        </w:rPr>
      </w:pPr>
      <w:r>
        <w:rPr>
          <w:rFonts w:cs="Arial"/>
          <w:color w:val="0B0C0C"/>
        </w:rPr>
        <w:t>a</w:t>
      </w:r>
      <w:r w:rsidR="000079B7" w:rsidRPr="003A05B3">
        <w:rPr>
          <w:rFonts w:cs="Arial"/>
          <w:color w:val="0B0C0C"/>
        </w:rPr>
        <w:t xml:space="preserve"> request to change the name or address of an agent, contractor or sub-contractor on a marine licence. </w:t>
      </w:r>
    </w:p>
    <w:p w14:paraId="534BBCF2" w14:textId="5268E685" w:rsidR="000079B7" w:rsidRPr="003A05B3" w:rsidRDefault="00A966E4" w:rsidP="000079B7">
      <w:pPr>
        <w:pStyle w:val="ListParagraph"/>
        <w:numPr>
          <w:ilvl w:val="1"/>
          <w:numId w:val="18"/>
        </w:numPr>
        <w:shd w:val="clear" w:color="auto" w:fill="FFFFFF"/>
        <w:spacing w:before="0" w:after="75" w:line="240" w:lineRule="auto"/>
        <w:jc w:val="both"/>
        <w:rPr>
          <w:rFonts w:cs="Arial"/>
          <w:color w:val="0B0C0C"/>
        </w:rPr>
      </w:pPr>
      <w:r>
        <w:rPr>
          <w:rFonts w:cs="Arial"/>
          <w:color w:val="0B0C0C"/>
        </w:rPr>
        <w:t>c</w:t>
      </w:r>
      <w:r w:rsidR="000079B7" w:rsidRPr="003A05B3">
        <w:rPr>
          <w:rFonts w:cs="Arial"/>
          <w:color w:val="0B0C0C"/>
        </w:rPr>
        <w:t>hanges to the name of a vessel or registration number of a vehicle transferring the licence from the licensee to another named person</w:t>
      </w:r>
    </w:p>
    <w:p w14:paraId="5D170623" w14:textId="66B62571" w:rsidR="000079B7" w:rsidRDefault="001073C9" w:rsidP="000079B7">
      <w:pPr>
        <w:pStyle w:val="NormalWeb"/>
        <w:numPr>
          <w:ilvl w:val="0"/>
          <w:numId w:val="18"/>
        </w:numPr>
        <w:shd w:val="clear" w:color="auto" w:fill="FFFFFF"/>
        <w:spacing w:before="300" w:after="300"/>
        <w:jc w:val="both"/>
        <w:rPr>
          <w:rFonts w:ascii="Arial" w:hAnsi="Arial" w:cs="Arial"/>
          <w:color w:val="0B0C0C"/>
        </w:rPr>
      </w:pPr>
      <w:r>
        <w:rPr>
          <w:rFonts w:ascii="Arial" w:hAnsi="Arial" w:cs="Arial"/>
          <w:color w:val="0B0C0C"/>
        </w:rPr>
        <w:t>B</w:t>
      </w:r>
      <w:r w:rsidR="712CA522" w:rsidRPr="131D2E08">
        <w:rPr>
          <w:rFonts w:ascii="Arial" w:hAnsi="Arial" w:cs="Arial"/>
          <w:color w:val="0B0C0C"/>
        </w:rPr>
        <w:t>and V2: Routine changes - Any request to change a marine licence which does not require the MMO to consult its advisors</w:t>
      </w:r>
    </w:p>
    <w:p w14:paraId="12670297" w14:textId="6DE0A61E" w:rsidR="000079B7" w:rsidRDefault="001073C9" w:rsidP="000079B7">
      <w:pPr>
        <w:pStyle w:val="NormalWeb"/>
        <w:numPr>
          <w:ilvl w:val="0"/>
          <w:numId w:val="18"/>
        </w:numPr>
        <w:shd w:val="clear" w:color="auto" w:fill="FFFFFF"/>
        <w:spacing w:before="300" w:after="0"/>
        <w:jc w:val="both"/>
        <w:rPr>
          <w:rFonts w:ascii="Arial" w:hAnsi="Arial" w:cs="Arial"/>
          <w:color w:val="0B0C0C"/>
        </w:rPr>
      </w:pPr>
      <w:r>
        <w:rPr>
          <w:rFonts w:ascii="Arial" w:hAnsi="Arial" w:cs="Arial"/>
          <w:color w:val="0B0C0C"/>
        </w:rPr>
        <w:t>B</w:t>
      </w:r>
      <w:r w:rsidR="712CA522" w:rsidRPr="131D2E08">
        <w:rPr>
          <w:rFonts w:ascii="Arial" w:hAnsi="Arial" w:cs="Arial"/>
          <w:color w:val="0B0C0C"/>
        </w:rPr>
        <w:t xml:space="preserve">and V3: Complex changes - Any request to change a marine licence </w:t>
      </w:r>
      <w:r w:rsidR="002621D5">
        <w:rPr>
          <w:rFonts w:ascii="Arial" w:hAnsi="Arial" w:cs="Arial"/>
          <w:color w:val="0B0C0C"/>
        </w:rPr>
        <w:t>which</w:t>
      </w:r>
      <w:r w:rsidR="002621D5" w:rsidRPr="131D2E08">
        <w:rPr>
          <w:rFonts w:ascii="Arial" w:hAnsi="Arial" w:cs="Arial"/>
          <w:color w:val="0B0C0C"/>
        </w:rPr>
        <w:t xml:space="preserve"> </w:t>
      </w:r>
      <w:r w:rsidR="712CA522" w:rsidRPr="131D2E08">
        <w:rPr>
          <w:rFonts w:ascii="Arial" w:hAnsi="Arial" w:cs="Arial"/>
          <w:color w:val="0B0C0C"/>
        </w:rPr>
        <w:t>does require the MMO to consult with its advisors</w:t>
      </w:r>
    </w:p>
    <w:p w14:paraId="5A5C2317" w14:textId="110D0352" w:rsidR="00A342C9" w:rsidRDefault="000079B7" w:rsidP="004E0172">
      <w:r w:rsidRPr="22DED99C">
        <w:t>Current fee structure for variations to marine licen</w:t>
      </w:r>
      <w:r w:rsidR="40FC78E8" w:rsidRPr="22DED99C">
        <w:t>c</w:t>
      </w:r>
      <w:r w:rsidRPr="22DED99C">
        <w:t>es is listed in the table below:</w:t>
      </w:r>
    </w:p>
    <w:p w14:paraId="3B210006" w14:textId="77777777" w:rsidR="005D6BD7" w:rsidRDefault="005D6BD7" w:rsidP="004E0172"/>
    <w:p w14:paraId="1C5F76A2" w14:textId="77777777" w:rsidR="005D6BD7" w:rsidRDefault="005D6BD7" w:rsidP="004E0172"/>
    <w:p w14:paraId="7B7EF532" w14:textId="77777777" w:rsidR="009D42F0" w:rsidRDefault="009D42F0" w:rsidP="004E0172"/>
    <w:p w14:paraId="2EF865D7" w14:textId="77777777" w:rsidR="009D42F0" w:rsidRDefault="009D42F0" w:rsidP="004E0172"/>
    <w:p w14:paraId="4DB90D16" w14:textId="77777777" w:rsidR="009D42F0" w:rsidRDefault="009D42F0" w:rsidP="004E0172"/>
    <w:p w14:paraId="703B7E5B" w14:textId="77777777" w:rsidR="009D42F0" w:rsidRDefault="009D42F0" w:rsidP="004E0172"/>
    <w:p w14:paraId="1BAF620C" w14:textId="77777777" w:rsidR="009D42F0" w:rsidRDefault="009D42F0" w:rsidP="004E0172"/>
    <w:p w14:paraId="221215BC" w14:textId="77777777" w:rsidR="009D42F0" w:rsidRPr="00BC45BE" w:rsidRDefault="009D42F0" w:rsidP="004E0172"/>
    <w:tbl>
      <w:tblPr>
        <w:tblW w:w="5000" w:type="pct"/>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Look w:val="04A0" w:firstRow="1" w:lastRow="0" w:firstColumn="1" w:lastColumn="0" w:noHBand="0" w:noVBand="1"/>
      </w:tblPr>
      <w:tblGrid>
        <w:gridCol w:w="2096"/>
        <w:gridCol w:w="1768"/>
        <w:gridCol w:w="1945"/>
        <w:gridCol w:w="3812"/>
      </w:tblGrid>
      <w:tr w:rsidR="002621D5" w14:paraId="01403A58" w14:textId="77777777" w:rsidTr="00C7021B">
        <w:trPr>
          <w:trHeight w:hRule="exact" w:val="849"/>
        </w:trPr>
        <w:tc>
          <w:tcPr>
            <w:tcW w:w="1089" w:type="pct"/>
            <w:tcBorders>
              <w:top w:val="single" w:sz="4" w:space="0" w:color="auto"/>
              <w:left w:val="single" w:sz="4" w:space="0" w:color="auto"/>
              <w:bottom w:val="single" w:sz="4" w:space="0" w:color="auto"/>
              <w:right w:val="single" w:sz="4" w:space="0" w:color="auto"/>
            </w:tcBorders>
            <w:shd w:val="clear" w:color="auto" w:fill="008938"/>
            <w:hideMark/>
          </w:tcPr>
          <w:p w14:paraId="0B051311" w14:textId="77777777" w:rsidR="000079B7" w:rsidRPr="00C7021B" w:rsidRDefault="000079B7" w:rsidP="00C7021B">
            <w:pPr>
              <w:spacing w:before="450" w:after="450"/>
              <w:rPr>
                <w:rFonts w:eastAsia="Calibri" w:cs="Arial"/>
                <w:b/>
                <w:bCs/>
                <w:color w:val="FFFFFF"/>
              </w:rPr>
            </w:pPr>
            <w:r w:rsidRPr="00C7021B">
              <w:rPr>
                <w:rFonts w:eastAsia="Calibri" w:cs="Arial"/>
                <w:b/>
                <w:bCs/>
                <w:color w:val="FFFFFF"/>
              </w:rPr>
              <w:lastRenderedPageBreak/>
              <w:t>Variation Type</w:t>
            </w:r>
          </w:p>
        </w:tc>
        <w:tc>
          <w:tcPr>
            <w:tcW w:w="919" w:type="pct"/>
            <w:tcBorders>
              <w:top w:val="single" w:sz="4" w:space="0" w:color="auto"/>
              <w:left w:val="single" w:sz="4" w:space="0" w:color="auto"/>
              <w:bottom w:val="single" w:sz="4" w:space="0" w:color="auto"/>
              <w:right w:val="single" w:sz="4" w:space="0" w:color="auto"/>
            </w:tcBorders>
            <w:shd w:val="clear" w:color="auto" w:fill="008938"/>
            <w:hideMark/>
          </w:tcPr>
          <w:p w14:paraId="3FC4E182" w14:textId="77777777" w:rsidR="000079B7" w:rsidRPr="00C7021B" w:rsidRDefault="000079B7" w:rsidP="00C7021B">
            <w:pPr>
              <w:spacing w:before="450" w:after="450"/>
              <w:rPr>
                <w:rFonts w:eastAsia="Calibri" w:cs="Arial"/>
                <w:b/>
                <w:bCs/>
                <w:color w:val="FFFFFF"/>
              </w:rPr>
            </w:pPr>
            <w:r w:rsidRPr="00C7021B">
              <w:rPr>
                <w:rFonts w:eastAsia="Calibri" w:cs="Arial"/>
                <w:b/>
                <w:bCs/>
                <w:color w:val="FFFFFF"/>
              </w:rPr>
              <w:t>MMO rate</w:t>
            </w:r>
          </w:p>
        </w:tc>
        <w:tc>
          <w:tcPr>
            <w:tcW w:w="1011" w:type="pct"/>
            <w:tcBorders>
              <w:top w:val="single" w:sz="4" w:space="0" w:color="auto"/>
              <w:left w:val="single" w:sz="4" w:space="0" w:color="auto"/>
              <w:bottom w:val="single" w:sz="4" w:space="0" w:color="auto"/>
              <w:right w:val="single" w:sz="4" w:space="0" w:color="auto"/>
            </w:tcBorders>
            <w:shd w:val="clear" w:color="auto" w:fill="008938"/>
            <w:hideMark/>
          </w:tcPr>
          <w:p w14:paraId="7D72B615" w14:textId="77777777" w:rsidR="000079B7" w:rsidRPr="00C7021B" w:rsidRDefault="000079B7" w:rsidP="00C7021B">
            <w:pPr>
              <w:spacing w:before="450" w:after="450"/>
              <w:rPr>
                <w:rFonts w:eastAsia="Calibri" w:cs="Arial"/>
                <w:b/>
                <w:bCs/>
                <w:color w:val="FFFFFF"/>
              </w:rPr>
            </w:pPr>
            <w:r w:rsidRPr="00C7021B">
              <w:rPr>
                <w:rFonts w:eastAsia="Calibri" w:cs="Arial"/>
                <w:b/>
                <w:bCs/>
                <w:color w:val="FFFFFF"/>
              </w:rPr>
              <w:t>Maximum fee</w:t>
            </w:r>
          </w:p>
        </w:tc>
        <w:tc>
          <w:tcPr>
            <w:tcW w:w="1981" w:type="pct"/>
            <w:tcBorders>
              <w:top w:val="single" w:sz="4" w:space="0" w:color="auto"/>
              <w:left w:val="single" w:sz="4" w:space="0" w:color="auto"/>
              <w:bottom w:val="single" w:sz="4" w:space="0" w:color="auto"/>
              <w:right w:val="single" w:sz="4" w:space="0" w:color="auto"/>
            </w:tcBorders>
            <w:shd w:val="clear" w:color="auto" w:fill="008938"/>
          </w:tcPr>
          <w:p w14:paraId="31FF54C8" w14:textId="77777777" w:rsidR="000079B7" w:rsidRPr="00C7021B" w:rsidRDefault="000079B7" w:rsidP="00C7021B">
            <w:pPr>
              <w:spacing w:before="450" w:after="450"/>
              <w:rPr>
                <w:rFonts w:eastAsia="Calibri" w:cs="Arial"/>
                <w:b/>
                <w:bCs/>
                <w:color w:val="FFFFFF"/>
              </w:rPr>
            </w:pPr>
            <w:r w:rsidRPr="00C7021B">
              <w:rPr>
                <w:rFonts w:eastAsia="Calibri" w:cs="Arial"/>
                <w:b/>
                <w:bCs/>
                <w:color w:val="FFFFFF"/>
              </w:rPr>
              <w:t>Description</w:t>
            </w:r>
          </w:p>
        </w:tc>
      </w:tr>
      <w:tr w:rsidR="002621D5" w14:paraId="598AE9C3" w14:textId="77777777" w:rsidTr="00C7021B">
        <w:trPr>
          <w:trHeight w:hRule="exact" w:val="861"/>
        </w:trPr>
        <w:tc>
          <w:tcPr>
            <w:tcW w:w="1089" w:type="pct"/>
            <w:tcBorders>
              <w:top w:val="single" w:sz="4" w:space="0" w:color="auto"/>
            </w:tcBorders>
            <w:shd w:val="clear" w:color="auto" w:fill="CBE9D3"/>
            <w:hideMark/>
          </w:tcPr>
          <w:p w14:paraId="61E7A8E6" w14:textId="77777777" w:rsidR="000079B7" w:rsidRPr="00C7021B" w:rsidRDefault="000079B7" w:rsidP="00C7021B">
            <w:pPr>
              <w:spacing w:before="450" w:after="450"/>
              <w:rPr>
                <w:rFonts w:eastAsia="Calibri" w:cs="Arial"/>
                <w:color w:val="0B0C0C"/>
                <w:szCs w:val="24"/>
              </w:rPr>
            </w:pPr>
            <w:r w:rsidRPr="00C7021B">
              <w:rPr>
                <w:rFonts w:eastAsia="Calibri" w:cs="Arial"/>
                <w:color w:val="0B0C0C"/>
              </w:rPr>
              <w:t>V0</w:t>
            </w:r>
          </w:p>
        </w:tc>
        <w:tc>
          <w:tcPr>
            <w:tcW w:w="919" w:type="pct"/>
            <w:tcBorders>
              <w:top w:val="single" w:sz="4" w:space="0" w:color="auto"/>
            </w:tcBorders>
            <w:shd w:val="clear" w:color="auto" w:fill="FFFFFF"/>
            <w:hideMark/>
          </w:tcPr>
          <w:p w14:paraId="0D47F8D6" w14:textId="753699F6" w:rsidR="000079B7" w:rsidRPr="00C7021B" w:rsidRDefault="001A6259" w:rsidP="00C7021B">
            <w:pPr>
              <w:spacing w:before="450" w:after="450"/>
              <w:rPr>
                <w:rFonts w:eastAsia="Calibri" w:cs="Arial"/>
                <w:color w:val="0B0C0C"/>
              </w:rPr>
            </w:pPr>
            <w:r w:rsidRPr="00C7021B">
              <w:rPr>
                <w:rFonts w:eastAsia="Calibri" w:cs="Arial"/>
                <w:color w:val="0B0C0C"/>
              </w:rPr>
              <w:t>N</w:t>
            </w:r>
            <w:r w:rsidR="00C202FF">
              <w:rPr>
                <w:rFonts w:eastAsia="Calibri" w:cs="Arial"/>
                <w:color w:val="0B0C0C"/>
              </w:rPr>
              <w:t>ot applicable</w:t>
            </w:r>
          </w:p>
        </w:tc>
        <w:tc>
          <w:tcPr>
            <w:tcW w:w="1011" w:type="pct"/>
            <w:tcBorders>
              <w:top w:val="single" w:sz="4" w:space="0" w:color="auto"/>
            </w:tcBorders>
            <w:shd w:val="clear" w:color="auto" w:fill="FFFFFF"/>
            <w:hideMark/>
          </w:tcPr>
          <w:p w14:paraId="629D792A" w14:textId="1DBEB67C" w:rsidR="000079B7" w:rsidRPr="00C7021B" w:rsidRDefault="00C202FF" w:rsidP="00C7021B">
            <w:pPr>
              <w:spacing w:before="450" w:after="450"/>
              <w:rPr>
                <w:rFonts w:eastAsia="Calibri" w:cs="Arial"/>
                <w:color w:val="0B0C0C"/>
              </w:rPr>
            </w:pPr>
            <w:r w:rsidRPr="00C7021B">
              <w:rPr>
                <w:rFonts w:eastAsia="Calibri" w:cs="Arial"/>
                <w:color w:val="0B0C0C"/>
              </w:rPr>
              <w:t>N</w:t>
            </w:r>
            <w:r>
              <w:rPr>
                <w:rFonts w:eastAsia="Calibri" w:cs="Arial"/>
                <w:color w:val="0B0C0C"/>
              </w:rPr>
              <w:t>ot applicable</w:t>
            </w:r>
          </w:p>
        </w:tc>
        <w:tc>
          <w:tcPr>
            <w:tcW w:w="1981" w:type="pct"/>
            <w:tcBorders>
              <w:top w:val="single" w:sz="4" w:space="0" w:color="auto"/>
            </w:tcBorders>
            <w:shd w:val="clear" w:color="auto" w:fill="FFFFFF"/>
          </w:tcPr>
          <w:p w14:paraId="34824FA9" w14:textId="6861040E" w:rsidR="000079B7" w:rsidRPr="00C7021B" w:rsidRDefault="00C202FF" w:rsidP="00C7021B">
            <w:pPr>
              <w:spacing w:before="450" w:after="450"/>
              <w:rPr>
                <w:rFonts w:eastAsia="Calibri" w:cs="Arial"/>
                <w:color w:val="0B0C0C"/>
              </w:rPr>
            </w:pPr>
            <w:r w:rsidRPr="00C7021B">
              <w:rPr>
                <w:rFonts w:eastAsia="Calibri" w:cs="Arial"/>
                <w:color w:val="0B0C0C"/>
              </w:rPr>
              <w:t>N</w:t>
            </w:r>
            <w:r>
              <w:rPr>
                <w:rFonts w:eastAsia="Calibri" w:cs="Arial"/>
                <w:color w:val="0B0C0C"/>
              </w:rPr>
              <w:t>ot applicable</w:t>
            </w:r>
            <w:r w:rsidR="000079B7" w:rsidRPr="00C7021B">
              <w:rPr>
                <w:rStyle w:val="FootnoteReference"/>
                <w:rFonts w:eastAsia="Calibri" w:cs="Arial"/>
                <w:color w:val="0B0C0C"/>
              </w:rPr>
              <w:footnoteReference w:id="22"/>
            </w:r>
          </w:p>
        </w:tc>
      </w:tr>
      <w:tr w:rsidR="002621D5" w14:paraId="4C5A0B97" w14:textId="77777777" w:rsidTr="00C7021B">
        <w:trPr>
          <w:trHeight w:hRule="exact" w:val="1146"/>
        </w:trPr>
        <w:tc>
          <w:tcPr>
            <w:tcW w:w="1089" w:type="pct"/>
            <w:shd w:val="clear" w:color="auto" w:fill="CBE9D3"/>
            <w:hideMark/>
          </w:tcPr>
          <w:p w14:paraId="25C8A97C" w14:textId="77777777" w:rsidR="000079B7" w:rsidRPr="00C7021B" w:rsidRDefault="000079B7" w:rsidP="00C7021B">
            <w:pPr>
              <w:spacing w:before="450" w:after="450"/>
              <w:rPr>
                <w:rFonts w:eastAsia="Calibri" w:cs="Arial"/>
                <w:color w:val="0B0C0C"/>
              </w:rPr>
            </w:pPr>
            <w:r w:rsidRPr="00C7021B">
              <w:rPr>
                <w:rFonts w:eastAsia="Calibri" w:cs="Arial"/>
                <w:color w:val="0B0C0C"/>
              </w:rPr>
              <w:t>V1</w:t>
            </w:r>
          </w:p>
        </w:tc>
        <w:tc>
          <w:tcPr>
            <w:tcW w:w="919" w:type="pct"/>
            <w:shd w:val="clear" w:color="auto" w:fill="FFFFFF"/>
            <w:hideMark/>
          </w:tcPr>
          <w:p w14:paraId="365F642B" w14:textId="77777777" w:rsidR="000079B7" w:rsidRPr="00C7021B" w:rsidRDefault="000079B7" w:rsidP="00C7021B">
            <w:pPr>
              <w:spacing w:before="450" w:after="450"/>
              <w:rPr>
                <w:rFonts w:eastAsia="Calibri" w:cs="Arial"/>
                <w:color w:val="0B0C0C"/>
              </w:rPr>
            </w:pPr>
            <w:r w:rsidRPr="00C7021B">
              <w:rPr>
                <w:rFonts w:eastAsia="Calibri" w:cs="Arial"/>
                <w:color w:val="0B0C0C"/>
              </w:rPr>
              <w:t>£94 per hour</w:t>
            </w:r>
          </w:p>
        </w:tc>
        <w:tc>
          <w:tcPr>
            <w:tcW w:w="1011" w:type="pct"/>
            <w:shd w:val="clear" w:color="auto" w:fill="FFFFFF"/>
            <w:hideMark/>
          </w:tcPr>
          <w:p w14:paraId="124D0280" w14:textId="77777777" w:rsidR="000079B7" w:rsidRPr="00C7021B" w:rsidRDefault="000079B7" w:rsidP="00C7021B">
            <w:pPr>
              <w:spacing w:before="450" w:after="450"/>
              <w:rPr>
                <w:rFonts w:eastAsia="Calibri" w:cs="Arial"/>
                <w:color w:val="0B0C0C"/>
              </w:rPr>
            </w:pPr>
            <w:r w:rsidRPr="00C7021B">
              <w:rPr>
                <w:rFonts w:eastAsia="Calibri" w:cs="Arial"/>
                <w:color w:val="0B0C0C"/>
              </w:rPr>
              <w:t>£50</w:t>
            </w:r>
          </w:p>
        </w:tc>
        <w:tc>
          <w:tcPr>
            <w:tcW w:w="1981" w:type="pct"/>
            <w:shd w:val="clear" w:color="auto" w:fill="FFFFFF"/>
          </w:tcPr>
          <w:p w14:paraId="3AAB35DB" w14:textId="77777777" w:rsidR="000079B7" w:rsidRPr="00C7021B" w:rsidRDefault="000079B7" w:rsidP="00C7021B">
            <w:pPr>
              <w:spacing w:before="450" w:after="450"/>
              <w:rPr>
                <w:rFonts w:eastAsia="Calibri" w:cs="Arial"/>
                <w:color w:val="0B0C0C"/>
              </w:rPr>
            </w:pPr>
            <w:r w:rsidRPr="00C7021B">
              <w:rPr>
                <w:rFonts w:eastAsia="Calibri" w:cs="Arial"/>
                <w:color w:val="0B0C0C"/>
              </w:rPr>
              <w:t>Admin changes</w:t>
            </w:r>
            <w:r w:rsidRPr="00C7021B">
              <w:rPr>
                <w:rStyle w:val="FootnoteReference"/>
                <w:rFonts w:eastAsia="Calibri" w:cs="Arial"/>
                <w:color w:val="0B0C0C"/>
              </w:rPr>
              <w:footnoteReference w:id="23"/>
            </w:r>
          </w:p>
        </w:tc>
      </w:tr>
      <w:tr w:rsidR="002621D5" w14:paraId="5881F46D" w14:textId="77777777" w:rsidTr="00C7021B">
        <w:trPr>
          <w:trHeight w:hRule="exact" w:val="1135"/>
        </w:trPr>
        <w:tc>
          <w:tcPr>
            <w:tcW w:w="1089" w:type="pct"/>
            <w:shd w:val="clear" w:color="auto" w:fill="CBE9D3"/>
            <w:hideMark/>
          </w:tcPr>
          <w:p w14:paraId="57FA01D8" w14:textId="77777777" w:rsidR="000079B7" w:rsidRPr="00C7021B" w:rsidRDefault="000079B7" w:rsidP="00C7021B">
            <w:pPr>
              <w:spacing w:before="450" w:after="450"/>
              <w:rPr>
                <w:rFonts w:eastAsia="Calibri" w:cs="Arial"/>
                <w:color w:val="0B0C0C"/>
              </w:rPr>
            </w:pPr>
            <w:r w:rsidRPr="00C7021B">
              <w:rPr>
                <w:rFonts w:eastAsia="Calibri" w:cs="Arial"/>
                <w:color w:val="0B0C0C"/>
              </w:rPr>
              <w:t>V2</w:t>
            </w:r>
          </w:p>
        </w:tc>
        <w:tc>
          <w:tcPr>
            <w:tcW w:w="919" w:type="pct"/>
            <w:shd w:val="clear" w:color="auto" w:fill="FFFFFF"/>
            <w:hideMark/>
          </w:tcPr>
          <w:p w14:paraId="51BD3E81" w14:textId="77777777" w:rsidR="000079B7" w:rsidRPr="00C7021B" w:rsidRDefault="000079B7" w:rsidP="00C7021B">
            <w:pPr>
              <w:spacing w:before="450" w:after="450"/>
              <w:rPr>
                <w:rFonts w:eastAsia="Calibri" w:cs="Arial"/>
                <w:color w:val="0B0C0C"/>
              </w:rPr>
            </w:pPr>
            <w:r w:rsidRPr="00C7021B">
              <w:rPr>
                <w:rFonts w:eastAsia="Calibri" w:cs="Arial"/>
                <w:color w:val="0B0C0C"/>
              </w:rPr>
              <w:t>£94 per hour</w:t>
            </w:r>
          </w:p>
        </w:tc>
        <w:tc>
          <w:tcPr>
            <w:tcW w:w="1011" w:type="pct"/>
            <w:shd w:val="clear" w:color="auto" w:fill="FFFFFF"/>
            <w:hideMark/>
          </w:tcPr>
          <w:p w14:paraId="1C760694" w14:textId="77777777" w:rsidR="000079B7" w:rsidRPr="00C7021B" w:rsidRDefault="000079B7" w:rsidP="00C7021B">
            <w:pPr>
              <w:spacing w:before="450" w:after="450"/>
              <w:rPr>
                <w:rFonts w:eastAsia="Calibri" w:cs="Arial"/>
                <w:color w:val="0B0C0C"/>
              </w:rPr>
            </w:pPr>
            <w:r w:rsidRPr="00C7021B">
              <w:rPr>
                <w:rFonts w:eastAsia="Calibri" w:cs="Arial"/>
                <w:color w:val="0B0C0C"/>
              </w:rPr>
              <w:t>£200</w:t>
            </w:r>
          </w:p>
        </w:tc>
        <w:tc>
          <w:tcPr>
            <w:tcW w:w="1981" w:type="pct"/>
            <w:shd w:val="clear" w:color="auto" w:fill="FFFFFF"/>
          </w:tcPr>
          <w:p w14:paraId="65D89B18" w14:textId="77777777" w:rsidR="000079B7" w:rsidRPr="00C7021B" w:rsidRDefault="000079B7" w:rsidP="00C7021B">
            <w:pPr>
              <w:spacing w:before="450" w:after="450"/>
              <w:rPr>
                <w:rFonts w:eastAsia="Calibri" w:cs="Arial"/>
                <w:color w:val="0B0C0C"/>
              </w:rPr>
            </w:pPr>
            <w:r w:rsidRPr="00C7021B">
              <w:rPr>
                <w:rFonts w:eastAsia="Calibri" w:cs="Arial"/>
                <w:color w:val="0B0C0C"/>
              </w:rPr>
              <w:t>Routine changes</w:t>
            </w:r>
          </w:p>
        </w:tc>
      </w:tr>
      <w:tr w:rsidR="002621D5" w14:paraId="4413A465" w14:textId="77777777" w:rsidTr="00C7021B">
        <w:trPr>
          <w:trHeight w:hRule="exact" w:val="1120"/>
        </w:trPr>
        <w:tc>
          <w:tcPr>
            <w:tcW w:w="1089" w:type="pct"/>
            <w:shd w:val="clear" w:color="auto" w:fill="CBE9D3"/>
            <w:hideMark/>
          </w:tcPr>
          <w:p w14:paraId="014595A8" w14:textId="77777777" w:rsidR="000079B7" w:rsidRPr="00C7021B" w:rsidRDefault="000079B7" w:rsidP="00C7021B">
            <w:pPr>
              <w:spacing w:before="450" w:after="450"/>
              <w:rPr>
                <w:rFonts w:eastAsia="Calibri" w:cs="Arial"/>
                <w:color w:val="0B0C0C"/>
              </w:rPr>
            </w:pPr>
            <w:r w:rsidRPr="00C7021B">
              <w:rPr>
                <w:rFonts w:eastAsia="Calibri" w:cs="Arial"/>
                <w:color w:val="0B0C0C"/>
              </w:rPr>
              <w:t>V3</w:t>
            </w:r>
          </w:p>
        </w:tc>
        <w:tc>
          <w:tcPr>
            <w:tcW w:w="919" w:type="pct"/>
            <w:shd w:val="clear" w:color="auto" w:fill="FFFFFF"/>
            <w:hideMark/>
          </w:tcPr>
          <w:p w14:paraId="2665340D" w14:textId="77777777" w:rsidR="000079B7" w:rsidRPr="00C7021B" w:rsidRDefault="000079B7" w:rsidP="00C7021B">
            <w:pPr>
              <w:spacing w:before="450" w:after="450"/>
              <w:rPr>
                <w:rFonts w:eastAsia="Calibri" w:cs="Arial"/>
                <w:color w:val="0B0C0C"/>
              </w:rPr>
            </w:pPr>
            <w:r w:rsidRPr="00C7021B">
              <w:rPr>
                <w:rFonts w:eastAsia="Calibri" w:cs="Arial"/>
                <w:color w:val="0B0C0C"/>
              </w:rPr>
              <w:t>£94 per hour</w:t>
            </w:r>
          </w:p>
        </w:tc>
        <w:tc>
          <w:tcPr>
            <w:tcW w:w="1011" w:type="pct"/>
            <w:shd w:val="clear" w:color="auto" w:fill="FFFFFF"/>
            <w:hideMark/>
          </w:tcPr>
          <w:p w14:paraId="517E417A" w14:textId="77777777" w:rsidR="000079B7" w:rsidRPr="00C7021B" w:rsidRDefault="000079B7" w:rsidP="00C7021B">
            <w:pPr>
              <w:spacing w:before="450" w:after="450"/>
              <w:rPr>
                <w:rFonts w:eastAsia="Calibri" w:cs="Arial"/>
                <w:color w:val="0B0C0C"/>
              </w:rPr>
            </w:pPr>
            <w:r w:rsidRPr="00C7021B">
              <w:rPr>
                <w:rFonts w:eastAsia="Calibri" w:cs="Arial"/>
                <w:color w:val="0B0C0C"/>
              </w:rPr>
              <w:t>No maximum</w:t>
            </w:r>
          </w:p>
        </w:tc>
        <w:tc>
          <w:tcPr>
            <w:tcW w:w="1981" w:type="pct"/>
            <w:shd w:val="clear" w:color="auto" w:fill="FFFFFF"/>
          </w:tcPr>
          <w:p w14:paraId="16B37BA0" w14:textId="77777777" w:rsidR="000079B7" w:rsidRPr="00C7021B" w:rsidRDefault="000079B7" w:rsidP="00C7021B">
            <w:pPr>
              <w:spacing w:before="450" w:after="450"/>
              <w:rPr>
                <w:rFonts w:eastAsia="Calibri" w:cs="Arial"/>
                <w:color w:val="0B0C0C"/>
              </w:rPr>
            </w:pPr>
            <w:r w:rsidRPr="00C7021B">
              <w:rPr>
                <w:rFonts w:eastAsia="Calibri" w:cs="Arial"/>
                <w:color w:val="0B0C0C"/>
              </w:rPr>
              <w:t>Complex changes</w:t>
            </w:r>
          </w:p>
        </w:tc>
      </w:tr>
    </w:tbl>
    <w:p w14:paraId="3F6B4829" w14:textId="77777777" w:rsidR="00076CC9" w:rsidRPr="00076CC9" w:rsidRDefault="00076CC9" w:rsidP="00076CC9">
      <w:pPr>
        <w:spacing w:before="0"/>
        <w:rPr>
          <w:i/>
          <w:iCs/>
        </w:rPr>
      </w:pPr>
      <w:r w:rsidRPr="00076CC9">
        <w:rPr>
          <w:i/>
          <w:iCs/>
        </w:rPr>
        <w:t>Table 3</w:t>
      </w:r>
    </w:p>
    <w:p w14:paraId="20323FA9" w14:textId="77777777" w:rsidR="000079B7" w:rsidRDefault="000079B7" w:rsidP="000079B7">
      <w:pPr>
        <w:pStyle w:val="ListParagraph"/>
        <w:numPr>
          <w:ilvl w:val="0"/>
          <w:numId w:val="16"/>
        </w:numPr>
      </w:pPr>
      <w:r>
        <w:t>Dredge and Disposal Monitoring Charges</w:t>
      </w:r>
    </w:p>
    <w:p w14:paraId="52F63499" w14:textId="7031CF54" w:rsidR="00437BC5" w:rsidRDefault="000079B7" w:rsidP="00054E4A">
      <w:pPr>
        <w:pStyle w:val="NormalWeb"/>
        <w:shd w:val="clear" w:color="auto" w:fill="FFFFFF" w:themeFill="background1"/>
        <w:spacing w:before="300" w:after="300" w:line="276" w:lineRule="auto"/>
        <w:jc w:val="both"/>
        <w:rPr>
          <w:rFonts w:ascii="Arial" w:hAnsi="Arial" w:cs="Arial"/>
          <w:color w:val="0B0C0C"/>
        </w:rPr>
      </w:pPr>
      <w:r w:rsidRPr="2D3B09E9">
        <w:rPr>
          <w:rFonts w:ascii="Arial" w:hAnsi="Arial" w:cs="Arial"/>
          <w:color w:val="0B0C0C"/>
        </w:rPr>
        <w:t xml:space="preserve">The MMO monitors the environmental conditions of marine disposal sites. Where a </w:t>
      </w:r>
      <w:r w:rsidR="07575E04" w:rsidRPr="2D3B09E9">
        <w:rPr>
          <w:rFonts w:ascii="Arial" w:hAnsi="Arial" w:cs="Arial"/>
          <w:color w:val="0B0C0C"/>
        </w:rPr>
        <w:t>m</w:t>
      </w:r>
      <w:r w:rsidR="1D43152A" w:rsidRPr="2D3B09E9">
        <w:rPr>
          <w:rFonts w:ascii="Arial" w:hAnsi="Arial" w:cs="Arial"/>
          <w:color w:val="0B0C0C"/>
        </w:rPr>
        <w:t xml:space="preserve">arine </w:t>
      </w:r>
      <w:r w:rsidR="4C3CD05F" w:rsidRPr="2D3B09E9">
        <w:rPr>
          <w:rFonts w:ascii="Arial" w:hAnsi="Arial" w:cs="Arial"/>
          <w:color w:val="0B0C0C"/>
        </w:rPr>
        <w:t>l</w:t>
      </w:r>
      <w:r w:rsidRPr="2D3B09E9">
        <w:rPr>
          <w:rFonts w:ascii="Arial" w:hAnsi="Arial" w:cs="Arial"/>
          <w:color w:val="0B0C0C"/>
        </w:rPr>
        <w:t>icence has been issued for the deposit of dredged material into the sea</w:t>
      </w:r>
      <w:r w:rsidR="005F0690" w:rsidRPr="2D3B09E9">
        <w:rPr>
          <w:rFonts w:ascii="Arial" w:hAnsi="Arial" w:cs="Arial"/>
          <w:color w:val="0B0C0C"/>
        </w:rPr>
        <w:t>,</w:t>
      </w:r>
      <w:r w:rsidRPr="2D3B09E9">
        <w:rPr>
          <w:rFonts w:ascii="Arial" w:hAnsi="Arial" w:cs="Arial"/>
          <w:color w:val="0B0C0C"/>
        </w:rPr>
        <w:t xml:space="preserve"> licence holders are required to pay a charge based on the amount of material deposited, set at £</w:t>
      </w:r>
      <w:r w:rsidR="000A7573" w:rsidRPr="2D3B09E9">
        <w:rPr>
          <w:rFonts w:ascii="Arial" w:hAnsi="Arial" w:cs="Arial"/>
          <w:color w:val="0B0C0C"/>
        </w:rPr>
        <w:t>0.</w:t>
      </w:r>
      <w:r w:rsidRPr="2D3B09E9">
        <w:rPr>
          <w:rFonts w:ascii="Arial" w:hAnsi="Arial" w:cs="Arial"/>
          <w:color w:val="0B0C0C"/>
        </w:rPr>
        <w:t>01 per tonne of material. This levy has a maximum fee ceiling of £15,000. The current disposal levy fee structure is listed in the table below:</w:t>
      </w:r>
    </w:p>
    <w:p w14:paraId="26EA2538" w14:textId="77777777" w:rsidR="00437BC5" w:rsidRDefault="00437BC5" w:rsidP="006BEAF7">
      <w:pPr>
        <w:pStyle w:val="NormalWeb"/>
        <w:shd w:val="clear" w:color="auto" w:fill="FFFFFF" w:themeFill="background1"/>
        <w:spacing w:before="300" w:after="300"/>
        <w:jc w:val="both"/>
        <w:rPr>
          <w:rFonts w:ascii="Arial" w:hAnsi="Arial" w:cs="Arial"/>
          <w:color w:val="0B0C0C"/>
        </w:rPr>
      </w:pPr>
    </w:p>
    <w:p w14:paraId="76234849" w14:textId="77777777" w:rsidR="00437BC5" w:rsidRDefault="00437BC5" w:rsidP="006BEAF7">
      <w:pPr>
        <w:pStyle w:val="NormalWeb"/>
        <w:shd w:val="clear" w:color="auto" w:fill="FFFFFF" w:themeFill="background1"/>
        <w:spacing w:before="300" w:after="300"/>
        <w:jc w:val="both"/>
        <w:rPr>
          <w:rFonts w:ascii="Arial" w:hAnsi="Arial" w:cs="Arial"/>
          <w:color w:val="0B0C0C"/>
        </w:rPr>
      </w:pPr>
    </w:p>
    <w:p w14:paraId="2A31C1AD" w14:textId="77777777" w:rsidR="00437BC5" w:rsidRDefault="00437BC5" w:rsidP="006BEAF7">
      <w:pPr>
        <w:pStyle w:val="NormalWeb"/>
        <w:shd w:val="clear" w:color="auto" w:fill="FFFFFF" w:themeFill="background1"/>
        <w:spacing w:before="300" w:after="300"/>
        <w:jc w:val="both"/>
        <w:rPr>
          <w:rFonts w:ascii="Arial" w:hAnsi="Arial" w:cs="Arial"/>
          <w:color w:val="0B0C0C"/>
        </w:rPr>
      </w:pPr>
    </w:p>
    <w:p w14:paraId="5369DACB" w14:textId="77777777" w:rsidR="005D6BD7" w:rsidRDefault="005D6BD7" w:rsidP="006BEAF7">
      <w:pPr>
        <w:pStyle w:val="NormalWeb"/>
        <w:shd w:val="clear" w:color="auto" w:fill="FFFFFF" w:themeFill="background1"/>
        <w:spacing w:before="300" w:after="300"/>
        <w:jc w:val="both"/>
        <w:rPr>
          <w:rFonts w:ascii="Arial" w:hAnsi="Arial" w:cs="Arial"/>
          <w:color w:val="0B0C0C"/>
        </w:rPr>
      </w:pPr>
    </w:p>
    <w:tbl>
      <w:tblPr>
        <w:tblW w:w="5000" w:type="pct"/>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Look w:val="04A0" w:firstRow="1" w:lastRow="0" w:firstColumn="1" w:lastColumn="0" w:noHBand="0" w:noVBand="1"/>
      </w:tblPr>
      <w:tblGrid>
        <w:gridCol w:w="1308"/>
        <w:gridCol w:w="3581"/>
        <w:gridCol w:w="2902"/>
        <w:gridCol w:w="1830"/>
      </w:tblGrid>
      <w:tr w:rsidR="002621D5" w:rsidRPr="00F154F5" w14:paraId="6BF458F2" w14:textId="77777777" w:rsidTr="00C7021B">
        <w:trPr>
          <w:trHeight w:hRule="exact" w:val="1144"/>
        </w:trPr>
        <w:tc>
          <w:tcPr>
            <w:tcW w:w="680" w:type="pct"/>
            <w:tcBorders>
              <w:top w:val="single" w:sz="4" w:space="0" w:color="auto"/>
              <w:left w:val="single" w:sz="4" w:space="0" w:color="auto"/>
              <w:bottom w:val="single" w:sz="4" w:space="0" w:color="auto"/>
              <w:right w:val="single" w:sz="4" w:space="0" w:color="auto"/>
            </w:tcBorders>
            <w:shd w:val="clear" w:color="auto" w:fill="008938"/>
            <w:hideMark/>
          </w:tcPr>
          <w:p w14:paraId="6B53BDB3" w14:textId="77777777" w:rsidR="000079B7" w:rsidRPr="00C7021B" w:rsidRDefault="00E00080" w:rsidP="00C7021B">
            <w:pPr>
              <w:spacing w:before="450" w:after="450"/>
              <w:rPr>
                <w:rFonts w:eastAsia="Calibri" w:cs="Arial"/>
                <w:b/>
                <w:bCs/>
                <w:color w:val="FFFFFF"/>
              </w:rPr>
            </w:pPr>
            <w:r w:rsidRPr="00C7021B">
              <w:rPr>
                <w:rFonts w:eastAsia="Calibri" w:cs="Arial"/>
                <w:b/>
                <w:bCs/>
                <w:color w:val="FFFFFF"/>
              </w:rPr>
              <w:lastRenderedPageBreak/>
              <w:t>Fee</w:t>
            </w:r>
          </w:p>
        </w:tc>
        <w:tc>
          <w:tcPr>
            <w:tcW w:w="1861" w:type="pct"/>
            <w:tcBorders>
              <w:top w:val="single" w:sz="4" w:space="0" w:color="auto"/>
              <w:left w:val="single" w:sz="4" w:space="0" w:color="auto"/>
              <w:bottom w:val="single" w:sz="4" w:space="0" w:color="auto"/>
              <w:right w:val="single" w:sz="4" w:space="0" w:color="auto"/>
            </w:tcBorders>
            <w:shd w:val="clear" w:color="auto" w:fill="008938"/>
            <w:hideMark/>
          </w:tcPr>
          <w:p w14:paraId="4B9F1BA0" w14:textId="77777777" w:rsidR="000079B7" w:rsidRPr="00C7021B" w:rsidRDefault="000079B7" w:rsidP="00C7021B">
            <w:pPr>
              <w:spacing w:before="450" w:after="450"/>
              <w:rPr>
                <w:rFonts w:eastAsia="Calibri" w:cs="Arial"/>
                <w:b/>
                <w:bCs/>
                <w:color w:val="FFFFFF"/>
              </w:rPr>
            </w:pPr>
            <w:r w:rsidRPr="00C7021B">
              <w:rPr>
                <w:rFonts w:eastAsia="Calibri" w:cs="Arial"/>
                <w:b/>
                <w:bCs/>
                <w:color w:val="FFFFFF"/>
              </w:rPr>
              <w:t>Monitoring activities required</w:t>
            </w:r>
          </w:p>
        </w:tc>
        <w:tc>
          <w:tcPr>
            <w:tcW w:w="1508" w:type="pct"/>
            <w:tcBorders>
              <w:top w:val="single" w:sz="4" w:space="0" w:color="auto"/>
              <w:left w:val="single" w:sz="4" w:space="0" w:color="auto"/>
              <w:bottom w:val="single" w:sz="4" w:space="0" w:color="auto"/>
              <w:right w:val="single" w:sz="4" w:space="0" w:color="auto"/>
            </w:tcBorders>
            <w:shd w:val="clear" w:color="auto" w:fill="008938"/>
            <w:hideMark/>
          </w:tcPr>
          <w:p w14:paraId="45862315" w14:textId="77777777" w:rsidR="000079B7" w:rsidRPr="00C7021B" w:rsidRDefault="000079B7" w:rsidP="00C7021B">
            <w:pPr>
              <w:spacing w:before="450" w:after="450"/>
              <w:rPr>
                <w:rFonts w:eastAsia="Calibri" w:cs="Arial"/>
                <w:b/>
                <w:bCs/>
                <w:color w:val="FFFFFF"/>
              </w:rPr>
            </w:pPr>
            <w:r w:rsidRPr="00C7021B">
              <w:rPr>
                <w:rFonts w:eastAsia="Calibri" w:cs="Arial"/>
                <w:b/>
                <w:bCs/>
                <w:color w:val="FFFFFF"/>
              </w:rPr>
              <w:t>MMO rate</w:t>
            </w:r>
          </w:p>
        </w:tc>
        <w:tc>
          <w:tcPr>
            <w:tcW w:w="951" w:type="pct"/>
            <w:tcBorders>
              <w:top w:val="single" w:sz="4" w:space="0" w:color="auto"/>
              <w:left w:val="single" w:sz="4" w:space="0" w:color="auto"/>
              <w:bottom w:val="single" w:sz="4" w:space="0" w:color="auto"/>
              <w:right w:val="single" w:sz="4" w:space="0" w:color="auto"/>
            </w:tcBorders>
            <w:shd w:val="clear" w:color="auto" w:fill="008938"/>
            <w:hideMark/>
          </w:tcPr>
          <w:p w14:paraId="465E4B5D" w14:textId="77777777" w:rsidR="000079B7" w:rsidRPr="00C7021B" w:rsidRDefault="000079B7" w:rsidP="00C7021B">
            <w:pPr>
              <w:spacing w:before="450" w:after="450"/>
              <w:rPr>
                <w:rFonts w:eastAsia="Calibri" w:cs="Arial"/>
                <w:b/>
                <w:bCs/>
                <w:color w:val="FFFFFF"/>
              </w:rPr>
            </w:pPr>
            <w:r w:rsidRPr="00C7021B">
              <w:rPr>
                <w:rFonts w:eastAsia="Calibri" w:cs="Arial"/>
                <w:b/>
                <w:bCs/>
                <w:color w:val="FFFFFF"/>
              </w:rPr>
              <w:t>Maximum fee</w:t>
            </w:r>
          </w:p>
        </w:tc>
      </w:tr>
      <w:tr w:rsidR="002621D5" w14:paraId="3C05C933" w14:textId="77777777" w:rsidTr="00C7021B">
        <w:trPr>
          <w:trHeight w:hRule="exact" w:val="1839"/>
        </w:trPr>
        <w:tc>
          <w:tcPr>
            <w:tcW w:w="680" w:type="pct"/>
            <w:tcBorders>
              <w:top w:val="single" w:sz="4" w:space="0" w:color="auto"/>
            </w:tcBorders>
            <w:shd w:val="clear" w:color="auto" w:fill="CBE9D3"/>
            <w:hideMark/>
          </w:tcPr>
          <w:p w14:paraId="108F5327" w14:textId="77777777" w:rsidR="000079B7" w:rsidRPr="00C7021B" w:rsidRDefault="000079B7" w:rsidP="00C7021B">
            <w:pPr>
              <w:spacing w:before="450" w:after="450"/>
              <w:rPr>
                <w:rFonts w:eastAsia="Calibri" w:cs="Arial"/>
                <w:color w:val="0B0C0C"/>
              </w:rPr>
            </w:pPr>
            <w:r w:rsidRPr="00C7021B">
              <w:rPr>
                <w:rFonts w:eastAsia="Calibri" w:cs="Arial"/>
                <w:color w:val="0B0C0C"/>
              </w:rPr>
              <w:t>Disposal levy</w:t>
            </w:r>
          </w:p>
        </w:tc>
        <w:tc>
          <w:tcPr>
            <w:tcW w:w="1861" w:type="pct"/>
            <w:tcBorders>
              <w:top w:val="single" w:sz="4" w:space="0" w:color="auto"/>
            </w:tcBorders>
            <w:shd w:val="clear" w:color="auto" w:fill="FFFFFF"/>
            <w:hideMark/>
          </w:tcPr>
          <w:p w14:paraId="739BF215" w14:textId="77777777" w:rsidR="000079B7" w:rsidRPr="00C7021B" w:rsidRDefault="000079B7" w:rsidP="00C7021B">
            <w:pPr>
              <w:spacing w:before="450" w:after="450"/>
              <w:rPr>
                <w:rFonts w:eastAsia="Calibri" w:cs="Arial"/>
                <w:color w:val="0B0C0C"/>
              </w:rPr>
            </w:pPr>
            <w:r w:rsidRPr="00C7021B">
              <w:rPr>
                <w:rFonts w:eastAsia="Calibri" w:cs="Arial"/>
                <w:color w:val="0B0C0C"/>
              </w:rPr>
              <w:t>Monitoring the environmental conditions of marine disposal sites</w:t>
            </w:r>
          </w:p>
        </w:tc>
        <w:tc>
          <w:tcPr>
            <w:tcW w:w="1508" w:type="pct"/>
            <w:tcBorders>
              <w:top w:val="single" w:sz="4" w:space="0" w:color="auto"/>
            </w:tcBorders>
            <w:shd w:val="clear" w:color="auto" w:fill="FFFFFF"/>
            <w:hideMark/>
          </w:tcPr>
          <w:p w14:paraId="3EF15BB4" w14:textId="77777777" w:rsidR="000079B7" w:rsidRPr="00C7021B" w:rsidRDefault="000079B7" w:rsidP="00C7021B">
            <w:pPr>
              <w:spacing w:before="450" w:after="450"/>
              <w:rPr>
                <w:rFonts w:eastAsia="Calibri" w:cs="Arial"/>
                <w:color w:val="0B0C0C"/>
              </w:rPr>
            </w:pPr>
            <w:r w:rsidRPr="00C7021B">
              <w:rPr>
                <w:rFonts w:eastAsia="Calibri" w:cs="Arial"/>
                <w:color w:val="0B0C0C"/>
              </w:rPr>
              <w:t>Maximum tonnage of disposed material x £0.01 per tonne</w:t>
            </w:r>
          </w:p>
        </w:tc>
        <w:tc>
          <w:tcPr>
            <w:tcW w:w="951" w:type="pct"/>
            <w:tcBorders>
              <w:top w:val="single" w:sz="4" w:space="0" w:color="auto"/>
            </w:tcBorders>
            <w:shd w:val="clear" w:color="auto" w:fill="FFFFFF"/>
            <w:hideMark/>
          </w:tcPr>
          <w:p w14:paraId="2B67307E" w14:textId="77777777" w:rsidR="000079B7" w:rsidRPr="00C7021B" w:rsidRDefault="000079B7" w:rsidP="00C7021B">
            <w:pPr>
              <w:spacing w:before="450" w:after="450"/>
              <w:rPr>
                <w:rFonts w:eastAsia="Calibri" w:cs="Arial"/>
                <w:color w:val="0B0C0C"/>
              </w:rPr>
            </w:pPr>
            <w:r w:rsidRPr="00C7021B">
              <w:rPr>
                <w:rFonts w:eastAsia="Calibri" w:cs="Arial"/>
                <w:color w:val="0B0C0C"/>
              </w:rPr>
              <w:t>£15,000 per annum</w:t>
            </w:r>
          </w:p>
        </w:tc>
      </w:tr>
    </w:tbl>
    <w:p w14:paraId="220912FB" w14:textId="77777777" w:rsidR="000079B7" w:rsidRPr="00F05A14" w:rsidRDefault="00F05A14" w:rsidP="00F05A14">
      <w:pPr>
        <w:spacing w:before="0"/>
        <w:rPr>
          <w:i/>
          <w:iCs/>
        </w:rPr>
      </w:pPr>
      <w:r w:rsidRPr="00F05A14">
        <w:rPr>
          <w:i/>
          <w:iCs/>
        </w:rPr>
        <w:t>Table 4</w:t>
      </w:r>
    </w:p>
    <w:p w14:paraId="6BD4001F" w14:textId="34E3EE9F" w:rsidR="000079B7" w:rsidRPr="007C66E7" w:rsidRDefault="000079B7" w:rsidP="00B957AC">
      <w:pPr>
        <w:pStyle w:val="Heading2"/>
      </w:pPr>
      <w:bookmarkStart w:id="53" w:name="_Toc1972024392"/>
      <w:bookmarkStart w:id="54" w:name="_Toc200715784"/>
      <w:r>
        <w:t>Review of marine licensing cost recovery</w:t>
      </w:r>
      <w:bookmarkEnd w:id="53"/>
      <w:bookmarkEnd w:id="54"/>
    </w:p>
    <w:p w14:paraId="06D88104" w14:textId="32189E21" w:rsidR="000079B7" w:rsidRDefault="000079B7" w:rsidP="00D56E62">
      <w:pPr>
        <w:jc w:val="both"/>
      </w:pPr>
      <w:r>
        <w:t>The current fee rates and maximum fee caps for marine licensing, set in 2018, have not been able to fully recover costs for the services provided by the MMO. This has led to a reliance on</w:t>
      </w:r>
      <w:r w:rsidR="00574D7A">
        <w:t xml:space="preserve"> </w:t>
      </w:r>
      <w:r w:rsidR="00D530DE">
        <w:t>GiA</w:t>
      </w:r>
      <w:r>
        <w:t xml:space="preserve"> funding.</w:t>
      </w:r>
    </w:p>
    <w:p w14:paraId="5A93AD2D" w14:textId="0963CF9F" w:rsidR="556625D0" w:rsidRDefault="000079B7" w:rsidP="00D56E62">
      <w:pPr>
        <w:spacing w:before="0" w:after="0"/>
        <w:jc w:val="both"/>
      </w:pPr>
      <w:r>
        <w:t xml:space="preserve">For example, 96% of the </w:t>
      </w:r>
      <w:r w:rsidR="6F531F8C">
        <w:t>485</w:t>
      </w:r>
      <w:r>
        <w:t xml:space="preserve"> Band 2 marine licence applications that have been determined since September 2018 have exceeded the maximum fee currently in place. For Band 2a, almost 8</w:t>
      </w:r>
      <w:r w:rsidR="0B40F8F1">
        <w:t>6</w:t>
      </w:r>
      <w:r>
        <w:t xml:space="preserve">% have required more than 20 chargeable hours, with the average time per case coming in at around </w:t>
      </w:r>
      <w:r w:rsidR="7CF982E1">
        <w:t>41</w:t>
      </w:r>
      <w:r>
        <w:t xml:space="preserve"> chargeable hours. Similarly for Band 2b, almost 9</w:t>
      </w:r>
      <w:r w:rsidR="7753DC61">
        <w:t>3</w:t>
      </w:r>
      <w:r>
        <w:t>% have required more than 20 chargeable hours to complete, with an average time per case of 4</w:t>
      </w:r>
      <w:r w:rsidR="3D5BEAE9">
        <w:t>9</w:t>
      </w:r>
      <w:r>
        <w:t xml:space="preserve"> chargeable hours.</w:t>
      </w:r>
    </w:p>
    <w:p w14:paraId="5BEFAE9C" w14:textId="61CA75C8" w:rsidR="000079B7" w:rsidRDefault="000079B7" w:rsidP="00D56E62">
      <w:pPr>
        <w:jc w:val="both"/>
      </w:pPr>
      <w:r>
        <w:t xml:space="preserve">Overall, Band 2 cost recovery performance has been only </w:t>
      </w:r>
      <w:r w:rsidR="0001321A" w:rsidRPr="0001321A">
        <w:t>32% on average</w:t>
      </w:r>
      <w:r>
        <w:t xml:space="preserve">, reflecting the increased complexity of the applications post-2018. Similarly, the hourly rate, which is currently set at £122, is no longer sufficient to achieve cost recovery, due to increased costs for the MMO in providing the service. </w:t>
      </w:r>
    </w:p>
    <w:p w14:paraId="3D2BE3F8" w14:textId="1C67F006" w:rsidR="000079B7" w:rsidRDefault="000079B7" w:rsidP="000079B7">
      <w:pPr>
        <w:jc w:val="both"/>
      </w:pPr>
      <w:r>
        <w:t>In 202</w:t>
      </w:r>
      <w:r w:rsidR="0F88B3BB">
        <w:t>3</w:t>
      </w:r>
      <w:r>
        <w:t>/2</w:t>
      </w:r>
      <w:r w:rsidR="4B012539">
        <w:t>4</w:t>
      </w:r>
      <w:r>
        <w:t xml:space="preserve"> the cost to process marine licences was </w:t>
      </w:r>
      <w:r w:rsidR="00574D7A">
        <w:t>£</w:t>
      </w:r>
      <w:r w:rsidR="2C830A99">
        <w:t>6</w:t>
      </w:r>
      <w:r w:rsidR="00574D7A">
        <w:t>,1</w:t>
      </w:r>
      <w:r w:rsidR="6CEA4270">
        <w:t>0</w:t>
      </w:r>
      <w:r w:rsidR="00574D7A">
        <w:t>0,000 whilst the fee income generated by these marine licen</w:t>
      </w:r>
      <w:r w:rsidR="157C1C49">
        <w:t>c</w:t>
      </w:r>
      <w:r w:rsidR="00574D7A">
        <w:t>es services was £</w:t>
      </w:r>
      <w:r w:rsidR="52353D6A">
        <w:t>3</w:t>
      </w:r>
      <w:r w:rsidR="00574D7A">
        <w:t>,</w:t>
      </w:r>
      <w:r w:rsidR="378E6E71">
        <w:t>200</w:t>
      </w:r>
      <w:r w:rsidR="00574D7A">
        <w:t>,</w:t>
      </w:r>
      <w:r w:rsidR="5AEA2BA8">
        <w:t>000</w:t>
      </w:r>
      <w:r w:rsidR="00574D7A">
        <w:t xml:space="preserve">; </w:t>
      </w:r>
      <w:r w:rsidR="007616D4">
        <w:t>therefore,</w:t>
      </w:r>
      <w:r w:rsidR="00574D7A">
        <w:t xml:space="preserve"> MMO cost recovery was only 5</w:t>
      </w:r>
      <w:r w:rsidR="63D59ADB">
        <w:t>2</w:t>
      </w:r>
      <w:r w:rsidR="00574D7A">
        <w:t>%</w:t>
      </w:r>
      <w:r w:rsidR="002C2061">
        <w:rPr>
          <w:rStyle w:val="FootnoteReference"/>
        </w:rPr>
        <w:footnoteReference w:id="24"/>
      </w:r>
      <w:r w:rsidR="00574D7A">
        <w:t>.</w:t>
      </w:r>
    </w:p>
    <w:p w14:paraId="767AFC4F" w14:textId="1F40B42B" w:rsidR="28C0A324" w:rsidRDefault="000079B7" w:rsidP="51018353">
      <w:pPr>
        <w:spacing w:before="0" w:after="0"/>
        <w:jc w:val="both"/>
      </w:pPr>
      <w:r>
        <w:t xml:space="preserve">It is important that these fees are uplifted to allow fuller recovery of costs and reduce subsidy by the taxpayer. This is especially important in the context of future pressures that will come from delivering the </w:t>
      </w:r>
      <w:r w:rsidR="765ECCFA">
        <w:t>g</w:t>
      </w:r>
      <w:r>
        <w:t xml:space="preserve">overnment’s ambition </w:t>
      </w:r>
      <w:r w:rsidR="4A597726">
        <w:t xml:space="preserve">for </w:t>
      </w:r>
      <w:r w:rsidR="4A597726" w:rsidRPr="001946FA">
        <w:rPr>
          <w:rFonts w:cs="Arial"/>
          <w:szCs w:val="24"/>
        </w:rPr>
        <w:t xml:space="preserve">the country </w:t>
      </w:r>
      <w:r w:rsidR="00E7658D" w:rsidRPr="001946FA">
        <w:rPr>
          <w:rStyle w:val="cf01"/>
          <w:rFonts w:ascii="Arial" w:hAnsi="Arial" w:cs="Arial"/>
          <w:sz w:val="24"/>
          <w:szCs w:val="24"/>
        </w:rPr>
        <w:t>to deliver clean power by 2030 requiring significant acceleration of building renewable energy</w:t>
      </w:r>
      <w:r w:rsidR="4A597726">
        <w:t>.</w:t>
      </w:r>
    </w:p>
    <w:p w14:paraId="417FB3F6" w14:textId="6A1BCD9A" w:rsidR="000079B7" w:rsidRPr="00CC79E1" w:rsidRDefault="000079B7" w:rsidP="00B957AC">
      <w:pPr>
        <w:pStyle w:val="Heading2"/>
      </w:pPr>
      <w:bookmarkStart w:id="55" w:name="_Toc1402678993"/>
      <w:bookmarkStart w:id="56" w:name="_Toc200715785"/>
      <w:r>
        <w:lastRenderedPageBreak/>
        <w:t xml:space="preserve">Details of </w:t>
      </w:r>
      <w:r w:rsidR="00B17662">
        <w:t>p</w:t>
      </w:r>
      <w:r>
        <w:t xml:space="preserve">roposed </w:t>
      </w:r>
      <w:r w:rsidR="00B17662">
        <w:t>a</w:t>
      </w:r>
      <w:r>
        <w:t>mendments</w:t>
      </w:r>
      <w:bookmarkEnd w:id="55"/>
      <w:bookmarkEnd w:id="56"/>
    </w:p>
    <w:p w14:paraId="416D0B48" w14:textId="68218C5C" w:rsidR="00A76050" w:rsidRPr="00A76050" w:rsidRDefault="00E169EC" w:rsidP="00A76050">
      <w:pPr>
        <w:pStyle w:val="Heading3"/>
        <w:rPr>
          <w:color w:val="008938"/>
        </w:rPr>
      </w:pPr>
      <w:r>
        <w:rPr>
          <w:color w:val="008938"/>
        </w:rPr>
        <w:t xml:space="preserve">Hourly rate and </w:t>
      </w:r>
      <w:r w:rsidR="00DA02F1">
        <w:rPr>
          <w:color w:val="008938"/>
        </w:rPr>
        <w:t>B</w:t>
      </w:r>
      <w:r w:rsidR="000079B7" w:rsidRPr="009A0FAC">
        <w:rPr>
          <w:color w:val="008938"/>
        </w:rPr>
        <w:t xml:space="preserve">and 3 </w:t>
      </w:r>
      <w:r w:rsidR="000079B7">
        <w:rPr>
          <w:color w:val="008938"/>
        </w:rPr>
        <w:t>l</w:t>
      </w:r>
      <w:r w:rsidR="000079B7" w:rsidRPr="009A0FAC">
        <w:rPr>
          <w:color w:val="008938"/>
        </w:rPr>
        <w:t>icence</w:t>
      </w:r>
      <w:r w:rsidR="000079B7">
        <w:rPr>
          <w:color w:val="008938"/>
        </w:rPr>
        <w:t xml:space="preserve"> conditions </w:t>
      </w:r>
    </w:p>
    <w:p w14:paraId="47847425" w14:textId="34E21CFB" w:rsidR="00A76050" w:rsidRDefault="00A76050" w:rsidP="000079B7">
      <w:pPr>
        <w:spacing w:before="0" w:after="0" w:line="240" w:lineRule="auto"/>
        <w:jc w:val="both"/>
      </w:pPr>
    </w:p>
    <w:p w14:paraId="2776D436" w14:textId="77777777" w:rsidR="000079B7" w:rsidRDefault="000079B7" w:rsidP="00054E4A">
      <w:pPr>
        <w:spacing w:before="0" w:after="0"/>
        <w:jc w:val="both"/>
      </w:pPr>
      <w:r w:rsidRPr="00E4397A">
        <w:t>The MMO’s operating costs to provide the marine licensing service</w:t>
      </w:r>
      <w:r w:rsidR="004C4970">
        <w:t xml:space="preserve"> </w:t>
      </w:r>
      <w:r w:rsidRPr="00E4397A">
        <w:t xml:space="preserve">have increased since 2018 and have also not accounted for inflation. </w:t>
      </w:r>
      <w:r w:rsidRPr="00756125">
        <w:rPr>
          <w:rFonts w:cs="Arial"/>
        </w:rPr>
        <w:t>As such,</w:t>
      </w:r>
      <w:r>
        <w:rPr>
          <w:rFonts w:cs="Arial"/>
        </w:rPr>
        <w:t xml:space="preserve"> fees are </w:t>
      </w:r>
      <w:r>
        <w:t>currently not</w:t>
      </w:r>
      <w:r w:rsidRPr="00E4397A">
        <w:t xml:space="preserve"> sufficient </w:t>
      </w:r>
      <w:r>
        <w:t xml:space="preserve">to enable </w:t>
      </w:r>
      <w:r w:rsidRPr="00E4397A">
        <w:t xml:space="preserve">full cost recovery of marine licensing </w:t>
      </w:r>
      <w:r w:rsidR="00BA75D1">
        <w:t xml:space="preserve">case </w:t>
      </w:r>
      <w:r>
        <w:t>work</w:t>
      </w:r>
      <w:r w:rsidR="00BA75D1">
        <w:t xml:space="preserve"> </w:t>
      </w:r>
      <w:bookmarkStart w:id="57" w:name="_Hlk153364024"/>
      <w:r w:rsidR="00BA75D1">
        <w:t xml:space="preserve">(including dealing with applications, </w:t>
      </w:r>
      <w:r w:rsidR="00C33B5B">
        <w:t xml:space="preserve">travel time associated with all licensing activity, </w:t>
      </w:r>
      <w:r w:rsidR="00BA75D1">
        <w:t>post-consent monitoring, variations and transfers, and advice in relation to the marine licensing service</w:t>
      </w:r>
      <w:r w:rsidR="005F4092">
        <w:rPr>
          <w:rStyle w:val="FootnoteReference"/>
        </w:rPr>
        <w:footnoteReference w:id="25"/>
      </w:r>
      <w:r w:rsidR="00BA75D1">
        <w:t>)</w:t>
      </w:r>
      <w:r>
        <w:t xml:space="preserve">. </w:t>
      </w:r>
      <w:bookmarkEnd w:id="57"/>
      <w:r>
        <w:t>A</w:t>
      </w:r>
      <w:r w:rsidRPr="00756125">
        <w:rPr>
          <w:rFonts w:cs="Arial"/>
        </w:rPr>
        <w:t xml:space="preserve">ssociated </w:t>
      </w:r>
      <w:r>
        <w:rPr>
          <w:rFonts w:cs="Arial"/>
        </w:rPr>
        <w:t>fees</w:t>
      </w:r>
      <w:r w:rsidRPr="00756125">
        <w:rPr>
          <w:rFonts w:cs="Arial"/>
        </w:rPr>
        <w:t xml:space="preserve"> </w:t>
      </w:r>
      <w:r>
        <w:rPr>
          <w:rFonts w:cs="Arial"/>
        </w:rPr>
        <w:t xml:space="preserve">therefore </w:t>
      </w:r>
      <w:r w:rsidRPr="00756125">
        <w:rPr>
          <w:rFonts w:cs="Arial"/>
        </w:rPr>
        <w:t xml:space="preserve">need to be uplifted to ensure sufficient </w:t>
      </w:r>
      <w:r w:rsidR="00C33B5B">
        <w:rPr>
          <w:rFonts w:cs="Arial"/>
        </w:rPr>
        <w:t xml:space="preserve">funding is available for </w:t>
      </w:r>
      <w:r w:rsidRPr="00756125">
        <w:rPr>
          <w:rFonts w:cs="Arial"/>
        </w:rPr>
        <w:t>MMO resource</w:t>
      </w:r>
      <w:r w:rsidR="00C33B5B">
        <w:rPr>
          <w:rFonts w:cs="Arial"/>
        </w:rPr>
        <w:t>s</w:t>
      </w:r>
      <w:r w:rsidRPr="00756125">
        <w:rPr>
          <w:rFonts w:cs="Arial"/>
        </w:rPr>
        <w:t xml:space="preserve"> and reduce the risk of processing delays</w:t>
      </w:r>
      <w:r w:rsidRPr="00E4397A">
        <w:t xml:space="preserve">. </w:t>
      </w:r>
    </w:p>
    <w:p w14:paraId="6B699379" w14:textId="77777777" w:rsidR="000079B7" w:rsidRDefault="000079B7" w:rsidP="00054E4A">
      <w:pPr>
        <w:spacing w:before="0" w:after="0"/>
        <w:jc w:val="both"/>
      </w:pPr>
    </w:p>
    <w:p w14:paraId="50455C8A" w14:textId="39C4AD29" w:rsidR="000079B7" w:rsidRDefault="000079B7" w:rsidP="00054E4A">
      <w:pPr>
        <w:spacing w:before="0" w:after="0"/>
        <w:jc w:val="both"/>
      </w:pPr>
      <w:r>
        <w:t xml:space="preserve">Following economic analysis and review of cost models, an uplift from the current MMO case officer hourly rate </w:t>
      </w:r>
      <w:bookmarkStart w:id="58" w:name="_Hlk153364088"/>
      <w:r w:rsidR="00BA75D1">
        <w:t xml:space="preserve">for the marine licensing service </w:t>
      </w:r>
      <w:bookmarkEnd w:id="58"/>
      <w:r>
        <w:t>of £122 per hour to £1</w:t>
      </w:r>
      <w:r w:rsidR="5451E1AA">
        <w:t>55</w:t>
      </w:r>
      <w:r>
        <w:t xml:space="preserve"> per hour is proposed</w:t>
      </w:r>
      <w:r w:rsidR="00E169EC">
        <w:t xml:space="preserve"> across Bands 2 and 3</w:t>
      </w:r>
      <w:r>
        <w:t xml:space="preserve"> to bring fees in line with current MMO costs.</w:t>
      </w:r>
    </w:p>
    <w:p w14:paraId="3FE9F23F" w14:textId="77777777" w:rsidR="000079B7" w:rsidRDefault="000079B7" w:rsidP="00054E4A">
      <w:pPr>
        <w:spacing w:before="0" w:after="0"/>
        <w:jc w:val="both"/>
      </w:pPr>
    </w:p>
    <w:p w14:paraId="4BEB64E2" w14:textId="53B0214D" w:rsidR="00DFD0B4" w:rsidRDefault="000079B7" w:rsidP="00054E4A">
      <w:pPr>
        <w:spacing w:before="0" w:after="0"/>
        <w:jc w:val="both"/>
      </w:pPr>
      <w:r>
        <w:t xml:space="preserve">Further, some spatially large developments which have </w:t>
      </w:r>
      <w:bookmarkStart w:id="59" w:name="_Int_qlFTpmTE"/>
      <w:r>
        <w:t>a large impact</w:t>
      </w:r>
      <w:bookmarkEnd w:id="59"/>
      <w:r>
        <w:t xml:space="preserve"> on other legitimate uses of the sea do not currently fall into the category of a Band 3 complex licence, due to the application not meeting any of the criteria for a Band 3 licence. These licences can nevertheless take a lot of work to determine due to technical assessment and consultation requirements, and therefore case officer hours usually greatly exceed the Band 2 maximum fee. In such cases, size is usually a good indicator of the length and complexity of the marine licensing determination due to the likelihood of larger developments having greater or more impacts on the environment and other legitimate uses of the sea.</w:t>
      </w:r>
    </w:p>
    <w:p w14:paraId="092362C1" w14:textId="77777777" w:rsidR="000079B7" w:rsidRPr="00B64677" w:rsidRDefault="000079B7" w:rsidP="00054E4A">
      <w:pPr>
        <w:jc w:val="both"/>
        <w:rPr>
          <w:lang w:val="en-US"/>
        </w:rPr>
      </w:pPr>
      <w:r w:rsidRPr="008B5657">
        <w:rPr>
          <w:b/>
          <w:lang w:val="en-US"/>
        </w:rPr>
        <w:t xml:space="preserve">Proposed amendment: </w:t>
      </w:r>
    </w:p>
    <w:p w14:paraId="44358D92" w14:textId="12517743" w:rsidR="000079B7" w:rsidRPr="009C123A" w:rsidRDefault="1BF1C46F" w:rsidP="00054E4A">
      <w:pPr>
        <w:spacing w:before="0" w:after="0"/>
        <w:jc w:val="both"/>
        <w:rPr>
          <w:rFonts w:cs="Arial"/>
          <w:vertAlign w:val="superscript"/>
        </w:rPr>
      </w:pPr>
      <w:r w:rsidRPr="5387DA66">
        <w:rPr>
          <w:rFonts w:cs="Arial"/>
        </w:rPr>
        <w:t xml:space="preserve">We propose to raise the hourly rate for the MMO’s </w:t>
      </w:r>
      <w:r w:rsidR="55B6A032" w:rsidRPr="5387DA66">
        <w:rPr>
          <w:rFonts w:cs="Arial"/>
        </w:rPr>
        <w:t>m</w:t>
      </w:r>
      <w:r w:rsidRPr="5387DA66">
        <w:rPr>
          <w:rFonts w:cs="Arial"/>
        </w:rPr>
        <w:t xml:space="preserve">arine </w:t>
      </w:r>
      <w:r w:rsidR="55B6A032" w:rsidRPr="5387DA66">
        <w:rPr>
          <w:rFonts w:cs="Arial"/>
        </w:rPr>
        <w:t>l</w:t>
      </w:r>
      <w:r w:rsidRPr="5387DA66">
        <w:rPr>
          <w:rFonts w:cs="Arial"/>
        </w:rPr>
        <w:t>icensing service to £1</w:t>
      </w:r>
      <w:r w:rsidR="5D25CE5F" w:rsidRPr="5387DA66">
        <w:rPr>
          <w:rFonts w:cs="Arial"/>
        </w:rPr>
        <w:t>55</w:t>
      </w:r>
      <w:r w:rsidRPr="5387DA66">
        <w:rPr>
          <w:rFonts w:cs="Arial"/>
        </w:rPr>
        <w:t xml:space="preserve"> per chargeable hour in 202</w:t>
      </w:r>
      <w:r w:rsidR="2EC77A98" w:rsidRPr="5387DA66">
        <w:rPr>
          <w:rFonts w:cs="Arial"/>
        </w:rPr>
        <w:t>5</w:t>
      </w:r>
      <w:r w:rsidRPr="5387DA66">
        <w:rPr>
          <w:rFonts w:cs="Arial"/>
        </w:rPr>
        <w:t xml:space="preserve"> with annual increases linked to inflation.</w:t>
      </w:r>
      <w:r w:rsidR="5CDB4AEC" w:rsidRPr="5387DA66">
        <w:rPr>
          <w:rFonts w:cs="Arial"/>
        </w:rPr>
        <w:t xml:space="preserve"> </w:t>
      </w:r>
      <w:r w:rsidR="0402B359" w:rsidRPr="5387DA66">
        <w:rPr>
          <w:rFonts w:cs="Arial"/>
        </w:rPr>
        <w:t>This change will also</w:t>
      </w:r>
      <w:r w:rsidR="5CDB4AEC" w:rsidRPr="5387DA66">
        <w:rPr>
          <w:rFonts w:cs="Arial"/>
        </w:rPr>
        <w:t xml:space="preserve"> include </w:t>
      </w:r>
      <w:r w:rsidR="0402B359" w:rsidRPr="5387DA66">
        <w:rPr>
          <w:rFonts w:cs="Arial"/>
        </w:rPr>
        <w:t xml:space="preserve">any work undertaken during the </w:t>
      </w:r>
      <w:r w:rsidR="5CDB4AEC" w:rsidRPr="5387DA66">
        <w:rPr>
          <w:rFonts w:cs="Arial"/>
        </w:rPr>
        <w:t xml:space="preserve">Nationally Significant Infrastructure Project (NSIP) </w:t>
      </w:r>
      <w:r w:rsidR="0402B359" w:rsidRPr="5387DA66">
        <w:rPr>
          <w:rFonts w:cs="Arial"/>
        </w:rPr>
        <w:t>process</w:t>
      </w:r>
      <w:r w:rsidR="009C123A">
        <w:rPr>
          <w:rFonts w:cs="Arial"/>
        </w:rPr>
        <w:t xml:space="preserve"> </w:t>
      </w:r>
      <w:r w:rsidR="009F19AD">
        <w:rPr>
          <w:rFonts w:cs="Arial"/>
        </w:rPr>
        <w:t>(</w:t>
      </w:r>
      <w:r w:rsidR="009F19AD">
        <w:t>The MMO will in due course also seek to consult on an increase to the hourly rate for EIA work).</w:t>
      </w:r>
      <w:r w:rsidR="009C123A">
        <w:t xml:space="preserve"> </w:t>
      </w:r>
      <w:r w:rsidR="5FA11B26" w:rsidRPr="5387DA66">
        <w:rPr>
          <w:rFonts w:cs="Arial"/>
        </w:rPr>
        <w:t>Marine lice</w:t>
      </w:r>
      <w:r w:rsidR="2770A9C8" w:rsidRPr="5387DA66">
        <w:rPr>
          <w:rFonts w:cs="Arial"/>
        </w:rPr>
        <w:t>nsing</w:t>
      </w:r>
      <w:r w:rsidR="1AE974A5" w:rsidRPr="5387DA66">
        <w:rPr>
          <w:rFonts w:cs="Arial"/>
        </w:rPr>
        <w:t xml:space="preserve"> pre-application</w:t>
      </w:r>
      <w:r w:rsidR="56B31D5A" w:rsidRPr="5387DA66">
        <w:rPr>
          <w:rFonts w:cs="Arial"/>
        </w:rPr>
        <w:t xml:space="preserve"> advice </w:t>
      </w:r>
      <w:r w:rsidR="3C6C968A" w:rsidRPr="5387DA66">
        <w:rPr>
          <w:rFonts w:cs="Arial"/>
        </w:rPr>
        <w:t xml:space="preserve">and other </w:t>
      </w:r>
      <w:r w:rsidR="56B31D5A" w:rsidRPr="5387DA66">
        <w:rPr>
          <w:rFonts w:cs="Arial"/>
        </w:rPr>
        <w:t xml:space="preserve">marine licensing or NSIP </w:t>
      </w:r>
      <w:r w:rsidR="3C6C968A" w:rsidRPr="5387DA66">
        <w:rPr>
          <w:rFonts w:cs="Arial"/>
        </w:rPr>
        <w:t xml:space="preserve">discretionary </w:t>
      </w:r>
      <w:r w:rsidR="6C6F0643" w:rsidRPr="5387DA66">
        <w:rPr>
          <w:rFonts w:cs="Arial"/>
        </w:rPr>
        <w:t>advice</w:t>
      </w:r>
      <w:r w:rsidR="1AE974A5" w:rsidRPr="5387DA66">
        <w:rPr>
          <w:rFonts w:cs="Arial"/>
        </w:rPr>
        <w:t xml:space="preserve"> will </w:t>
      </w:r>
      <w:r w:rsidR="58F271C0" w:rsidRPr="5387DA66">
        <w:rPr>
          <w:rFonts w:cs="Arial"/>
        </w:rPr>
        <w:t xml:space="preserve">increase to </w:t>
      </w:r>
      <w:r w:rsidR="0AE34D3C" w:rsidRPr="5387DA66">
        <w:rPr>
          <w:rFonts w:cs="Arial"/>
        </w:rPr>
        <w:t xml:space="preserve">a new hourly rate of </w:t>
      </w:r>
      <w:r w:rsidR="58F271C0" w:rsidRPr="5387DA66">
        <w:rPr>
          <w:rFonts w:cs="Arial"/>
        </w:rPr>
        <w:t>£155 plus VAT</w:t>
      </w:r>
      <w:r w:rsidR="4F320FF8" w:rsidRPr="5387DA66">
        <w:rPr>
          <w:rFonts w:cs="Arial"/>
        </w:rPr>
        <w:t xml:space="preserve"> per hour</w:t>
      </w:r>
      <w:r w:rsidR="564AAE52" w:rsidRPr="5387DA66">
        <w:rPr>
          <w:rFonts w:cs="Arial"/>
        </w:rPr>
        <w:t xml:space="preserve"> with annual increases linked to inflation</w:t>
      </w:r>
      <w:r w:rsidR="58F271C0" w:rsidRPr="5387DA66">
        <w:rPr>
          <w:rFonts w:cs="Arial"/>
        </w:rPr>
        <w:t>.</w:t>
      </w:r>
    </w:p>
    <w:p w14:paraId="1F72F646" w14:textId="77777777" w:rsidR="000079B7" w:rsidRDefault="000079B7" w:rsidP="00054E4A">
      <w:pPr>
        <w:spacing w:before="0" w:after="0"/>
        <w:jc w:val="both"/>
        <w:rPr>
          <w:rFonts w:cs="Arial"/>
        </w:rPr>
      </w:pPr>
    </w:p>
    <w:p w14:paraId="142942ED" w14:textId="77777777" w:rsidR="000079B7" w:rsidRDefault="000079B7" w:rsidP="00054E4A">
      <w:pPr>
        <w:spacing w:before="0" w:after="0"/>
        <w:jc w:val="both"/>
        <w:rPr>
          <w:rFonts w:cs="Arial"/>
        </w:rPr>
      </w:pPr>
      <w:r>
        <w:rPr>
          <w:rFonts w:cs="Arial"/>
        </w:rPr>
        <w:t>We also propose to add a new complex characteristic criterion so that if a licence application relates to a plan or project over 5 hectares in size it is a Band 3 application.</w:t>
      </w:r>
    </w:p>
    <w:p w14:paraId="7ACB775D" w14:textId="77777777" w:rsidR="005D6BD7" w:rsidRDefault="005D6BD7" w:rsidP="00054E4A">
      <w:pPr>
        <w:spacing w:before="0" w:after="0"/>
        <w:jc w:val="both"/>
        <w:rPr>
          <w:rFonts w:cs="Arial"/>
        </w:rPr>
      </w:pPr>
    </w:p>
    <w:p w14:paraId="08CE6F91" w14:textId="77777777" w:rsidR="00613866" w:rsidRDefault="00613866" w:rsidP="000079B7">
      <w:pPr>
        <w:spacing w:before="0" w:after="0" w:line="240" w:lineRule="auto"/>
        <w:jc w:val="both"/>
        <w:rPr>
          <w:rFonts w:cs="Arial"/>
        </w:rPr>
      </w:pPr>
    </w:p>
    <w:tbl>
      <w:tblPr>
        <w:tblW w:w="5000" w:type="pct"/>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Look w:val="04A0" w:firstRow="1" w:lastRow="0" w:firstColumn="1" w:lastColumn="0" w:noHBand="0" w:noVBand="1"/>
      </w:tblPr>
      <w:tblGrid>
        <w:gridCol w:w="2450"/>
        <w:gridCol w:w="3600"/>
        <w:gridCol w:w="3571"/>
      </w:tblGrid>
      <w:tr w:rsidR="002621D5" w:rsidRPr="00A63A7D" w14:paraId="37BD0E4F" w14:textId="77777777" w:rsidTr="33F51E54">
        <w:trPr>
          <w:trHeight w:val="219"/>
        </w:trPr>
        <w:tc>
          <w:tcPr>
            <w:tcW w:w="1273" w:type="pct"/>
            <w:tcBorders>
              <w:top w:val="single" w:sz="4" w:space="0" w:color="auto"/>
              <w:left w:val="single" w:sz="4" w:space="0" w:color="auto"/>
              <w:bottom w:val="single" w:sz="4" w:space="0" w:color="auto"/>
              <w:right w:val="single" w:sz="4" w:space="0" w:color="auto"/>
            </w:tcBorders>
            <w:shd w:val="clear" w:color="auto" w:fill="008938"/>
          </w:tcPr>
          <w:p w14:paraId="78446F99" w14:textId="77777777" w:rsidR="00613866" w:rsidRPr="00C7021B" w:rsidRDefault="00E00080" w:rsidP="002856C1">
            <w:pPr>
              <w:rPr>
                <w:rFonts w:eastAsia="Calibri" w:cs="Arial"/>
                <w:b/>
                <w:bCs/>
                <w:color w:val="FFFFFF"/>
                <w:szCs w:val="24"/>
              </w:rPr>
            </w:pPr>
            <w:r w:rsidRPr="00C7021B">
              <w:rPr>
                <w:rFonts w:eastAsia="Calibri" w:cs="Arial"/>
                <w:b/>
                <w:bCs/>
                <w:color w:val="FFFFFF"/>
                <w:szCs w:val="24"/>
              </w:rPr>
              <w:t xml:space="preserve">Fee </w:t>
            </w:r>
            <w:r w:rsidR="00613866" w:rsidRPr="00C7021B">
              <w:rPr>
                <w:rFonts w:eastAsia="Calibri" w:cs="Arial"/>
                <w:b/>
                <w:bCs/>
                <w:color w:val="FFFFFF"/>
                <w:szCs w:val="24"/>
              </w:rPr>
              <w:t>Band</w:t>
            </w:r>
          </w:p>
        </w:tc>
        <w:tc>
          <w:tcPr>
            <w:tcW w:w="1871" w:type="pct"/>
            <w:tcBorders>
              <w:top w:val="single" w:sz="4" w:space="0" w:color="auto"/>
              <w:left w:val="single" w:sz="4" w:space="0" w:color="auto"/>
              <w:bottom w:val="single" w:sz="4" w:space="0" w:color="auto"/>
              <w:right w:val="single" w:sz="4" w:space="0" w:color="auto"/>
            </w:tcBorders>
            <w:shd w:val="clear" w:color="auto" w:fill="008938"/>
          </w:tcPr>
          <w:p w14:paraId="7843BC7C" w14:textId="77777777" w:rsidR="00613866" w:rsidRPr="00C7021B" w:rsidRDefault="008B64FA" w:rsidP="002856C1">
            <w:pPr>
              <w:rPr>
                <w:rFonts w:eastAsia="Calibri" w:cs="Arial"/>
                <w:b/>
                <w:bCs/>
                <w:color w:val="FFFFFF"/>
                <w:szCs w:val="24"/>
              </w:rPr>
            </w:pPr>
            <w:r w:rsidRPr="00C7021B">
              <w:rPr>
                <w:rFonts w:eastAsia="Calibri" w:cs="Arial"/>
                <w:b/>
                <w:bCs/>
                <w:color w:val="FFFFFF"/>
                <w:szCs w:val="24"/>
              </w:rPr>
              <w:t>Current</w:t>
            </w:r>
            <w:r w:rsidR="00613866" w:rsidRPr="00C7021B">
              <w:rPr>
                <w:rFonts w:eastAsia="Calibri" w:cs="Arial"/>
                <w:b/>
                <w:bCs/>
                <w:color w:val="FFFFFF"/>
                <w:szCs w:val="24"/>
              </w:rPr>
              <w:t xml:space="preserve"> Hourly Rate</w:t>
            </w:r>
          </w:p>
        </w:tc>
        <w:tc>
          <w:tcPr>
            <w:tcW w:w="1856" w:type="pct"/>
            <w:tcBorders>
              <w:top w:val="single" w:sz="4" w:space="0" w:color="auto"/>
              <w:left w:val="single" w:sz="4" w:space="0" w:color="auto"/>
              <w:bottom w:val="single" w:sz="4" w:space="0" w:color="auto"/>
              <w:right w:val="single" w:sz="4" w:space="0" w:color="auto"/>
            </w:tcBorders>
            <w:shd w:val="clear" w:color="auto" w:fill="008938"/>
          </w:tcPr>
          <w:p w14:paraId="7EEFD4F6" w14:textId="77777777" w:rsidR="00613866" w:rsidRPr="00C7021B" w:rsidRDefault="008B64FA" w:rsidP="002856C1">
            <w:pPr>
              <w:rPr>
                <w:rFonts w:eastAsia="Calibri" w:cs="Arial"/>
                <w:b/>
                <w:bCs/>
                <w:color w:val="FFFFFF"/>
                <w:szCs w:val="24"/>
              </w:rPr>
            </w:pPr>
            <w:r w:rsidRPr="00C7021B">
              <w:rPr>
                <w:rFonts w:eastAsia="Calibri" w:cs="Arial"/>
                <w:b/>
                <w:bCs/>
                <w:color w:val="FFFFFF"/>
                <w:szCs w:val="24"/>
              </w:rPr>
              <w:t>Proposed</w:t>
            </w:r>
            <w:r w:rsidR="00613866" w:rsidRPr="00C7021B">
              <w:rPr>
                <w:rFonts w:eastAsia="Calibri" w:cs="Arial"/>
                <w:b/>
                <w:bCs/>
                <w:color w:val="FFFFFF"/>
                <w:szCs w:val="24"/>
              </w:rPr>
              <w:t xml:space="preserve"> Hourly Rate </w:t>
            </w:r>
          </w:p>
        </w:tc>
      </w:tr>
      <w:tr w:rsidR="002621D5" w:rsidRPr="00A63A7D" w14:paraId="6B1C5D00" w14:textId="77777777" w:rsidTr="33F51E54">
        <w:trPr>
          <w:trHeight w:val="219"/>
        </w:trPr>
        <w:tc>
          <w:tcPr>
            <w:tcW w:w="1273" w:type="pct"/>
            <w:tcBorders>
              <w:top w:val="single" w:sz="4" w:space="0" w:color="auto"/>
            </w:tcBorders>
            <w:shd w:val="clear" w:color="auto" w:fill="CBE9D3"/>
          </w:tcPr>
          <w:p w14:paraId="78845177" w14:textId="77777777" w:rsidR="00613866" w:rsidRPr="00C7021B" w:rsidRDefault="00E00080" w:rsidP="002856C1">
            <w:pPr>
              <w:rPr>
                <w:rFonts w:eastAsia="Calibri" w:cs="Arial"/>
                <w:szCs w:val="24"/>
              </w:rPr>
            </w:pPr>
            <w:r w:rsidRPr="00C7021B">
              <w:rPr>
                <w:rFonts w:eastAsia="Calibri" w:cs="Arial"/>
                <w:szCs w:val="24"/>
              </w:rPr>
              <w:t>Band</w:t>
            </w:r>
            <w:r w:rsidR="00E169EC">
              <w:rPr>
                <w:rFonts w:eastAsia="Calibri" w:cs="Arial"/>
                <w:szCs w:val="24"/>
              </w:rPr>
              <w:t>s 2 and</w:t>
            </w:r>
            <w:r w:rsidRPr="00C7021B">
              <w:rPr>
                <w:rFonts w:eastAsia="Calibri" w:cs="Arial"/>
                <w:szCs w:val="24"/>
              </w:rPr>
              <w:t xml:space="preserve"> </w:t>
            </w:r>
            <w:r w:rsidR="00613866" w:rsidRPr="00C7021B">
              <w:rPr>
                <w:rFonts w:eastAsia="Calibri" w:cs="Arial"/>
                <w:szCs w:val="24"/>
              </w:rPr>
              <w:t>3</w:t>
            </w:r>
          </w:p>
        </w:tc>
        <w:tc>
          <w:tcPr>
            <w:tcW w:w="1871" w:type="pct"/>
            <w:tcBorders>
              <w:top w:val="single" w:sz="4" w:space="0" w:color="auto"/>
            </w:tcBorders>
            <w:shd w:val="clear" w:color="auto" w:fill="FFFFFF" w:themeFill="background1"/>
          </w:tcPr>
          <w:p w14:paraId="34BFE9E8" w14:textId="77777777" w:rsidR="00613866" w:rsidRPr="00C7021B" w:rsidRDefault="00613866" w:rsidP="002856C1">
            <w:pPr>
              <w:rPr>
                <w:rFonts w:eastAsia="Calibri" w:cs="Arial"/>
                <w:szCs w:val="24"/>
              </w:rPr>
            </w:pPr>
            <w:r w:rsidRPr="00C7021B">
              <w:rPr>
                <w:rFonts w:eastAsia="Calibri" w:cs="Arial"/>
                <w:szCs w:val="24"/>
              </w:rPr>
              <w:t>£122</w:t>
            </w:r>
          </w:p>
        </w:tc>
        <w:tc>
          <w:tcPr>
            <w:tcW w:w="1856" w:type="pct"/>
            <w:tcBorders>
              <w:top w:val="single" w:sz="4" w:space="0" w:color="auto"/>
            </w:tcBorders>
            <w:shd w:val="clear" w:color="auto" w:fill="FFFFFF" w:themeFill="background1"/>
          </w:tcPr>
          <w:p w14:paraId="57C8CCDA" w14:textId="275CD8E6" w:rsidR="00613866" w:rsidRPr="00C7021B" w:rsidRDefault="00613866" w:rsidP="22844F96">
            <w:pPr>
              <w:rPr>
                <w:rFonts w:eastAsia="Calibri" w:cs="Arial"/>
              </w:rPr>
            </w:pPr>
            <w:r w:rsidRPr="33F51E54">
              <w:rPr>
                <w:rFonts w:eastAsia="Calibri" w:cs="Arial"/>
              </w:rPr>
              <w:t>£1</w:t>
            </w:r>
            <w:r w:rsidR="083A8CCC" w:rsidRPr="33F51E54">
              <w:rPr>
                <w:rFonts w:eastAsia="Calibri" w:cs="Arial"/>
              </w:rPr>
              <w:t>55</w:t>
            </w:r>
          </w:p>
        </w:tc>
      </w:tr>
    </w:tbl>
    <w:p w14:paraId="734D76C9" w14:textId="61699D47" w:rsidR="002D48A9" w:rsidRPr="00756125" w:rsidRDefault="00F05A14" w:rsidP="000079B7">
      <w:pPr>
        <w:spacing w:before="0" w:after="0" w:line="240" w:lineRule="auto"/>
        <w:rPr>
          <w:rFonts w:cs="Arial"/>
        </w:rPr>
      </w:pPr>
      <w:r w:rsidRPr="00F05A14">
        <w:rPr>
          <w:rFonts w:cs="Arial"/>
          <w:i/>
          <w:iCs/>
        </w:rPr>
        <w:t>Table 5</w:t>
      </w:r>
    </w:p>
    <w:p w14:paraId="218A8EB1" w14:textId="2111F107" w:rsidR="008F7222" w:rsidRDefault="123E1E2F" w:rsidP="00DFD0B4">
      <w:pPr>
        <w:pBdr>
          <w:top w:val="single" w:sz="4" w:space="1" w:color="000000"/>
          <w:left w:val="single" w:sz="4" w:space="4" w:color="000000"/>
          <w:bottom w:val="single" w:sz="4" w:space="1" w:color="000000"/>
          <w:right w:val="single" w:sz="4" w:space="4" w:color="000000"/>
        </w:pBdr>
        <w:jc w:val="both"/>
        <w:rPr>
          <w:b/>
          <w:bCs/>
          <w:lang w:val="en-US"/>
        </w:rPr>
      </w:pPr>
      <w:r w:rsidRPr="00DFD0B4">
        <w:rPr>
          <w:b/>
          <w:bCs/>
          <w:lang w:val="en-US"/>
        </w:rPr>
        <w:t>1</w:t>
      </w:r>
      <w:r w:rsidR="00EC25FE">
        <w:rPr>
          <w:b/>
          <w:bCs/>
          <w:lang w:val="en-US"/>
        </w:rPr>
        <w:t>5</w:t>
      </w:r>
      <w:r w:rsidRPr="00DFD0B4">
        <w:rPr>
          <w:b/>
          <w:bCs/>
          <w:lang w:val="en-US"/>
        </w:rPr>
        <w:t xml:space="preserve">a. Do you agree with the </w:t>
      </w:r>
      <w:r w:rsidRPr="00DFD0B4">
        <w:rPr>
          <w:b/>
          <w:bCs/>
        </w:rPr>
        <w:t xml:space="preserve">proposed amendment to increase </w:t>
      </w:r>
      <w:r w:rsidR="00A20AC0">
        <w:rPr>
          <w:b/>
          <w:bCs/>
        </w:rPr>
        <w:t xml:space="preserve">the </w:t>
      </w:r>
      <w:r w:rsidRPr="00DFD0B4">
        <w:rPr>
          <w:b/>
          <w:bCs/>
        </w:rPr>
        <w:t xml:space="preserve">MMO’s hourly rate </w:t>
      </w:r>
      <w:r w:rsidR="07A3C5C5" w:rsidRPr="00DFD0B4">
        <w:rPr>
          <w:b/>
          <w:bCs/>
        </w:rPr>
        <w:t xml:space="preserve">for the marine licensing service </w:t>
      </w:r>
      <w:r w:rsidRPr="00DFD0B4">
        <w:rPr>
          <w:b/>
          <w:bCs/>
        </w:rPr>
        <w:t>to £1</w:t>
      </w:r>
      <w:r w:rsidR="206DA734" w:rsidRPr="00DFD0B4">
        <w:rPr>
          <w:b/>
          <w:bCs/>
        </w:rPr>
        <w:t>55</w:t>
      </w:r>
      <w:r w:rsidRPr="00DFD0B4">
        <w:rPr>
          <w:b/>
          <w:bCs/>
          <w:lang w:val="en-US"/>
        </w:rPr>
        <w:t xml:space="preserve">? </w:t>
      </w:r>
    </w:p>
    <w:p w14:paraId="020B9E4B" w14:textId="28F8C6CB" w:rsidR="7CF5A155" w:rsidRDefault="7CF5A155" w:rsidP="00DFD0B4">
      <w:pPr>
        <w:pBdr>
          <w:top w:val="single" w:sz="4" w:space="1" w:color="000000"/>
          <w:left w:val="single" w:sz="4" w:space="4" w:color="000000"/>
          <w:bottom w:val="single" w:sz="4" w:space="1" w:color="000000"/>
          <w:right w:val="single" w:sz="4" w:space="4" w:color="000000"/>
        </w:pBdr>
        <w:jc w:val="both"/>
        <w:rPr>
          <w:b/>
          <w:bCs/>
          <w:lang w:val="en-US"/>
        </w:rPr>
      </w:pPr>
      <w:r w:rsidRPr="00DFD0B4">
        <w:rPr>
          <w:b/>
          <w:bCs/>
          <w:lang w:val="en-US"/>
        </w:rPr>
        <w:t>Yes</w:t>
      </w:r>
      <w:r w:rsidR="004F45A0">
        <w:rPr>
          <w:b/>
          <w:bCs/>
          <w:lang w:val="en-US"/>
        </w:rPr>
        <w:t xml:space="preserve"> or </w:t>
      </w:r>
      <w:r w:rsidRPr="00DFD0B4">
        <w:rPr>
          <w:b/>
          <w:bCs/>
          <w:lang w:val="en-US"/>
        </w:rPr>
        <w:t>No</w:t>
      </w:r>
      <w:r w:rsidR="004F45A0">
        <w:rPr>
          <w:b/>
          <w:bCs/>
          <w:lang w:val="en-US"/>
        </w:rPr>
        <w:t xml:space="preserve"> or</w:t>
      </w:r>
      <w:r w:rsidR="00E43B10">
        <w:rPr>
          <w:b/>
          <w:bCs/>
          <w:lang w:val="en-US"/>
        </w:rPr>
        <w:t xml:space="preserve"> </w:t>
      </w:r>
      <w:r w:rsidRPr="00DFD0B4">
        <w:rPr>
          <w:b/>
          <w:bCs/>
          <w:lang w:val="en-US"/>
        </w:rPr>
        <w:t xml:space="preserve">Neither Agree nor Disagree  </w:t>
      </w:r>
    </w:p>
    <w:p w14:paraId="5E6E6F16" w14:textId="06684596" w:rsidR="7CF5A155" w:rsidRDefault="7CF5A155" w:rsidP="00DFD0B4">
      <w:pPr>
        <w:pBdr>
          <w:top w:val="single" w:sz="4" w:space="1" w:color="000000"/>
          <w:left w:val="single" w:sz="4" w:space="4" w:color="000000"/>
          <w:bottom w:val="single" w:sz="4" w:space="1" w:color="000000"/>
          <w:right w:val="single" w:sz="4" w:space="4" w:color="000000"/>
        </w:pBdr>
        <w:jc w:val="both"/>
      </w:pPr>
      <w:r w:rsidRPr="00DFD0B4">
        <w:rPr>
          <w:b/>
          <w:bCs/>
          <w:lang w:val="en-US"/>
        </w:rPr>
        <w:t>1</w:t>
      </w:r>
      <w:r w:rsidR="00EC25FE">
        <w:rPr>
          <w:b/>
          <w:bCs/>
          <w:lang w:val="en-US"/>
        </w:rPr>
        <w:t>5</w:t>
      </w:r>
      <w:r w:rsidRPr="00DFD0B4">
        <w:rPr>
          <w:b/>
          <w:bCs/>
          <w:lang w:val="en-US"/>
        </w:rPr>
        <w:t xml:space="preserve">b. Do you agree with the proposed amendment to bring licence applications for plans and projects over 5 hectares into Band 3 licensing? </w:t>
      </w:r>
    </w:p>
    <w:p w14:paraId="0D869DD0" w14:textId="086F089D" w:rsidR="7CF5A155" w:rsidRDefault="7CF5A155" w:rsidP="66730B47">
      <w:pPr>
        <w:pBdr>
          <w:top w:val="single" w:sz="4" w:space="1" w:color="000000"/>
          <w:left w:val="single" w:sz="4" w:space="4" w:color="000000"/>
          <w:bottom w:val="single" w:sz="4" w:space="1" w:color="000000"/>
          <w:right w:val="single" w:sz="4" w:space="4" w:color="000000"/>
        </w:pBdr>
        <w:jc w:val="both"/>
      </w:pPr>
      <w:r w:rsidRPr="66730B47">
        <w:rPr>
          <w:b/>
          <w:bCs/>
          <w:lang w:val="en-US"/>
        </w:rPr>
        <w:t>Yes</w:t>
      </w:r>
      <w:r w:rsidR="00E43B10">
        <w:rPr>
          <w:b/>
          <w:bCs/>
          <w:lang w:val="en-US"/>
        </w:rPr>
        <w:t xml:space="preserve"> or </w:t>
      </w:r>
      <w:r w:rsidRPr="66730B47">
        <w:rPr>
          <w:b/>
          <w:bCs/>
          <w:lang w:val="en-US"/>
        </w:rPr>
        <w:t>No</w:t>
      </w:r>
      <w:r w:rsidR="00E43B10">
        <w:rPr>
          <w:b/>
          <w:bCs/>
          <w:lang w:val="en-US"/>
        </w:rPr>
        <w:t xml:space="preserve"> or </w:t>
      </w:r>
      <w:r w:rsidRPr="66730B47">
        <w:rPr>
          <w:b/>
          <w:bCs/>
          <w:lang w:val="en-US"/>
        </w:rPr>
        <w:t xml:space="preserve">Neither Agree nor Disagree  </w:t>
      </w:r>
    </w:p>
    <w:p w14:paraId="19F39C96" w14:textId="0336020C" w:rsidR="00613866" w:rsidRPr="00A342C9" w:rsidRDefault="7CF5A155" w:rsidP="00A342C9">
      <w:pPr>
        <w:pBdr>
          <w:top w:val="single" w:sz="4" w:space="1" w:color="000000"/>
          <w:left w:val="single" w:sz="4" w:space="4" w:color="000000"/>
          <w:bottom w:val="single" w:sz="4" w:space="1" w:color="000000"/>
          <w:right w:val="single" w:sz="4" w:space="4" w:color="000000"/>
        </w:pBdr>
        <w:jc w:val="both"/>
      </w:pPr>
      <w:r w:rsidRPr="66730B47">
        <w:rPr>
          <w:b/>
          <w:bCs/>
          <w:lang w:val="en-US"/>
        </w:rPr>
        <w:t>Do you have any further comments you wish to make on th</w:t>
      </w:r>
      <w:r w:rsidR="00436F93">
        <w:rPr>
          <w:b/>
          <w:bCs/>
          <w:lang w:val="en-US"/>
        </w:rPr>
        <w:t>ese</w:t>
      </w:r>
      <w:r w:rsidRPr="66730B47">
        <w:rPr>
          <w:b/>
          <w:bCs/>
          <w:lang w:val="en-US"/>
        </w:rPr>
        <w:t xml:space="preserve"> proposal</w:t>
      </w:r>
      <w:r w:rsidR="00436F93">
        <w:rPr>
          <w:b/>
          <w:bCs/>
          <w:lang w:val="en-US"/>
        </w:rPr>
        <w:t>s</w:t>
      </w:r>
      <w:r w:rsidR="003E7191">
        <w:rPr>
          <w:b/>
          <w:bCs/>
          <w:lang w:val="en-US"/>
        </w:rPr>
        <w:t xml:space="preserve"> </w:t>
      </w:r>
      <w:r w:rsidR="003E7191" w:rsidRPr="003E7191">
        <w:rPr>
          <w:b/>
          <w:bCs/>
          <w:lang w:val="en-US"/>
        </w:rPr>
        <w:t xml:space="preserve">(including any evidence of </w:t>
      </w:r>
      <w:r w:rsidR="002F25B7">
        <w:rPr>
          <w:b/>
          <w:bCs/>
          <w:lang w:val="en-US"/>
        </w:rPr>
        <w:t xml:space="preserve">potential </w:t>
      </w:r>
      <w:r w:rsidR="003E7191" w:rsidRPr="003E7191">
        <w:rPr>
          <w:b/>
          <w:bCs/>
          <w:lang w:val="en-US"/>
        </w:rPr>
        <w:t>cost impacts)</w:t>
      </w:r>
      <w:r w:rsidRPr="66730B47">
        <w:rPr>
          <w:b/>
          <w:bCs/>
          <w:lang w:val="en-US"/>
        </w:rPr>
        <w:t>?</w:t>
      </w:r>
    </w:p>
    <w:p w14:paraId="1C969747" w14:textId="77777777" w:rsidR="000079B7" w:rsidRPr="009A0FAC" w:rsidRDefault="000079B7" w:rsidP="000079B7">
      <w:pPr>
        <w:pStyle w:val="Heading3"/>
        <w:rPr>
          <w:color w:val="008938"/>
        </w:rPr>
      </w:pPr>
      <w:r w:rsidRPr="009A0FAC">
        <w:rPr>
          <w:color w:val="008938"/>
        </w:rPr>
        <w:t xml:space="preserve">Band 2 </w:t>
      </w:r>
      <w:r>
        <w:rPr>
          <w:color w:val="008938"/>
        </w:rPr>
        <w:t>l</w:t>
      </w:r>
      <w:r w:rsidRPr="009A0FAC">
        <w:rPr>
          <w:color w:val="008938"/>
        </w:rPr>
        <w:t>icence</w:t>
      </w:r>
      <w:r>
        <w:rPr>
          <w:color w:val="008938"/>
        </w:rPr>
        <w:t xml:space="preserve"> fee structure</w:t>
      </w:r>
    </w:p>
    <w:p w14:paraId="32857308" w14:textId="77777777" w:rsidR="00997DA1" w:rsidRDefault="00997DA1" w:rsidP="000079B7">
      <w:pPr>
        <w:spacing w:before="0" w:after="0" w:line="240" w:lineRule="auto"/>
        <w:jc w:val="both"/>
        <w:rPr>
          <w:rFonts w:cs="Arial"/>
        </w:rPr>
      </w:pPr>
    </w:p>
    <w:p w14:paraId="7456FA6F" w14:textId="2F74A62B" w:rsidR="000079B7" w:rsidRDefault="000079B7" w:rsidP="00054E4A">
      <w:pPr>
        <w:spacing w:before="0" w:after="0"/>
        <w:jc w:val="both"/>
        <w:rPr>
          <w:rFonts w:cs="Arial"/>
        </w:rPr>
      </w:pPr>
      <w:r w:rsidRPr="009A0FAC">
        <w:rPr>
          <w:rFonts w:cs="Arial"/>
        </w:rPr>
        <w:t xml:space="preserve">Currently, </w:t>
      </w:r>
      <w:r>
        <w:rPr>
          <w:rFonts w:cs="Arial"/>
        </w:rPr>
        <w:t>B</w:t>
      </w:r>
      <w:r w:rsidRPr="009A0FAC">
        <w:rPr>
          <w:rFonts w:cs="Arial"/>
        </w:rPr>
        <w:t xml:space="preserve">and 2 </w:t>
      </w:r>
      <w:r>
        <w:rPr>
          <w:rFonts w:cs="Arial"/>
        </w:rPr>
        <w:t>applications</w:t>
      </w:r>
      <w:r w:rsidRPr="009A0FAC">
        <w:rPr>
          <w:rFonts w:cs="Arial"/>
        </w:rPr>
        <w:t xml:space="preserve"> often </w:t>
      </w:r>
      <w:r>
        <w:rPr>
          <w:rFonts w:cs="Arial"/>
        </w:rPr>
        <w:t>reach</w:t>
      </w:r>
      <w:r w:rsidRPr="009A0FAC">
        <w:rPr>
          <w:rFonts w:cs="Arial"/>
        </w:rPr>
        <w:t xml:space="preserve"> their</w:t>
      </w:r>
      <w:r>
        <w:rPr>
          <w:rFonts w:cs="Arial"/>
        </w:rPr>
        <w:t xml:space="preserve"> fee</w:t>
      </w:r>
      <w:r w:rsidR="001B0B02">
        <w:rPr>
          <w:rFonts w:cs="Arial"/>
        </w:rPr>
        <w:t xml:space="preserve"> ceiling</w:t>
      </w:r>
      <w:r>
        <w:rPr>
          <w:rFonts w:cs="Arial"/>
        </w:rPr>
        <w:t xml:space="preserve">, meaning that the </w:t>
      </w:r>
      <w:r w:rsidRPr="009A0FAC">
        <w:rPr>
          <w:rFonts w:cs="Arial"/>
        </w:rPr>
        <w:t xml:space="preserve">total cost of </w:t>
      </w:r>
      <w:r>
        <w:rPr>
          <w:rFonts w:cs="Arial"/>
        </w:rPr>
        <w:t xml:space="preserve">MMO </w:t>
      </w:r>
      <w:r w:rsidRPr="009A0FAC">
        <w:rPr>
          <w:rFonts w:cs="Arial"/>
        </w:rPr>
        <w:t xml:space="preserve">case worker </w:t>
      </w:r>
      <w:r>
        <w:rPr>
          <w:rFonts w:cs="Arial"/>
        </w:rPr>
        <w:t>hours</w:t>
      </w:r>
      <w:r w:rsidRPr="009A0FAC">
        <w:rPr>
          <w:rFonts w:cs="Arial"/>
        </w:rPr>
        <w:t xml:space="preserve"> is high</w:t>
      </w:r>
      <w:r>
        <w:rPr>
          <w:rFonts w:cs="Arial"/>
        </w:rPr>
        <w:t>er</w:t>
      </w:r>
      <w:r w:rsidRPr="009A0FAC">
        <w:rPr>
          <w:rFonts w:cs="Arial"/>
        </w:rPr>
        <w:t xml:space="preserve"> than </w:t>
      </w:r>
      <w:r>
        <w:rPr>
          <w:rFonts w:cs="Arial"/>
        </w:rPr>
        <w:t xml:space="preserve">the cost of the licence. Since 2018, </w:t>
      </w:r>
      <w:r w:rsidRPr="009A0FAC">
        <w:rPr>
          <w:rFonts w:cs="Arial"/>
        </w:rPr>
        <w:t xml:space="preserve">Band 2 </w:t>
      </w:r>
      <w:r>
        <w:rPr>
          <w:rFonts w:cs="Arial"/>
        </w:rPr>
        <w:t xml:space="preserve">cost recovery performance has been </w:t>
      </w:r>
      <w:r w:rsidRPr="009A0FAC">
        <w:rPr>
          <w:rFonts w:cs="Arial"/>
        </w:rPr>
        <w:t>3</w:t>
      </w:r>
      <w:r>
        <w:rPr>
          <w:rFonts w:cs="Arial"/>
        </w:rPr>
        <w:t>2</w:t>
      </w:r>
      <w:r w:rsidRPr="009A0FAC">
        <w:rPr>
          <w:rFonts w:cs="Arial"/>
        </w:rPr>
        <w:t>%</w:t>
      </w:r>
      <w:r>
        <w:rPr>
          <w:rFonts w:cs="Arial"/>
        </w:rPr>
        <w:t xml:space="preserve"> on average</w:t>
      </w:r>
      <w:r w:rsidRPr="009A0FAC">
        <w:rPr>
          <w:rFonts w:cs="Arial"/>
        </w:rPr>
        <w:t xml:space="preserve">. The current </w:t>
      </w:r>
      <w:r>
        <w:rPr>
          <w:rFonts w:cs="Arial"/>
        </w:rPr>
        <w:t>fee</w:t>
      </w:r>
      <w:r w:rsidR="00ED3F3F">
        <w:rPr>
          <w:rFonts w:cs="Arial"/>
        </w:rPr>
        <w:t xml:space="preserve"> ceilings</w:t>
      </w:r>
      <w:r>
        <w:rPr>
          <w:rFonts w:cs="Arial"/>
        </w:rPr>
        <w:t xml:space="preserve"> are therefore</w:t>
      </w:r>
      <w:r w:rsidRPr="009A0FAC">
        <w:rPr>
          <w:rFonts w:cs="Arial"/>
        </w:rPr>
        <w:t xml:space="preserve"> undervaluing the time and cost</w:t>
      </w:r>
      <w:r>
        <w:rPr>
          <w:rFonts w:cs="Arial"/>
        </w:rPr>
        <w:t xml:space="preserve"> it takes</w:t>
      </w:r>
      <w:r w:rsidRPr="009A0FAC">
        <w:rPr>
          <w:rFonts w:cs="Arial"/>
        </w:rPr>
        <w:t xml:space="preserve"> to process </w:t>
      </w:r>
      <w:r>
        <w:rPr>
          <w:rFonts w:cs="Arial"/>
        </w:rPr>
        <w:t xml:space="preserve">and determine </w:t>
      </w:r>
      <w:r w:rsidRPr="009A0FAC">
        <w:rPr>
          <w:rFonts w:cs="Arial"/>
        </w:rPr>
        <w:t>the</w:t>
      </w:r>
      <w:r>
        <w:rPr>
          <w:rFonts w:cs="Arial"/>
        </w:rPr>
        <w:t>se</w:t>
      </w:r>
      <w:r w:rsidRPr="009A0FAC">
        <w:rPr>
          <w:rFonts w:cs="Arial"/>
        </w:rPr>
        <w:t xml:space="preserve"> licen</w:t>
      </w:r>
      <w:r w:rsidR="00D14E79">
        <w:rPr>
          <w:rFonts w:cs="Arial"/>
        </w:rPr>
        <w:t>c</w:t>
      </w:r>
      <w:r w:rsidRPr="009A0FAC">
        <w:rPr>
          <w:rFonts w:cs="Arial"/>
        </w:rPr>
        <w:t>e</w:t>
      </w:r>
      <w:r>
        <w:rPr>
          <w:rFonts w:cs="Arial"/>
        </w:rPr>
        <w:t>s</w:t>
      </w:r>
      <w:r w:rsidRPr="009A0FAC">
        <w:rPr>
          <w:rFonts w:cs="Arial"/>
        </w:rPr>
        <w:t xml:space="preserve">. </w:t>
      </w:r>
    </w:p>
    <w:p w14:paraId="23DE523C" w14:textId="77777777" w:rsidR="000079B7" w:rsidRDefault="000079B7" w:rsidP="00054E4A">
      <w:pPr>
        <w:spacing w:before="0" w:after="0"/>
        <w:jc w:val="both"/>
        <w:rPr>
          <w:rFonts w:cs="Arial"/>
        </w:rPr>
      </w:pPr>
    </w:p>
    <w:p w14:paraId="2EAA4CAE" w14:textId="77777777" w:rsidR="000079B7" w:rsidRDefault="000079B7" w:rsidP="00054E4A">
      <w:pPr>
        <w:spacing w:before="0" w:after="0"/>
        <w:jc w:val="both"/>
        <w:rPr>
          <w:rFonts w:cs="Arial"/>
        </w:rPr>
      </w:pPr>
      <w:r w:rsidRPr="009A0FAC">
        <w:rPr>
          <w:rFonts w:cs="Arial"/>
        </w:rPr>
        <w:t>As such, we have reviewed th</w:t>
      </w:r>
      <w:r>
        <w:rPr>
          <w:rFonts w:cs="Arial"/>
        </w:rPr>
        <w:t>e</w:t>
      </w:r>
      <w:r w:rsidRPr="009A0FAC">
        <w:rPr>
          <w:rFonts w:cs="Arial"/>
        </w:rPr>
        <w:t xml:space="preserve"> fee structure and propose </w:t>
      </w:r>
      <w:r>
        <w:rPr>
          <w:rFonts w:cs="Arial"/>
        </w:rPr>
        <w:t>increasing the number of</w:t>
      </w:r>
      <w:r w:rsidRPr="009A0FAC">
        <w:rPr>
          <w:rFonts w:cs="Arial"/>
        </w:rPr>
        <w:t xml:space="preserve"> fee </w:t>
      </w:r>
      <w:r>
        <w:rPr>
          <w:rFonts w:cs="Arial"/>
        </w:rPr>
        <w:t>bands</w:t>
      </w:r>
      <w:r w:rsidRPr="009A0FAC">
        <w:rPr>
          <w:rFonts w:cs="Arial"/>
        </w:rPr>
        <w:t xml:space="preserve"> </w:t>
      </w:r>
      <w:bookmarkStart w:id="60" w:name="_Hlk136505427"/>
      <w:r w:rsidRPr="009A0FAC">
        <w:rPr>
          <w:rFonts w:cs="Arial"/>
        </w:rPr>
        <w:t xml:space="preserve">to better account for the number of case </w:t>
      </w:r>
      <w:r>
        <w:rPr>
          <w:rFonts w:cs="Arial"/>
        </w:rPr>
        <w:t>work</w:t>
      </w:r>
      <w:r w:rsidRPr="009A0FAC">
        <w:rPr>
          <w:rFonts w:cs="Arial"/>
        </w:rPr>
        <w:t xml:space="preserve"> hours </w:t>
      </w:r>
      <w:r>
        <w:rPr>
          <w:rFonts w:cs="Arial"/>
        </w:rPr>
        <w:t xml:space="preserve">different types of </w:t>
      </w:r>
      <w:r w:rsidRPr="009A0FAC">
        <w:rPr>
          <w:rFonts w:cs="Arial"/>
        </w:rPr>
        <w:t>marine licence applications generally take to determine</w:t>
      </w:r>
      <w:bookmarkEnd w:id="60"/>
      <w:r>
        <w:rPr>
          <w:rFonts w:cs="Arial"/>
        </w:rPr>
        <w:t>, based on project costs</w:t>
      </w:r>
      <w:r w:rsidRPr="009A0FAC">
        <w:rPr>
          <w:rFonts w:cs="Arial"/>
        </w:rPr>
        <w:t xml:space="preserve">. </w:t>
      </w:r>
    </w:p>
    <w:p w14:paraId="07CB3E64" w14:textId="77777777" w:rsidR="000079B7" w:rsidRPr="008B5657" w:rsidRDefault="000079B7" w:rsidP="00054E4A">
      <w:pPr>
        <w:jc w:val="both"/>
        <w:rPr>
          <w:lang w:val="en-US"/>
        </w:rPr>
      </w:pPr>
      <w:r w:rsidRPr="008B5657">
        <w:rPr>
          <w:b/>
          <w:lang w:val="en-US"/>
        </w:rPr>
        <w:t xml:space="preserve">Proposed amendment: </w:t>
      </w:r>
    </w:p>
    <w:p w14:paraId="320CDF60" w14:textId="4206DC11" w:rsidR="000079B7" w:rsidRDefault="712CA522" w:rsidP="00054E4A">
      <w:pPr>
        <w:spacing w:before="0" w:after="0"/>
        <w:jc w:val="both"/>
        <w:rPr>
          <w:rFonts w:cs="Arial"/>
        </w:rPr>
      </w:pPr>
      <w:r w:rsidRPr="15C66C77">
        <w:rPr>
          <w:rFonts w:cs="Arial"/>
        </w:rPr>
        <w:t>The proposal is to introduce a four-tier system for Band 2 applications, to better align with MMO case officer hours required to determine projects of these scales, based on the proposed £1</w:t>
      </w:r>
      <w:r w:rsidR="6EC918FE" w:rsidRPr="15C66C77">
        <w:rPr>
          <w:rFonts w:cs="Arial"/>
        </w:rPr>
        <w:t>55</w:t>
      </w:r>
      <w:r w:rsidRPr="15C66C77">
        <w:rPr>
          <w:rFonts w:cs="Arial"/>
        </w:rPr>
        <w:t xml:space="preserve"> hourly rate</w:t>
      </w:r>
      <w:r w:rsidR="7FD99E65" w:rsidRPr="15C66C77">
        <w:rPr>
          <w:rFonts w:cs="Arial"/>
        </w:rPr>
        <w:t xml:space="preserve"> with annual increases linked to inflation</w:t>
      </w:r>
      <w:r w:rsidR="000B6C08" w:rsidRPr="15C66C77">
        <w:rPr>
          <w:rFonts w:cs="Arial"/>
        </w:rPr>
        <w:t>.</w:t>
      </w:r>
      <w:r w:rsidR="00C33B5B" w:rsidRPr="15C66C77">
        <w:rPr>
          <w:rFonts w:cs="Arial"/>
        </w:rPr>
        <w:t xml:space="preserve"> Additionally, the increase</w:t>
      </w:r>
      <w:r w:rsidR="00C119FD" w:rsidRPr="15C66C77">
        <w:rPr>
          <w:rFonts w:cs="Arial"/>
        </w:rPr>
        <w:t>d</w:t>
      </w:r>
      <w:r w:rsidR="00C33B5B" w:rsidRPr="15C66C77">
        <w:rPr>
          <w:rFonts w:cs="Arial"/>
        </w:rPr>
        <w:t xml:space="preserve"> number of bands provides increased certainty to SME on the costs of applications.</w:t>
      </w:r>
    </w:p>
    <w:p w14:paraId="52E56223" w14:textId="77777777" w:rsidR="000079B7" w:rsidRDefault="000079B7" w:rsidP="00054E4A">
      <w:pPr>
        <w:spacing w:before="0" w:after="0"/>
        <w:jc w:val="both"/>
        <w:rPr>
          <w:rFonts w:cs="Arial"/>
        </w:rPr>
      </w:pPr>
    </w:p>
    <w:p w14:paraId="10E355CF" w14:textId="648FF081" w:rsidR="00A46C2B" w:rsidRDefault="712CA522" w:rsidP="00054E4A">
      <w:pPr>
        <w:spacing w:before="0" w:after="0"/>
        <w:jc w:val="both"/>
        <w:rPr>
          <w:rFonts w:cs="Arial"/>
        </w:rPr>
      </w:pPr>
      <w:r w:rsidRPr="0E574BC2">
        <w:rPr>
          <w:rFonts w:cs="Arial"/>
        </w:rPr>
        <w:t xml:space="preserve">We have adjusted the fee ceilings so that not all cases will hit the fee ceiling for their respective fee bands, (as fees are based on the hourly rate </w:t>
      </w:r>
      <w:r w:rsidRPr="0E574BC2">
        <w:rPr>
          <w:rFonts w:cs="Arial"/>
          <w:i/>
          <w:iCs/>
        </w:rPr>
        <w:t>up to</w:t>
      </w:r>
      <w:r w:rsidRPr="0E574BC2">
        <w:rPr>
          <w:rFonts w:cs="Arial"/>
        </w:rPr>
        <w:t xml:space="preserve"> the fee ceiling) unlike the current system where the vast majority do exceed the fee ceiling.</w:t>
      </w:r>
      <w:r w:rsidRPr="0E574BC2">
        <w:rPr>
          <w:rFonts w:cs="Arial"/>
          <w:color w:val="000000" w:themeColor="text1"/>
        </w:rPr>
        <w:t xml:space="preserve"> The below table illustrates the new proposed fee</w:t>
      </w:r>
      <w:r w:rsidR="00EA29C5" w:rsidRPr="0E574BC2">
        <w:rPr>
          <w:rFonts w:cs="Arial"/>
          <w:color w:val="000000" w:themeColor="text1"/>
        </w:rPr>
        <w:t xml:space="preserve"> ceiling</w:t>
      </w:r>
      <w:r w:rsidR="007D2B82" w:rsidRPr="0E574BC2">
        <w:rPr>
          <w:rFonts w:cs="Arial"/>
          <w:color w:val="000000" w:themeColor="text1"/>
        </w:rPr>
        <w:t>s</w:t>
      </w:r>
      <w:r w:rsidRPr="0E574BC2">
        <w:rPr>
          <w:rFonts w:cs="Arial"/>
          <w:color w:val="000000" w:themeColor="text1"/>
        </w:rPr>
        <w:t xml:space="preserve"> for Band 2 marine licences. Again, these would be</w:t>
      </w:r>
      <w:r w:rsidRPr="0E574BC2">
        <w:rPr>
          <w:rFonts w:cs="Arial"/>
        </w:rPr>
        <w:t xml:space="preserve"> 202</w:t>
      </w:r>
      <w:r w:rsidR="52960DA5" w:rsidRPr="0E574BC2">
        <w:rPr>
          <w:rFonts w:cs="Arial"/>
        </w:rPr>
        <w:t>5</w:t>
      </w:r>
      <w:r w:rsidRPr="0E574BC2">
        <w:rPr>
          <w:rFonts w:cs="Arial"/>
        </w:rPr>
        <w:t xml:space="preserve"> fee ceilings with annual increases linked to inflation to prevent the need for future legislation.</w:t>
      </w:r>
    </w:p>
    <w:p w14:paraId="01AEC417" w14:textId="77777777" w:rsidR="00997DA1" w:rsidRDefault="00997DA1" w:rsidP="00054E4A">
      <w:pPr>
        <w:spacing w:before="0" w:after="0"/>
        <w:jc w:val="both"/>
        <w:rPr>
          <w:rFonts w:cs="Arial"/>
        </w:rPr>
      </w:pPr>
    </w:p>
    <w:p w14:paraId="6A547379" w14:textId="77777777" w:rsidR="00997DA1" w:rsidRDefault="00997DA1" w:rsidP="00054E4A">
      <w:pPr>
        <w:spacing w:before="0" w:after="0"/>
        <w:jc w:val="both"/>
        <w:rPr>
          <w:rFonts w:cs="Arial"/>
        </w:rPr>
      </w:pPr>
    </w:p>
    <w:p w14:paraId="35506AD4" w14:textId="77777777" w:rsidR="00997DA1" w:rsidRDefault="00997DA1" w:rsidP="00054E4A">
      <w:pPr>
        <w:spacing w:before="0" w:after="0"/>
        <w:jc w:val="both"/>
        <w:rPr>
          <w:rFonts w:cs="Arial"/>
        </w:rPr>
      </w:pPr>
    </w:p>
    <w:p w14:paraId="684DD979" w14:textId="77777777" w:rsidR="00997DA1" w:rsidRDefault="00997DA1" w:rsidP="000079B7">
      <w:pPr>
        <w:spacing w:before="0" w:after="0" w:line="240" w:lineRule="auto"/>
        <w:jc w:val="both"/>
        <w:rPr>
          <w:rFonts w:cs="Arial"/>
        </w:rPr>
      </w:pPr>
    </w:p>
    <w:p w14:paraId="07547A01" w14:textId="77777777" w:rsidR="0561666F" w:rsidRDefault="0561666F" w:rsidP="6BBB5CB1">
      <w:pPr>
        <w:spacing w:before="0" w:after="0" w:line="240" w:lineRule="auto"/>
        <w:jc w:val="both"/>
        <w:rPr>
          <w:rFonts w:cs="Arial"/>
        </w:rPr>
      </w:pPr>
    </w:p>
    <w:tbl>
      <w:tblPr>
        <w:tblW w:w="0" w:type="auto"/>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Look w:val="04A0" w:firstRow="1" w:lastRow="0" w:firstColumn="1" w:lastColumn="0" w:noHBand="0" w:noVBand="1"/>
      </w:tblPr>
      <w:tblGrid>
        <w:gridCol w:w="1808"/>
        <w:gridCol w:w="2173"/>
        <w:gridCol w:w="2793"/>
        <w:gridCol w:w="2847"/>
      </w:tblGrid>
      <w:tr w:rsidR="002621D5" w14:paraId="421D5AF3" w14:textId="77777777" w:rsidTr="5A0B092A">
        <w:trPr>
          <w:trHeight w:val="997"/>
        </w:trPr>
        <w:tc>
          <w:tcPr>
            <w:tcW w:w="0" w:type="auto"/>
            <w:tcBorders>
              <w:top w:val="single" w:sz="4" w:space="0" w:color="auto"/>
              <w:left w:val="single" w:sz="4" w:space="0" w:color="auto"/>
              <w:bottom w:val="single" w:sz="4" w:space="0" w:color="auto"/>
              <w:right w:val="single" w:sz="4" w:space="0" w:color="auto"/>
            </w:tcBorders>
            <w:shd w:val="clear" w:color="auto" w:fill="008938"/>
          </w:tcPr>
          <w:p w14:paraId="09EB9DCA" w14:textId="77777777" w:rsidR="007E6B85" w:rsidRPr="00C7021B" w:rsidRDefault="007E6B85" w:rsidP="007E6B85">
            <w:pPr>
              <w:rPr>
                <w:rFonts w:eastAsia="Calibri"/>
                <w:b/>
                <w:bCs/>
                <w:color w:val="FFFFFF"/>
              </w:rPr>
            </w:pPr>
            <w:r w:rsidRPr="00C7021B">
              <w:rPr>
                <w:rFonts w:eastAsia="Calibri"/>
                <w:b/>
                <w:bCs/>
                <w:color w:val="FFFFFF"/>
              </w:rPr>
              <w:t>Current</w:t>
            </w:r>
            <w:r w:rsidR="00E00080" w:rsidRPr="00C7021B">
              <w:rPr>
                <w:rFonts w:eastAsia="Calibri"/>
                <w:b/>
                <w:bCs/>
                <w:color w:val="FFFFFF"/>
              </w:rPr>
              <w:t xml:space="preserve"> Fee</w:t>
            </w:r>
            <w:r w:rsidRPr="00C7021B">
              <w:rPr>
                <w:rFonts w:eastAsia="Calibri"/>
                <w:b/>
                <w:bCs/>
                <w:color w:val="FFFFFF"/>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008938"/>
          </w:tcPr>
          <w:p w14:paraId="31EB4734" w14:textId="77777777" w:rsidR="007E6B85" w:rsidRPr="00C7021B" w:rsidRDefault="007E6B85" w:rsidP="007E6B85">
            <w:pPr>
              <w:rPr>
                <w:rFonts w:eastAsia="Calibri"/>
                <w:b/>
                <w:bCs/>
                <w:color w:val="FFFFFF"/>
              </w:rPr>
            </w:pPr>
            <w:r w:rsidRPr="00C7021B">
              <w:rPr>
                <w:rFonts w:eastAsia="Calibri" w:cs="Arial"/>
                <w:b/>
                <w:bCs/>
                <w:color w:val="FFFFFF"/>
                <w:szCs w:val="24"/>
              </w:rPr>
              <w:t xml:space="preserve">Current </w:t>
            </w:r>
            <w:r w:rsidR="00E00080" w:rsidRPr="00C7021B">
              <w:rPr>
                <w:rFonts w:eastAsia="Calibri" w:cs="Arial"/>
                <w:b/>
                <w:bCs/>
                <w:color w:val="FFFFFF"/>
                <w:szCs w:val="24"/>
              </w:rPr>
              <w:t>M</w:t>
            </w:r>
            <w:r w:rsidRPr="00C7021B">
              <w:rPr>
                <w:rFonts w:eastAsia="Calibri" w:cs="Arial"/>
                <w:b/>
                <w:bCs/>
                <w:color w:val="FFFFFF"/>
                <w:szCs w:val="24"/>
              </w:rPr>
              <w:t>aximum fee</w:t>
            </w:r>
          </w:p>
        </w:tc>
        <w:tc>
          <w:tcPr>
            <w:tcW w:w="0" w:type="auto"/>
            <w:tcBorders>
              <w:top w:val="single" w:sz="4" w:space="0" w:color="auto"/>
              <w:left w:val="single" w:sz="4" w:space="0" w:color="auto"/>
              <w:bottom w:val="single" w:sz="4" w:space="0" w:color="auto"/>
              <w:right w:val="single" w:sz="4" w:space="0" w:color="auto"/>
            </w:tcBorders>
            <w:shd w:val="clear" w:color="auto" w:fill="008938"/>
          </w:tcPr>
          <w:p w14:paraId="39065B5D" w14:textId="77777777" w:rsidR="007E6B85" w:rsidRPr="00C7021B" w:rsidRDefault="007E6B85" w:rsidP="007E6B85">
            <w:pPr>
              <w:rPr>
                <w:rFonts w:eastAsia="Calibri"/>
                <w:b/>
                <w:bCs/>
                <w:color w:val="FFFFFF"/>
              </w:rPr>
            </w:pPr>
            <w:r w:rsidRPr="00C7021B">
              <w:rPr>
                <w:rFonts w:eastAsia="Calibri" w:cs="Arial"/>
                <w:b/>
                <w:bCs/>
                <w:color w:val="FFFFFF"/>
                <w:szCs w:val="24"/>
              </w:rPr>
              <w:t>Current Minimum Project Cost</w:t>
            </w:r>
          </w:p>
        </w:tc>
        <w:tc>
          <w:tcPr>
            <w:tcW w:w="0" w:type="auto"/>
            <w:tcBorders>
              <w:top w:val="single" w:sz="4" w:space="0" w:color="auto"/>
              <w:left w:val="single" w:sz="4" w:space="0" w:color="auto"/>
              <w:bottom w:val="single" w:sz="4" w:space="0" w:color="auto"/>
              <w:right w:val="single" w:sz="4" w:space="0" w:color="auto"/>
            </w:tcBorders>
            <w:shd w:val="clear" w:color="auto" w:fill="008938"/>
          </w:tcPr>
          <w:p w14:paraId="56BF0530" w14:textId="368179BC" w:rsidR="007E6B85" w:rsidRPr="00C7021B" w:rsidRDefault="007E6B85" w:rsidP="007E6B85">
            <w:pPr>
              <w:rPr>
                <w:rFonts w:eastAsia="Calibri"/>
                <w:b/>
                <w:bCs/>
                <w:color w:val="FFFFFF"/>
              </w:rPr>
            </w:pPr>
            <w:r w:rsidRPr="00C7021B">
              <w:rPr>
                <w:rFonts w:eastAsia="Calibri"/>
                <w:b/>
                <w:bCs/>
                <w:color w:val="FFFFFF"/>
              </w:rPr>
              <w:t>Current Max</w:t>
            </w:r>
            <w:r w:rsidR="00333ACF">
              <w:rPr>
                <w:rFonts w:eastAsia="Calibri"/>
                <w:b/>
                <w:bCs/>
                <w:color w:val="FFFFFF"/>
              </w:rPr>
              <w:t>imum</w:t>
            </w:r>
            <w:r w:rsidRPr="00C7021B">
              <w:rPr>
                <w:rFonts w:eastAsia="Calibri"/>
                <w:b/>
                <w:bCs/>
                <w:color w:val="FFFFFF"/>
              </w:rPr>
              <w:t xml:space="preserve"> Project Cost</w:t>
            </w:r>
          </w:p>
        </w:tc>
      </w:tr>
      <w:tr w:rsidR="002621D5" w14:paraId="5E1A1342" w14:textId="77777777" w:rsidTr="5A0B092A">
        <w:trPr>
          <w:trHeight w:val="743"/>
        </w:trPr>
        <w:tc>
          <w:tcPr>
            <w:tcW w:w="0" w:type="auto"/>
            <w:tcBorders>
              <w:top w:val="single" w:sz="4" w:space="0" w:color="auto"/>
            </w:tcBorders>
            <w:shd w:val="clear" w:color="auto" w:fill="CBE9D3"/>
          </w:tcPr>
          <w:p w14:paraId="6018640F" w14:textId="77777777" w:rsidR="00AF5C96" w:rsidRPr="00C7021B" w:rsidRDefault="00E00080">
            <w:pPr>
              <w:rPr>
                <w:rFonts w:eastAsia="Calibri"/>
              </w:rPr>
            </w:pPr>
            <w:r w:rsidRPr="00C7021B">
              <w:rPr>
                <w:rFonts w:eastAsia="Calibri"/>
              </w:rPr>
              <w:t xml:space="preserve">Band </w:t>
            </w:r>
            <w:r w:rsidR="007E6B85" w:rsidRPr="00C7021B">
              <w:rPr>
                <w:rFonts w:eastAsia="Calibri"/>
              </w:rPr>
              <w:t>2A</w:t>
            </w:r>
          </w:p>
        </w:tc>
        <w:tc>
          <w:tcPr>
            <w:tcW w:w="0" w:type="auto"/>
            <w:tcBorders>
              <w:top w:val="single" w:sz="4" w:space="0" w:color="auto"/>
            </w:tcBorders>
            <w:shd w:val="clear" w:color="auto" w:fill="FFFFFF" w:themeFill="background1"/>
          </w:tcPr>
          <w:p w14:paraId="084EC6EB" w14:textId="77777777" w:rsidR="00AF5C96" w:rsidRPr="00C7021B" w:rsidRDefault="007E6B85" w:rsidP="007E6B85">
            <w:pPr>
              <w:rPr>
                <w:rFonts w:eastAsia="Calibri"/>
              </w:rPr>
            </w:pPr>
            <w:r w:rsidRPr="00C7021B">
              <w:rPr>
                <w:rFonts w:eastAsia="Calibri"/>
              </w:rPr>
              <w:t>£1,400</w:t>
            </w:r>
          </w:p>
        </w:tc>
        <w:tc>
          <w:tcPr>
            <w:tcW w:w="0" w:type="auto"/>
            <w:tcBorders>
              <w:top w:val="single" w:sz="4" w:space="0" w:color="auto"/>
            </w:tcBorders>
            <w:shd w:val="clear" w:color="auto" w:fill="FFFFFF" w:themeFill="background1"/>
          </w:tcPr>
          <w:p w14:paraId="3ED1CCCA" w14:textId="77777777" w:rsidR="00AF5C96" w:rsidRPr="00C7021B" w:rsidRDefault="007E6B85">
            <w:pPr>
              <w:rPr>
                <w:rFonts w:eastAsia="Calibri"/>
              </w:rPr>
            </w:pPr>
            <w:r w:rsidRPr="00C7021B">
              <w:rPr>
                <w:rFonts w:eastAsia="Calibri"/>
              </w:rPr>
              <w:t>£0</w:t>
            </w:r>
          </w:p>
        </w:tc>
        <w:tc>
          <w:tcPr>
            <w:tcW w:w="0" w:type="auto"/>
            <w:tcBorders>
              <w:top w:val="single" w:sz="4" w:space="0" w:color="auto"/>
            </w:tcBorders>
            <w:shd w:val="clear" w:color="auto" w:fill="FFFFFF" w:themeFill="background1"/>
          </w:tcPr>
          <w:p w14:paraId="186B84E4" w14:textId="22EAD9EE" w:rsidR="00AF5C96" w:rsidRPr="00C7021B" w:rsidRDefault="00202074">
            <w:pPr>
              <w:rPr>
                <w:rFonts w:eastAsia="Calibri"/>
              </w:rPr>
            </w:pPr>
            <w:r w:rsidRPr="5A0B092A">
              <w:rPr>
                <w:rFonts w:eastAsia="Calibri"/>
              </w:rPr>
              <w:t>£</w:t>
            </w:r>
            <w:r w:rsidR="2CA36899" w:rsidRPr="5A0B092A">
              <w:rPr>
                <w:rFonts w:eastAsia="Calibri"/>
              </w:rPr>
              <w:t>4</w:t>
            </w:r>
            <w:r w:rsidR="007E6B85" w:rsidRPr="5A0B092A">
              <w:rPr>
                <w:rFonts w:eastAsia="Calibri"/>
              </w:rPr>
              <w:t>9,999</w:t>
            </w:r>
          </w:p>
        </w:tc>
      </w:tr>
      <w:tr w:rsidR="002621D5" w14:paraId="5A7062C6" w14:textId="77777777" w:rsidTr="5A0B092A">
        <w:trPr>
          <w:trHeight w:val="710"/>
        </w:trPr>
        <w:tc>
          <w:tcPr>
            <w:tcW w:w="0" w:type="auto"/>
            <w:shd w:val="clear" w:color="auto" w:fill="CBE9D3"/>
          </w:tcPr>
          <w:p w14:paraId="3F95485B" w14:textId="77777777" w:rsidR="00AF5C96" w:rsidRPr="00C7021B" w:rsidRDefault="00E00080">
            <w:pPr>
              <w:rPr>
                <w:rFonts w:eastAsia="Calibri"/>
              </w:rPr>
            </w:pPr>
            <w:r w:rsidRPr="00C7021B">
              <w:rPr>
                <w:rFonts w:eastAsia="Calibri"/>
              </w:rPr>
              <w:t xml:space="preserve">Band </w:t>
            </w:r>
            <w:r w:rsidR="007E6B85" w:rsidRPr="00C7021B">
              <w:rPr>
                <w:rFonts w:eastAsia="Calibri"/>
              </w:rPr>
              <w:t>2B</w:t>
            </w:r>
          </w:p>
        </w:tc>
        <w:tc>
          <w:tcPr>
            <w:tcW w:w="0" w:type="auto"/>
            <w:shd w:val="clear" w:color="auto" w:fill="FFFFFF" w:themeFill="background1"/>
          </w:tcPr>
          <w:p w14:paraId="755B1419" w14:textId="77777777" w:rsidR="00AF5C96" w:rsidRPr="00C7021B" w:rsidRDefault="007E6B85">
            <w:pPr>
              <w:rPr>
                <w:rFonts w:eastAsia="Calibri"/>
              </w:rPr>
            </w:pPr>
            <w:r w:rsidRPr="00C7021B">
              <w:rPr>
                <w:rFonts w:eastAsia="Calibri"/>
              </w:rPr>
              <w:t>£2,200</w:t>
            </w:r>
          </w:p>
        </w:tc>
        <w:tc>
          <w:tcPr>
            <w:tcW w:w="0" w:type="auto"/>
            <w:shd w:val="clear" w:color="auto" w:fill="FFFFFF" w:themeFill="background1"/>
          </w:tcPr>
          <w:p w14:paraId="278FF995" w14:textId="77777777" w:rsidR="00AF5C96" w:rsidRPr="00C7021B" w:rsidRDefault="007E6B85">
            <w:pPr>
              <w:rPr>
                <w:rFonts w:eastAsia="Calibri"/>
              </w:rPr>
            </w:pPr>
            <w:r w:rsidRPr="00C7021B">
              <w:rPr>
                <w:rFonts w:eastAsia="Calibri"/>
              </w:rPr>
              <w:t>£50,000</w:t>
            </w:r>
          </w:p>
        </w:tc>
        <w:tc>
          <w:tcPr>
            <w:tcW w:w="0" w:type="auto"/>
            <w:shd w:val="clear" w:color="auto" w:fill="FFFFFF" w:themeFill="background1"/>
          </w:tcPr>
          <w:p w14:paraId="09ABEDE9" w14:textId="77777777" w:rsidR="00AF5C96" w:rsidRPr="00C7021B" w:rsidRDefault="007E6B85">
            <w:pPr>
              <w:rPr>
                <w:rFonts w:eastAsia="Calibri"/>
              </w:rPr>
            </w:pPr>
            <w:r w:rsidRPr="00C7021B">
              <w:rPr>
                <w:rFonts w:eastAsia="Calibri"/>
              </w:rPr>
              <w:t>£999,999</w:t>
            </w:r>
          </w:p>
        </w:tc>
      </w:tr>
    </w:tbl>
    <w:p w14:paraId="0766DF7A" w14:textId="5BED141A" w:rsidR="00A342C9" w:rsidRPr="00F05A14" w:rsidRDefault="00F05A14" w:rsidP="6BBB5CB1">
      <w:pPr>
        <w:spacing w:before="0" w:after="0" w:line="240" w:lineRule="auto"/>
        <w:jc w:val="both"/>
        <w:rPr>
          <w:rFonts w:cs="Arial"/>
          <w:i/>
          <w:iCs/>
        </w:rPr>
      </w:pPr>
      <w:r w:rsidRPr="00F05A14">
        <w:rPr>
          <w:rFonts w:cs="Arial"/>
          <w:i/>
          <w:iCs/>
        </w:rPr>
        <w:t>Table 6</w:t>
      </w:r>
    </w:p>
    <w:p w14:paraId="5043CB0F" w14:textId="77777777" w:rsidR="000079B7" w:rsidRPr="009A0FAC" w:rsidRDefault="000079B7" w:rsidP="000079B7">
      <w:pPr>
        <w:spacing w:before="0" w:after="0" w:line="240" w:lineRule="auto"/>
        <w:jc w:val="both"/>
        <w:rPr>
          <w:rFonts w:cs="Arial"/>
        </w:rPr>
      </w:pPr>
    </w:p>
    <w:tbl>
      <w:tblPr>
        <w:tblW w:w="0" w:type="auto"/>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Look w:val="04A0" w:firstRow="1" w:lastRow="0" w:firstColumn="1" w:lastColumn="0" w:noHBand="0" w:noVBand="1"/>
      </w:tblPr>
      <w:tblGrid>
        <w:gridCol w:w="1642"/>
        <w:gridCol w:w="2149"/>
        <w:gridCol w:w="2888"/>
        <w:gridCol w:w="2942"/>
      </w:tblGrid>
      <w:tr w:rsidR="002621D5" w14:paraId="18B9041E" w14:textId="77777777" w:rsidTr="128F7C85">
        <w:trPr>
          <w:trHeight w:val="218"/>
        </w:trPr>
        <w:tc>
          <w:tcPr>
            <w:tcW w:w="0" w:type="auto"/>
            <w:tcBorders>
              <w:top w:val="single" w:sz="4" w:space="0" w:color="auto"/>
              <w:left w:val="single" w:sz="4" w:space="0" w:color="auto"/>
              <w:bottom w:val="single" w:sz="4" w:space="0" w:color="auto"/>
              <w:right w:val="single" w:sz="4" w:space="0" w:color="auto"/>
            </w:tcBorders>
            <w:shd w:val="clear" w:color="auto" w:fill="008938"/>
          </w:tcPr>
          <w:p w14:paraId="132F0E5C" w14:textId="77777777" w:rsidR="00AF5C96" w:rsidRPr="00C7021B" w:rsidRDefault="00AF5C96" w:rsidP="3985B5A4">
            <w:pPr>
              <w:rPr>
                <w:rFonts w:eastAsia="Calibri"/>
                <w:b/>
                <w:bCs/>
                <w:color w:val="FFFFFF"/>
              </w:rPr>
            </w:pPr>
            <w:r w:rsidRPr="00C7021B">
              <w:rPr>
                <w:rFonts w:eastAsia="Calibri"/>
                <w:b/>
                <w:bCs/>
                <w:color w:val="FFFFFF"/>
              </w:rPr>
              <w:t>New</w:t>
            </w:r>
            <w:r w:rsidR="00E00080" w:rsidRPr="00C7021B">
              <w:rPr>
                <w:rFonts w:eastAsia="Calibri"/>
                <w:b/>
                <w:bCs/>
                <w:color w:val="FFFFFF"/>
              </w:rPr>
              <w:t xml:space="preserve"> Fee</w:t>
            </w:r>
            <w:r w:rsidRPr="00C7021B">
              <w:rPr>
                <w:rFonts w:eastAsia="Calibri"/>
                <w:b/>
                <w:bCs/>
                <w:color w:val="FFFFFF"/>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008938"/>
          </w:tcPr>
          <w:p w14:paraId="03DF7A2F" w14:textId="77777777" w:rsidR="00AF5C96" w:rsidRPr="00C7021B" w:rsidRDefault="00AF5C96" w:rsidP="00E00080">
            <w:pPr>
              <w:rPr>
                <w:rFonts w:eastAsia="Calibri"/>
                <w:b/>
                <w:bCs/>
                <w:color w:val="FFFFFF"/>
              </w:rPr>
            </w:pPr>
            <w:r w:rsidRPr="00C7021B">
              <w:rPr>
                <w:rFonts w:eastAsia="Calibri" w:cs="Arial"/>
                <w:b/>
                <w:bCs/>
                <w:color w:val="FFFFFF"/>
                <w:szCs w:val="24"/>
              </w:rPr>
              <w:t xml:space="preserve">New </w:t>
            </w:r>
            <w:r w:rsidR="00E00080" w:rsidRPr="00C7021B">
              <w:rPr>
                <w:rFonts w:eastAsia="Calibri" w:cs="Arial"/>
                <w:b/>
                <w:bCs/>
                <w:color w:val="FFFFFF"/>
                <w:szCs w:val="24"/>
              </w:rPr>
              <w:t>M</w:t>
            </w:r>
            <w:r w:rsidRPr="00C7021B">
              <w:rPr>
                <w:rFonts w:eastAsia="Calibri" w:cs="Arial"/>
                <w:b/>
                <w:bCs/>
                <w:color w:val="FFFFFF"/>
                <w:szCs w:val="24"/>
              </w:rPr>
              <w:t xml:space="preserve">aximum </w:t>
            </w:r>
            <w:r w:rsidR="00E00080" w:rsidRPr="00C7021B">
              <w:rPr>
                <w:rFonts w:eastAsia="Calibri" w:cs="Arial"/>
                <w:b/>
                <w:bCs/>
                <w:color w:val="FFFFFF"/>
                <w:szCs w:val="24"/>
              </w:rPr>
              <w:t>F</w:t>
            </w:r>
            <w:r w:rsidRPr="00C7021B">
              <w:rPr>
                <w:rFonts w:eastAsia="Calibri" w:cs="Arial"/>
                <w:b/>
                <w:bCs/>
                <w:color w:val="FFFFFF"/>
                <w:szCs w:val="24"/>
              </w:rPr>
              <w:t>ee</w:t>
            </w:r>
          </w:p>
        </w:tc>
        <w:tc>
          <w:tcPr>
            <w:tcW w:w="0" w:type="auto"/>
            <w:tcBorders>
              <w:top w:val="single" w:sz="4" w:space="0" w:color="auto"/>
              <w:left w:val="single" w:sz="4" w:space="0" w:color="auto"/>
              <w:bottom w:val="single" w:sz="4" w:space="0" w:color="auto"/>
              <w:right w:val="single" w:sz="4" w:space="0" w:color="auto"/>
            </w:tcBorders>
            <w:shd w:val="clear" w:color="auto" w:fill="008938"/>
          </w:tcPr>
          <w:p w14:paraId="5AE96025" w14:textId="77777777" w:rsidR="00AF5C96" w:rsidRPr="00C7021B" w:rsidRDefault="00AF5C96" w:rsidP="3985B5A4">
            <w:pPr>
              <w:rPr>
                <w:rFonts w:eastAsia="Calibri"/>
                <w:b/>
                <w:bCs/>
                <w:color w:val="FFFFFF"/>
              </w:rPr>
            </w:pPr>
            <w:r w:rsidRPr="00C7021B">
              <w:rPr>
                <w:rFonts w:eastAsia="Calibri" w:cs="Arial"/>
                <w:b/>
                <w:bCs/>
                <w:color w:val="FFFFFF"/>
                <w:szCs w:val="24"/>
              </w:rPr>
              <w:t>New Minimum Project Cost</w:t>
            </w:r>
          </w:p>
        </w:tc>
        <w:tc>
          <w:tcPr>
            <w:tcW w:w="0" w:type="auto"/>
            <w:tcBorders>
              <w:top w:val="single" w:sz="4" w:space="0" w:color="auto"/>
              <w:left w:val="single" w:sz="4" w:space="0" w:color="auto"/>
              <w:bottom w:val="single" w:sz="4" w:space="0" w:color="auto"/>
              <w:right w:val="single" w:sz="4" w:space="0" w:color="auto"/>
            </w:tcBorders>
            <w:shd w:val="clear" w:color="auto" w:fill="008938"/>
          </w:tcPr>
          <w:p w14:paraId="753ED04F" w14:textId="16AB5D7C" w:rsidR="00AF5C96" w:rsidRPr="00C7021B" w:rsidRDefault="00AF5C96" w:rsidP="3985B5A4">
            <w:pPr>
              <w:rPr>
                <w:rFonts w:eastAsia="Calibri"/>
                <w:b/>
                <w:bCs/>
                <w:color w:val="FFFFFF"/>
              </w:rPr>
            </w:pPr>
            <w:r w:rsidRPr="00C7021B">
              <w:rPr>
                <w:rFonts w:eastAsia="Calibri" w:cs="Arial"/>
                <w:b/>
                <w:bCs/>
                <w:color w:val="FFFFFF"/>
                <w:szCs w:val="24"/>
              </w:rPr>
              <w:t>New Max</w:t>
            </w:r>
            <w:r w:rsidR="00333ACF">
              <w:rPr>
                <w:rFonts w:eastAsia="Calibri" w:cs="Arial"/>
                <w:b/>
                <w:bCs/>
                <w:color w:val="FFFFFF"/>
                <w:szCs w:val="24"/>
              </w:rPr>
              <w:t>imum</w:t>
            </w:r>
            <w:r w:rsidRPr="00C7021B">
              <w:rPr>
                <w:rFonts w:eastAsia="Calibri" w:cs="Arial"/>
                <w:b/>
                <w:bCs/>
                <w:color w:val="FFFFFF"/>
                <w:szCs w:val="24"/>
              </w:rPr>
              <w:t xml:space="preserve"> Project Cost</w:t>
            </w:r>
          </w:p>
        </w:tc>
      </w:tr>
      <w:tr w:rsidR="002621D5" w14:paraId="59A73C1B" w14:textId="77777777" w:rsidTr="128F7C85">
        <w:trPr>
          <w:trHeight w:val="218"/>
        </w:trPr>
        <w:tc>
          <w:tcPr>
            <w:tcW w:w="0" w:type="auto"/>
            <w:tcBorders>
              <w:top w:val="single" w:sz="4" w:space="0" w:color="auto"/>
            </w:tcBorders>
            <w:shd w:val="clear" w:color="auto" w:fill="CBE9D3"/>
          </w:tcPr>
          <w:p w14:paraId="0B92A3D1" w14:textId="77777777" w:rsidR="00AF5C96" w:rsidRPr="00C7021B" w:rsidRDefault="00E00080" w:rsidP="002856C1">
            <w:pPr>
              <w:rPr>
                <w:rFonts w:eastAsia="Calibri" w:cs="Arial"/>
                <w:szCs w:val="24"/>
              </w:rPr>
            </w:pPr>
            <w:bookmarkStart w:id="61" w:name="_Hlk146783251"/>
            <w:r w:rsidRPr="00C7021B">
              <w:rPr>
                <w:rFonts w:eastAsia="Calibri" w:cs="Arial"/>
                <w:szCs w:val="24"/>
              </w:rPr>
              <w:t xml:space="preserve">Band </w:t>
            </w:r>
            <w:r w:rsidR="00AF5C96" w:rsidRPr="00C7021B">
              <w:rPr>
                <w:rFonts w:eastAsia="Calibri" w:cs="Arial"/>
                <w:szCs w:val="24"/>
              </w:rPr>
              <w:t>2A</w:t>
            </w:r>
          </w:p>
        </w:tc>
        <w:tc>
          <w:tcPr>
            <w:tcW w:w="0" w:type="auto"/>
            <w:tcBorders>
              <w:top w:val="single" w:sz="4" w:space="0" w:color="auto"/>
            </w:tcBorders>
            <w:shd w:val="clear" w:color="auto" w:fill="FFFFFF" w:themeFill="background1"/>
          </w:tcPr>
          <w:p w14:paraId="18F1A690" w14:textId="362F49C4" w:rsidR="00AF5C96" w:rsidRPr="00C7021B" w:rsidRDefault="00AF5C96" w:rsidP="128F7C85">
            <w:pPr>
              <w:rPr>
                <w:rFonts w:eastAsia="Calibri" w:cs="Arial"/>
              </w:rPr>
            </w:pPr>
            <w:r w:rsidRPr="128F7C85">
              <w:rPr>
                <w:rFonts w:eastAsia="Calibri" w:cs="Arial"/>
              </w:rPr>
              <w:t>£2,</w:t>
            </w:r>
            <w:r w:rsidR="4AAC66C2" w:rsidRPr="128F7C85">
              <w:rPr>
                <w:rFonts w:eastAsia="Calibri" w:cs="Arial"/>
              </w:rPr>
              <w:t>950</w:t>
            </w:r>
          </w:p>
        </w:tc>
        <w:tc>
          <w:tcPr>
            <w:tcW w:w="0" w:type="auto"/>
            <w:tcBorders>
              <w:top w:val="single" w:sz="4" w:space="0" w:color="auto"/>
            </w:tcBorders>
            <w:shd w:val="clear" w:color="auto" w:fill="FFFFFF" w:themeFill="background1"/>
          </w:tcPr>
          <w:p w14:paraId="02236CD6" w14:textId="77777777" w:rsidR="00AF5C96" w:rsidRPr="00C7021B" w:rsidRDefault="00AF5C96" w:rsidP="002856C1">
            <w:pPr>
              <w:rPr>
                <w:rFonts w:eastAsia="Calibri" w:cs="Arial"/>
                <w:szCs w:val="24"/>
              </w:rPr>
            </w:pPr>
            <w:r w:rsidRPr="00C7021B">
              <w:rPr>
                <w:rFonts w:eastAsia="Calibri" w:cs="Arial"/>
                <w:szCs w:val="24"/>
              </w:rPr>
              <w:t>£0</w:t>
            </w:r>
          </w:p>
        </w:tc>
        <w:tc>
          <w:tcPr>
            <w:tcW w:w="0" w:type="auto"/>
            <w:tcBorders>
              <w:top w:val="single" w:sz="4" w:space="0" w:color="auto"/>
            </w:tcBorders>
            <w:shd w:val="clear" w:color="auto" w:fill="FFFFFF" w:themeFill="background1"/>
          </w:tcPr>
          <w:p w14:paraId="6FC8F685" w14:textId="77777777" w:rsidR="00AF5C96" w:rsidRPr="00C7021B" w:rsidRDefault="00AF5C96" w:rsidP="002856C1">
            <w:pPr>
              <w:rPr>
                <w:rFonts w:eastAsia="Calibri" w:cs="Arial"/>
                <w:szCs w:val="24"/>
              </w:rPr>
            </w:pPr>
            <w:r w:rsidRPr="00C7021B">
              <w:rPr>
                <w:rFonts w:eastAsia="Calibri" w:cs="Arial"/>
                <w:szCs w:val="24"/>
              </w:rPr>
              <w:t>£19,999</w:t>
            </w:r>
          </w:p>
        </w:tc>
      </w:tr>
      <w:tr w:rsidR="002621D5" w14:paraId="3A47CD1F" w14:textId="77777777" w:rsidTr="128F7C85">
        <w:trPr>
          <w:trHeight w:val="218"/>
        </w:trPr>
        <w:tc>
          <w:tcPr>
            <w:tcW w:w="0" w:type="auto"/>
            <w:shd w:val="clear" w:color="auto" w:fill="CBE9D3"/>
          </w:tcPr>
          <w:p w14:paraId="4335C939" w14:textId="77777777" w:rsidR="00AF5C96" w:rsidRPr="00C7021B" w:rsidRDefault="00E00080" w:rsidP="002856C1">
            <w:pPr>
              <w:rPr>
                <w:rFonts w:eastAsia="Calibri" w:cs="Arial"/>
                <w:szCs w:val="24"/>
              </w:rPr>
            </w:pPr>
            <w:r w:rsidRPr="00C7021B">
              <w:rPr>
                <w:rFonts w:eastAsia="Calibri" w:cs="Arial"/>
                <w:szCs w:val="24"/>
              </w:rPr>
              <w:t xml:space="preserve">Band </w:t>
            </w:r>
            <w:r w:rsidR="00AF5C96" w:rsidRPr="00C7021B">
              <w:rPr>
                <w:rFonts w:eastAsia="Calibri" w:cs="Arial"/>
                <w:szCs w:val="24"/>
              </w:rPr>
              <w:t>2B</w:t>
            </w:r>
          </w:p>
        </w:tc>
        <w:tc>
          <w:tcPr>
            <w:tcW w:w="0" w:type="auto"/>
            <w:shd w:val="clear" w:color="auto" w:fill="FFFFFF" w:themeFill="background1"/>
          </w:tcPr>
          <w:p w14:paraId="4C0A9153" w14:textId="2BD12A9E" w:rsidR="00AF5C96" w:rsidRPr="00C7021B" w:rsidRDefault="00AF5C96" w:rsidP="128F7C85">
            <w:pPr>
              <w:rPr>
                <w:rFonts w:eastAsia="Calibri" w:cs="Arial"/>
              </w:rPr>
            </w:pPr>
            <w:r w:rsidRPr="128F7C85">
              <w:rPr>
                <w:rFonts w:eastAsia="Calibri" w:cs="Arial"/>
              </w:rPr>
              <w:t>£4,</w:t>
            </w:r>
            <w:r w:rsidR="35D67234" w:rsidRPr="128F7C85">
              <w:rPr>
                <w:rFonts w:eastAsia="Calibri" w:cs="Arial"/>
              </w:rPr>
              <w:t>650</w:t>
            </w:r>
          </w:p>
        </w:tc>
        <w:tc>
          <w:tcPr>
            <w:tcW w:w="0" w:type="auto"/>
            <w:shd w:val="clear" w:color="auto" w:fill="FFFFFF" w:themeFill="background1"/>
          </w:tcPr>
          <w:p w14:paraId="329468C0" w14:textId="77777777" w:rsidR="00AF5C96" w:rsidRPr="00C7021B" w:rsidRDefault="00AF5C96" w:rsidP="002856C1">
            <w:pPr>
              <w:rPr>
                <w:rFonts w:eastAsia="Calibri" w:cs="Arial"/>
                <w:szCs w:val="24"/>
              </w:rPr>
            </w:pPr>
            <w:r w:rsidRPr="00C7021B">
              <w:rPr>
                <w:rFonts w:eastAsia="Calibri" w:cs="Arial"/>
                <w:szCs w:val="24"/>
              </w:rPr>
              <w:t>£20,000</w:t>
            </w:r>
          </w:p>
        </w:tc>
        <w:tc>
          <w:tcPr>
            <w:tcW w:w="0" w:type="auto"/>
            <w:shd w:val="clear" w:color="auto" w:fill="FFFFFF" w:themeFill="background1"/>
          </w:tcPr>
          <w:p w14:paraId="1BA4B182" w14:textId="77777777" w:rsidR="00AF5C96" w:rsidRPr="00C7021B" w:rsidRDefault="00AF5C96" w:rsidP="002856C1">
            <w:pPr>
              <w:rPr>
                <w:rFonts w:eastAsia="Calibri" w:cs="Arial"/>
                <w:szCs w:val="24"/>
              </w:rPr>
            </w:pPr>
            <w:r w:rsidRPr="00C7021B">
              <w:rPr>
                <w:rFonts w:eastAsia="Calibri" w:cs="Arial"/>
                <w:szCs w:val="24"/>
              </w:rPr>
              <w:t>£74,999</w:t>
            </w:r>
          </w:p>
        </w:tc>
      </w:tr>
      <w:tr w:rsidR="002621D5" w14:paraId="6936835D" w14:textId="77777777" w:rsidTr="128F7C85">
        <w:trPr>
          <w:trHeight w:val="218"/>
        </w:trPr>
        <w:tc>
          <w:tcPr>
            <w:tcW w:w="0" w:type="auto"/>
            <w:shd w:val="clear" w:color="auto" w:fill="CBE9D3"/>
          </w:tcPr>
          <w:p w14:paraId="317190FE" w14:textId="77777777" w:rsidR="00AF5C96" w:rsidRPr="00C7021B" w:rsidRDefault="00E00080" w:rsidP="002856C1">
            <w:pPr>
              <w:rPr>
                <w:rFonts w:eastAsia="Calibri" w:cs="Arial"/>
                <w:szCs w:val="24"/>
              </w:rPr>
            </w:pPr>
            <w:r w:rsidRPr="00C7021B">
              <w:rPr>
                <w:rFonts w:eastAsia="Calibri" w:cs="Arial"/>
                <w:szCs w:val="24"/>
              </w:rPr>
              <w:t xml:space="preserve">Band </w:t>
            </w:r>
            <w:r w:rsidR="00AF5C96" w:rsidRPr="00C7021B">
              <w:rPr>
                <w:rFonts w:eastAsia="Calibri" w:cs="Arial"/>
                <w:szCs w:val="24"/>
              </w:rPr>
              <w:t>2C</w:t>
            </w:r>
          </w:p>
        </w:tc>
        <w:tc>
          <w:tcPr>
            <w:tcW w:w="0" w:type="auto"/>
            <w:shd w:val="clear" w:color="auto" w:fill="FFFFFF" w:themeFill="background1"/>
          </w:tcPr>
          <w:p w14:paraId="7D668145" w14:textId="481C0635" w:rsidR="00AF5C96" w:rsidRPr="00C7021B" w:rsidRDefault="00AF5C96" w:rsidP="128F7C85">
            <w:pPr>
              <w:rPr>
                <w:rFonts w:eastAsia="Calibri" w:cs="Arial"/>
              </w:rPr>
            </w:pPr>
            <w:r w:rsidRPr="128F7C85">
              <w:rPr>
                <w:rFonts w:eastAsia="Calibri" w:cs="Arial"/>
              </w:rPr>
              <w:t>£</w:t>
            </w:r>
            <w:r w:rsidR="55E33844" w:rsidRPr="128F7C85">
              <w:rPr>
                <w:rFonts w:eastAsia="Calibri" w:cs="Arial"/>
              </w:rPr>
              <w:t>9</w:t>
            </w:r>
            <w:r w:rsidR="67B2E22B" w:rsidRPr="128F7C85">
              <w:rPr>
                <w:rFonts w:eastAsia="Calibri" w:cs="Arial"/>
              </w:rPr>
              <w:t>,</w:t>
            </w:r>
            <w:r w:rsidR="52BB1BAD" w:rsidRPr="128F7C85">
              <w:rPr>
                <w:rFonts w:eastAsia="Calibri" w:cs="Arial"/>
              </w:rPr>
              <w:t>290</w:t>
            </w:r>
          </w:p>
        </w:tc>
        <w:tc>
          <w:tcPr>
            <w:tcW w:w="0" w:type="auto"/>
            <w:shd w:val="clear" w:color="auto" w:fill="FFFFFF" w:themeFill="background1"/>
          </w:tcPr>
          <w:p w14:paraId="540A3907" w14:textId="77777777" w:rsidR="00AF5C96" w:rsidRPr="00C7021B" w:rsidRDefault="00AF5C96" w:rsidP="002856C1">
            <w:pPr>
              <w:rPr>
                <w:rFonts w:eastAsia="Calibri" w:cs="Arial"/>
                <w:szCs w:val="24"/>
              </w:rPr>
            </w:pPr>
            <w:r w:rsidRPr="00C7021B">
              <w:rPr>
                <w:rFonts w:eastAsia="Calibri" w:cs="Arial"/>
                <w:szCs w:val="24"/>
              </w:rPr>
              <w:t>£75,000</w:t>
            </w:r>
          </w:p>
        </w:tc>
        <w:tc>
          <w:tcPr>
            <w:tcW w:w="0" w:type="auto"/>
            <w:shd w:val="clear" w:color="auto" w:fill="FFFFFF" w:themeFill="background1"/>
          </w:tcPr>
          <w:p w14:paraId="245C61A8" w14:textId="1EBF3D5A" w:rsidR="00AF5C96" w:rsidRPr="00C7021B" w:rsidRDefault="00AF5C96" w:rsidP="002856C1">
            <w:pPr>
              <w:rPr>
                <w:rFonts w:eastAsia="Calibri" w:cs="Arial"/>
                <w:szCs w:val="24"/>
              </w:rPr>
            </w:pPr>
            <w:r w:rsidRPr="00C7021B">
              <w:rPr>
                <w:rFonts w:eastAsia="Calibri" w:cs="Arial"/>
                <w:szCs w:val="24"/>
              </w:rPr>
              <w:t>£</w:t>
            </w:r>
            <w:r w:rsidR="00764615" w:rsidRPr="00C7021B">
              <w:rPr>
                <w:rFonts w:eastAsia="Calibri" w:cs="Arial"/>
                <w:szCs w:val="24"/>
              </w:rPr>
              <w:t>2</w:t>
            </w:r>
            <w:r w:rsidR="00764615">
              <w:rPr>
                <w:rFonts w:eastAsia="Calibri" w:cs="Arial"/>
                <w:szCs w:val="24"/>
              </w:rPr>
              <w:t>49</w:t>
            </w:r>
            <w:r w:rsidRPr="00C7021B">
              <w:rPr>
                <w:rFonts w:eastAsia="Calibri" w:cs="Arial"/>
                <w:szCs w:val="24"/>
              </w:rPr>
              <w:t>,</w:t>
            </w:r>
            <w:r w:rsidR="00764615">
              <w:rPr>
                <w:rFonts w:eastAsia="Calibri" w:cs="Arial"/>
                <w:szCs w:val="24"/>
              </w:rPr>
              <w:t>999</w:t>
            </w:r>
          </w:p>
        </w:tc>
      </w:tr>
      <w:tr w:rsidR="002621D5" w14:paraId="3EF10F7F" w14:textId="77777777" w:rsidTr="128F7C85">
        <w:trPr>
          <w:trHeight w:val="745"/>
        </w:trPr>
        <w:tc>
          <w:tcPr>
            <w:tcW w:w="0" w:type="auto"/>
            <w:shd w:val="clear" w:color="auto" w:fill="CBE9D3"/>
          </w:tcPr>
          <w:p w14:paraId="0BCF9EC0" w14:textId="77777777" w:rsidR="00AF5C96" w:rsidRPr="00C7021B" w:rsidRDefault="00E00080" w:rsidP="002856C1">
            <w:pPr>
              <w:rPr>
                <w:rFonts w:eastAsia="Calibri" w:cs="Arial"/>
                <w:szCs w:val="24"/>
              </w:rPr>
            </w:pPr>
            <w:r w:rsidRPr="00C7021B">
              <w:rPr>
                <w:rFonts w:eastAsia="Calibri" w:cs="Arial"/>
                <w:szCs w:val="24"/>
              </w:rPr>
              <w:t xml:space="preserve">Band </w:t>
            </w:r>
            <w:r w:rsidR="00AF5C96" w:rsidRPr="00C7021B">
              <w:rPr>
                <w:rFonts w:eastAsia="Calibri" w:cs="Arial"/>
                <w:szCs w:val="24"/>
              </w:rPr>
              <w:t>2D</w:t>
            </w:r>
          </w:p>
        </w:tc>
        <w:tc>
          <w:tcPr>
            <w:tcW w:w="0" w:type="auto"/>
            <w:shd w:val="clear" w:color="auto" w:fill="FFFFFF" w:themeFill="background1"/>
          </w:tcPr>
          <w:p w14:paraId="489F1013" w14:textId="5FFA9971" w:rsidR="00AF5C96" w:rsidRPr="00C7021B" w:rsidRDefault="00AF5C96" w:rsidP="128F7C85">
            <w:pPr>
              <w:rPr>
                <w:rFonts w:eastAsia="Calibri" w:cs="Arial"/>
              </w:rPr>
            </w:pPr>
            <w:r w:rsidRPr="128F7C85">
              <w:rPr>
                <w:rFonts w:eastAsia="Calibri" w:cs="Arial"/>
              </w:rPr>
              <w:t>£1</w:t>
            </w:r>
            <w:r w:rsidR="7013A013" w:rsidRPr="128F7C85">
              <w:rPr>
                <w:rFonts w:eastAsia="Calibri" w:cs="Arial"/>
              </w:rPr>
              <w:t>2</w:t>
            </w:r>
            <w:r w:rsidR="67B2E22B" w:rsidRPr="128F7C85">
              <w:rPr>
                <w:rFonts w:eastAsia="Calibri" w:cs="Arial"/>
              </w:rPr>
              <w:t>,</w:t>
            </w:r>
            <w:r w:rsidR="7F5959E3" w:rsidRPr="128F7C85">
              <w:rPr>
                <w:rFonts w:eastAsia="Calibri" w:cs="Arial"/>
              </w:rPr>
              <w:t>39</w:t>
            </w:r>
            <w:r w:rsidRPr="128F7C85">
              <w:rPr>
                <w:rFonts w:eastAsia="Calibri" w:cs="Arial"/>
              </w:rPr>
              <w:t>0</w:t>
            </w:r>
          </w:p>
        </w:tc>
        <w:tc>
          <w:tcPr>
            <w:tcW w:w="0" w:type="auto"/>
            <w:shd w:val="clear" w:color="auto" w:fill="FFFFFF" w:themeFill="background1"/>
          </w:tcPr>
          <w:p w14:paraId="11342B89" w14:textId="77777777" w:rsidR="00AF5C96" w:rsidRPr="00C7021B" w:rsidRDefault="00AF5C96" w:rsidP="002856C1">
            <w:pPr>
              <w:rPr>
                <w:rFonts w:eastAsia="Calibri" w:cs="Arial"/>
                <w:szCs w:val="24"/>
              </w:rPr>
            </w:pPr>
            <w:r w:rsidRPr="00C7021B">
              <w:rPr>
                <w:rFonts w:eastAsia="Calibri" w:cs="Arial"/>
                <w:szCs w:val="24"/>
              </w:rPr>
              <w:t>£250,000</w:t>
            </w:r>
          </w:p>
        </w:tc>
        <w:tc>
          <w:tcPr>
            <w:tcW w:w="0" w:type="auto"/>
            <w:shd w:val="clear" w:color="auto" w:fill="FFFFFF" w:themeFill="background1"/>
          </w:tcPr>
          <w:p w14:paraId="14396878" w14:textId="32902935" w:rsidR="00AF5C96" w:rsidRPr="00C7021B" w:rsidRDefault="00AF5C96" w:rsidP="002856C1">
            <w:pPr>
              <w:rPr>
                <w:rFonts w:eastAsia="Calibri" w:cs="Arial"/>
                <w:szCs w:val="24"/>
              </w:rPr>
            </w:pPr>
            <w:r w:rsidRPr="00C7021B">
              <w:rPr>
                <w:rFonts w:eastAsia="Calibri" w:cs="Arial"/>
                <w:szCs w:val="24"/>
              </w:rPr>
              <w:t>£999,999</w:t>
            </w:r>
          </w:p>
        </w:tc>
      </w:tr>
    </w:tbl>
    <w:bookmarkEnd w:id="61"/>
    <w:p w14:paraId="18589405" w14:textId="77777777" w:rsidR="000079B7" w:rsidRPr="00F05A14" w:rsidRDefault="00F05A14" w:rsidP="00F05A14">
      <w:pPr>
        <w:spacing w:before="0"/>
        <w:rPr>
          <w:i/>
          <w:iCs/>
        </w:rPr>
      </w:pPr>
      <w:r w:rsidRPr="00F05A14">
        <w:rPr>
          <w:i/>
          <w:iCs/>
        </w:rPr>
        <w:t>Table 7</w:t>
      </w:r>
    </w:p>
    <w:p w14:paraId="49DA2C14" w14:textId="6BC9A3F5" w:rsidR="005C5261" w:rsidRDefault="005C5261" w:rsidP="08B5CC02">
      <w:pPr>
        <w:pBdr>
          <w:top w:val="single" w:sz="4" w:space="1" w:color="auto"/>
          <w:left w:val="single" w:sz="4" w:space="4" w:color="auto"/>
          <w:bottom w:val="single" w:sz="4" w:space="1" w:color="auto"/>
          <w:right w:val="single" w:sz="4" w:space="4" w:color="auto"/>
        </w:pBdr>
        <w:jc w:val="both"/>
        <w:rPr>
          <w:b/>
          <w:bCs/>
          <w:lang w:val="en-US"/>
        </w:rPr>
      </w:pPr>
      <w:r w:rsidRPr="08B5CC02">
        <w:rPr>
          <w:b/>
          <w:bCs/>
          <w:lang w:val="en-US"/>
        </w:rPr>
        <w:t>1</w:t>
      </w:r>
      <w:r w:rsidR="00CE57A8">
        <w:rPr>
          <w:b/>
          <w:bCs/>
          <w:lang w:val="en-US"/>
        </w:rPr>
        <w:t>6</w:t>
      </w:r>
      <w:r w:rsidR="00AE059F">
        <w:rPr>
          <w:b/>
          <w:bCs/>
          <w:lang w:val="en-US"/>
        </w:rPr>
        <w:t>a</w:t>
      </w:r>
      <w:r w:rsidRPr="08B5CC02">
        <w:rPr>
          <w:b/>
          <w:bCs/>
          <w:lang w:val="en-US"/>
        </w:rPr>
        <w:t xml:space="preserve">. Do you agree with the </w:t>
      </w:r>
      <w:r w:rsidRPr="08B5CC02">
        <w:rPr>
          <w:b/>
          <w:bCs/>
        </w:rPr>
        <w:t>proposed amendment</w:t>
      </w:r>
      <w:r w:rsidRPr="08B5CC02">
        <w:rPr>
          <w:b/>
          <w:bCs/>
          <w:lang w:val="en-US"/>
        </w:rPr>
        <w:t xml:space="preserve">? </w:t>
      </w:r>
    </w:p>
    <w:p w14:paraId="1B88763B" w14:textId="07FF5DC5" w:rsidR="00B17ED8" w:rsidRDefault="00B17ED8" w:rsidP="00B17ED8">
      <w:pPr>
        <w:pBdr>
          <w:top w:val="single" w:sz="4" w:space="1" w:color="auto"/>
          <w:left w:val="single" w:sz="4" w:space="4" w:color="auto"/>
          <w:bottom w:val="single" w:sz="4" w:space="1" w:color="auto"/>
          <w:right w:val="single" w:sz="4" w:space="4" w:color="auto"/>
        </w:pBdr>
        <w:jc w:val="both"/>
        <w:rPr>
          <w:b/>
          <w:bCs/>
          <w:lang w:val="en-US"/>
        </w:rPr>
      </w:pPr>
      <w:r w:rsidRPr="00B17ED8">
        <w:rPr>
          <w:b/>
          <w:bCs/>
          <w:lang w:val="en-US"/>
        </w:rPr>
        <w:t>Yes</w:t>
      </w:r>
      <w:r w:rsidR="00E43B10">
        <w:rPr>
          <w:b/>
          <w:bCs/>
          <w:lang w:val="en-US"/>
        </w:rPr>
        <w:t xml:space="preserve"> or </w:t>
      </w:r>
      <w:r w:rsidRPr="00B17ED8">
        <w:rPr>
          <w:b/>
          <w:bCs/>
          <w:lang w:val="en-US"/>
        </w:rPr>
        <w:t>No</w:t>
      </w:r>
      <w:r w:rsidR="00E43B10">
        <w:rPr>
          <w:b/>
          <w:bCs/>
          <w:lang w:val="en-US"/>
        </w:rPr>
        <w:t xml:space="preserve"> or </w:t>
      </w:r>
      <w:r w:rsidRPr="00B17ED8">
        <w:rPr>
          <w:b/>
          <w:bCs/>
          <w:lang w:val="en-US"/>
        </w:rPr>
        <w:t xml:space="preserve">Neither Agree nor Disagree   </w:t>
      </w:r>
    </w:p>
    <w:p w14:paraId="394FF182" w14:textId="2FAA8E3D" w:rsidR="001F7D28" w:rsidRPr="00487E58" w:rsidRDefault="00AE059F" w:rsidP="00D0441F">
      <w:pPr>
        <w:pBdr>
          <w:top w:val="single" w:sz="4" w:space="1" w:color="auto"/>
          <w:left w:val="single" w:sz="4" w:space="4" w:color="auto"/>
          <w:bottom w:val="single" w:sz="4" w:space="1" w:color="auto"/>
          <w:right w:val="single" w:sz="4" w:space="4" w:color="auto"/>
        </w:pBdr>
        <w:jc w:val="both"/>
        <w:rPr>
          <w:b/>
          <w:bCs/>
          <w:lang w:val="en-US"/>
        </w:rPr>
      </w:pPr>
      <w:r>
        <w:rPr>
          <w:b/>
          <w:bCs/>
          <w:lang w:val="en-US"/>
        </w:rPr>
        <w:t>1</w:t>
      </w:r>
      <w:r w:rsidR="00CE57A8">
        <w:rPr>
          <w:b/>
          <w:bCs/>
          <w:lang w:val="en-US"/>
        </w:rPr>
        <w:t>6</w:t>
      </w:r>
      <w:r>
        <w:rPr>
          <w:b/>
          <w:bCs/>
          <w:lang w:val="en-US"/>
        </w:rPr>
        <w:t xml:space="preserve">b. </w:t>
      </w:r>
      <w:r w:rsidR="00EB328D">
        <w:rPr>
          <w:b/>
          <w:bCs/>
          <w:lang w:val="en-US"/>
        </w:rPr>
        <w:t xml:space="preserve">If </w:t>
      </w:r>
      <w:proofErr w:type="gramStart"/>
      <w:r w:rsidR="004D00E3">
        <w:rPr>
          <w:b/>
          <w:bCs/>
          <w:lang w:val="en-US"/>
        </w:rPr>
        <w:t>N</w:t>
      </w:r>
      <w:r w:rsidR="00EB328D">
        <w:rPr>
          <w:b/>
          <w:bCs/>
          <w:lang w:val="en-US"/>
        </w:rPr>
        <w:t>o</w:t>
      </w:r>
      <w:proofErr w:type="gramEnd"/>
      <w:r w:rsidR="00EB328D">
        <w:rPr>
          <w:b/>
          <w:bCs/>
          <w:lang w:val="en-US"/>
        </w:rPr>
        <w:t xml:space="preserve">, </w:t>
      </w:r>
      <w:r w:rsidR="007B5F61">
        <w:rPr>
          <w:b/>
          <w:bCs/>
          <w:lang w:val="en-US"/>
        </w:rPr>
        <w:t>which of the following is the concern?</w:t>
      </w:r>
      <w:r w:rsidR="001F7D28" w:rsidRPr="00487E58">
        <w:rPr>
          <w:b/>
          <w:bCs/>
          <w:lang w:val="en-US"/>
        </w:rPr>
        <w:t xml:space="preserve"> </w:t>
      </w:r>
    </w:p>
    <w:p w14:paraId="4AF0ED14" w14:textId="61E8D423" w:rsidR="001F7D28" w:rsidRPr="00487E58" w:rsidRDefault="001F7D28" w:rsidP="001F7D28">
      <w:pPr>
        <w:pBdr>
          <w:top w:val="single" w:sz="4" w:space="1" w:color="auto"/>
          <w:left w:val="single" w:sz="4" w:space="4" w:color="auto"/>
          <w:bottom w:val="single" w:sz="4" w:space="1" w:color="auto"/>
          <w:right w:val="single" w:sz="4" w:space="4" w:color="auto"/>
        </w:pBdr>
        <w:spacing w:after="0"/>
        <w:jc w:val="both"/>
        <w:rPr>
          <w:b/>
          <w:bCs/>
          <w:lang w:val="en-US"/>
        </w:rPr>
      </w:pPr>
      <w:r w:rsidRPr="00487E58">
        <w:rPr>
          <w:b/>
          <w:bCs/>
          <w:lang w:val="en-US"/>
        </w:rPr>
        <w:t>•</w:t>
      </w:r>
      <w:r w:rsidRPr="00487E58">
        <w:rPr>
          <w:b/>
          <w:bCs/>
          <w:lang w:val="en-US"/>
        </w:rPr>
        <w:tab/>
      </w:r>
      <w:r w:rsidR="006B684D">
        <w:rPr>
          <w:b/>
          <w:bCs/>
          <w:lang w:val="en-US"/>
        </w:rPr>
        <w:t>Changes to maximum fee</w:t>
      </w:r>
      <w:r w:rsidRPr="00487E58">
        <w:rPr>
          <w:b/>
          <w:bCs/>
          <w:lang w:val="en-US"/>
        </w:rPr>
        <w:t xml:space="preserve"> </w:t>
      </w:r>
    </w:p>
    <w:p w14:paraId="1F619860" w14:textId="77777777" w:rsidR="003345D4" w:rsidRDefault="001F7D28" w:rsidP="00B17ED8">
      <w:pPr>
        <w:pBdr>
          <w:top w:val="single" w:sz="4" w:space="1" w:color="auto"/>
          <w:left w:val="single" w:sz="4" w:space="4" w:color="auto"/>
          <w:bottom w:val="single" w:sz="4" w:space="1" w:color="auto"/>
          <w:right w:val="single" w:sz="4" w:space="4" w:color="auto"/>
        </w:pBdr>
        <w:jc w:val="both"/>
        <w:rPr>
          <w:b/>
          <w:bCs/>
          <w:lang w:val="en-US"/>
        </w:rPr>
      </w:pPr>
      <w:r w:rsidRPr="00487E58">
        <w:rPr>
          <w:b/>
          <w:bCs/>
          <w:lang w:val="en-US"/>
        </w:rPr>
        <w:t>•</w:t>
      </w:r>
      <w:r w:rsidRPr="00487E58">
        <w:rPr>
          <w:b/>
          <w:bCs/>
          <w:lang w:val="en-US"/>
        </w:rPr>
        <w:tab/>
      </w:r>
      <w:r w:rsidR="00993007">
        <w:rPr>
          <w:b/>
          <w:bCs/>
          <w:lang w:val="en-US"/>
        </w:rPr>
        <w:t>Changes to minimum and maximum project costs for each band</w:t>
      </w:r>
    </w:p>
    <w:p w14:paraId="3EC3B614" w14:textId="143DBBFD" w:rsidR="00B17ED8" w:rsidRDefault="00B17ED8" w:rsidP="00B17ED8">
      <w:pPr>
        <w:pBdr>
          <w:top w:val="single" w:sz="4" w:space="1" w:color="auto"/>
          <w:left w:val="single" w:sz="4" w:space="4" w:color="auto"/>
          <w:bottom w:val="single" w:sz="4" w:space="1" w:color="auto"/>
          <w:right w:val="single" w:sz="4" w:space="4" w:color="auto"/>
        </w:pBdr>
        <w:jc w:val="both"/>
        <w:rPr>
          <w:b/>
        </w:rPr>
      </w:pPr>
      <w:r w:rsidRPr="4CDAF053">
        <w:rPr>
          <w:b/>
        </w:rPr>
        <w:t>Do you have any further comments you wish to make on this proposal</w:t>
      </w:r>
      <w:r w:rsidR="003E7191">
        <w:rPr>
          <w:b/>
        </w:rPr>
        <w:t xml:space="preserve"> </w:t>
      </w:r>
      <w:r w:rsidR="003E7191">
        <w:rPr>
          <w:rFonts w:cs="Arial"/>
          <w:b/>
        </w:rPr>
        <w:t xml:space="preserve">(including any evidence of </w:t>
      </w:r>
      <w:r w:rsidR="002F25B7">
        <w:rPr>
          <w:rFonts w:cs="Arial"/>
          <w:b/>
        </w:rPr>
        <w:t xml:space="preserve">potential </w:t>
      </w:r>
      <w:r w:rsidR="003E7191">
        <w:rPr>
          <w:rFonts w:cs="Arial"/>
          <w:b/>
        </w:rPr>
        <w:t>cost impacts)</w:t>
      </w:r>
      <w:r w:rsidRPr="4CDAF053">
        <w:rPr>
          <w:b/>
        </w:rPr>
        <w:t xml:space="preserve">?  </w:t>
      </w:r>
    </w:p>
    <w:p w14:paraId="1DE900C1" w14:textId="77777777" w:rsidR="000079B7" w:rsidRPr="009A0FAC" w:rsidRDefault="000079B7" w:rsidP="000079B7">
      <w:pPr>
        <w:pStyle w:val="Heading3"/>
        <w:rPr>
          <w:color w:val="008938"/>
        </w:rPr>
      </w:pPr>
      <w:r w:rsidRPr="009A0FAC">
        <w:rPr>
          <w:rFonts w:eastAsia="Arial"/>
          <w:color w:val="008938"/>
        </w:rPr>
        <w:t xml:space="preserve">Dredge and </w:t>
      </w:r>
      <w:r>
        <w:rPr>
          <w:rFonts w:eastAsia="Arial"/>
          <w:color w:val="008938"/>
        </w:rPr>
        <w:t>d</w:t>
      </w:r>
      <w:r w:rsidRPr="009A0FAC">
        <w:rPr>
          <w:rFonts w:eastAsia="Arial"/>
          <w:color w:val="008938"/>
        </w:rPr>
        <w:t>isposal</w:t>
      </w:r>
      <w:r>
        <w:rPr>
          <w:rFonts w:eastAsia="Arial"/>
          <w:color w:val="008938"/>
        </w:rPr>
        <w:t xml:space="preserve"> levy</w:t>
      </w:r>
      <w:r w:rsidRPr="009A0FAC">
        <w:rPr>
          <w:rFonts w:eastAsia="Arial"/>
          <w:color w:val="008938"/>
        </w:rPr>
        <w:t xml:space="preserve"> </w:t>
      </w:r>
      <w:r>
        <w:rPr>
          <w:rFonts w:eastAsia="Arial"/>
          <w:color w:val="008938"/>
        </w:rPr>
        <w:t>charges</w:t>
      </w:r>
    </w:p>
    <w:p w14:paraId="61185FC9" w14:textId="77777777" w:rsidR="00F171B4" w:rsidRDefault="00F171B4" w:rsidP="000079B7">
      <w:pPr>
        <w:spacing w:before="0" w:after="0" w:line="240" w:lineRule="auto"/>
        <w:jc w:val="both"/>
      </w:pPr>
    </w:p>
    <w:p w14:paraId="29B58644" w14:textId="57D352B2" w:rsidR="000079B7" w:rsidRDefault="000079B7" w:rsidP="00054E4A">
      <w:pPr>
        <w:spacing w:before="0" w:after="0"/>
        <w:jc w:val="both"/>
      </w:pPr>
      <w:r>
        <w:t xml:space="preserve">The MMO charges a levy at 1p per tonne up to a maximum of £15,000 for the disposal of dredged material at sea. This revenue is used to offset the costs of monitoring </w:t>
      </w:r>
      <w:r w:rsidR="00A401BB">
        <w:t xml:space="preserve">dredged material </w:t>
      </w:r>
      <w:r>
        <w:t>disposal sites</w:t>
      </w:r>
      <w:r w:rsidR="00A401BB">
        <w:t>,</w:t>
      </w:r>
      <w:r>
        <w:t xml:space="preserve"> support</w:t>
      </w:r>
      <w:r w:rsidR="00A401BB">
        <w:t>ing</w:t>
      </w:r>
      <w:r>
        <w:t xml:space="preserve"> the ongoing analysis of the potential impacts of dredge </w:t>
      </w:r>
      <w:r>
        <w:lastRenderedPageBreak/>
        <w:t xml:space="preserve">disposal </w:t>
      </w:r>
      <w:r w:rsidR="008B654D">
        <w:t xml:space="preserve">undertaken by the </w:t>
      </w:r>
      <w:r>
        <w:t>MMO</w:t>
      </w:r>
      <w:r w:rsidR="008B654D">
        <w:t>,</w:t>
      </w:r>
      <w:r>
        <w:t xml:space="preserve"> in line with international obligations under the OSPAR convention</w:t>
      </w:r>
      <w:r>
        <w:rPr>
          <w:rStyle w:val="FootnoteReference"/>
        </w:rPr>
        <w:footnoteReference w:id="26"/>
      </w:r>
      <w:r>
        <w:t>.</w:t>
      </w:r>
    </w:p>
    <w:p w14:paraId="07459315" w14:textId="77777777" w:rsidR="000079B7" w:rsidRDefault="000079B7" w:rsidP="00054E4A">
      <w:pPr>
        <w:spacing w:before="0" w:after="0"/>
        <w:jc w:val="both"/>
      </w:pPr>
    </w:p>
    <w:p w14:paraId="2BFB0A40" w14:textId="5475E7E4" w:rsidR="000079B7" w:rsidRPr="00766A4F" w:rsidRDefault="000079B7" w:rsidP="00054E4A">
      <w:pPr>
        <w:spacing w:before="0" w:after="0"/>
        <w:jc w:val="both"/>
      </w:pPr>
      <w:bookmarkStart w:id="62" w:name="_Hlk138955696"/>
      <w:r w:rsidRPr="008E557F">
        <w:t xml:space="preserve">The annual expenditure for the MMO to monitor disposal sites ranged from £240k to £300k in 2014-2020. The income generated from the levy has only averaged £70k since 2014. To ensure parity with this disposal monitoring revenue </w:t>
      </w:r>
      <w:r w:rsidR="00A20AC0">
        <w:t xml:space="preserve">the </w:t>
      </w:r>
      <w:r w:rsidRPr="008E557F">
        <w:t>MMO has focused monitoring on a smaller number of sites, meaning fewer disposal sites being physically surveyed in recent years, reducing disposal site analysis.</w:t>
      </w:r>
    </w:p>
    <w:bookmarkEnd w:id="62"/>
    <w:p w14:paraId="6537F28F" w14:textId="77777777" w:rsidR="000079B7" w:rsidRDefault="000079B7" w:rsidP="00054E4A">
      <w:pPr>
        <w:spacing w:before="0" w:after="0"/>
        <w:jc w:val="both"/>
      </w:pPr>
    </w:p>
    <w:p w14:paraId="0727C57E" w14:textId="41AE7F8F" w:rsidR="007450ED" w:rsidRDefault="000079B7" w:rsidP="00054E4A">
      <w:pPr>
        <w:spacing w:before="0" w:after="0"/>
        <w:jc w:val="both"/>
      </w:pPr>
      <w:bookmarkStart w:id="63" w:name="_Hlk137718011"/>
      <w:r>
        <w:t>The current fee structure also includes a maximum fee which ports can pay. This maximum fee however is generally only reached</w:t>
      </w:r>
      <w:r w:rsidR="0037648D">
        <w:t xml:space="preserve"> (and far exceeded)</w:t>
      </w:r>
      <w:r>
        <w:t xml:space="preserve"> by a very small number of ports who dredge a lot of material.</w:t>
      </w:r>
    </w:p>
    <w:bookmarkEnd w:id="63"/>
    <w:p w14:paraId="4A470606" w14:textId="77777777" w:rsidR="000079B7" w:rsidRPr="008B5657" w:rsidRDefault="000079B7" w:rsidP="00054E4A">
      <w:pPr>
        <w:jc w:val="both"/>
        <w:rPr>
          <w:lang w:val="en-US"/>
        </w:rPr>
      </w:pPr>
      <w:r w:rsidRPr="008B5657">
        <w:rPr>
          <w:b/>
          <w:lang w:val="en-US"/>
        </w:rPr>
        <w:t xml:space="preserve">Proposed amendment: </w:t>
      </w:r>
    </w:p>
    <w:p w14:paraId="64E8E2AB" w14:textId="52310676" w:rsidR="000079B7" w:rsidRDefault="000079B7" w:rsidP="00054E4A">
      <w:pPr>
        <w:spacing w:before="0" w:after="0"/>
        <w:jc w:val="both"/>
        <w:rPr>
          <w:rFonts w:cs="Arial"/>
        </w:rPr>
      </w:pPr>
      <w:bookmarkStart w:id="64" w:name="_Hlk137718023"/>
      <w:r w:rsidRPr="35317507">
        <w:rPr>
          <w:rFonts w:cs="Arial"/>
        </w:rPr>
        <w:t>We propose to increase the disposal charge from 1p a tonne to 3p a tonne to better align with MMO disposal site monitoring costs.</w:t>
      </w:r>
    </w:p>
    <w:p w14:paraId="6DFB9E20" w14:textId="77777777" w:rsidR="000079B7" w:rsidRDefault="000079B7" w:rsidP="00054E4A">
      <w:pPr>
        <w:spacing w:before="0" w:after="0"/>
        <w:jc w:val="both"/>
        <w:rPr>
          <w:rFonts w:cs="Arial"/>
        </w:rPr>
      </w:pPr>
    </w:p>
    <w:p w14:paraId="1D4B25C8" w14:textId="77777777" w:rsidR="000079B7" w:rsidRDefault="000079B7" w:rsidP="00054E4A">
      <w:pPr>
        <w:spacing w:before="0" w:after="0"/>
        <w:jc w:val="both"/>
        <w:rPr>
          <w:rFonts w:cs="Arial"/>
        </w:rPr>
      </w:pPr>
      <w:r>
        <w:rPr>
          <w:rFonts w:cs="Arial"/>
        </w:rPr>
        <w:t>We also propose to remove</w:t>
      </w:r>
      <w:r w:rsidRPr="009A0FAC">
        <w:rPr>
          <w:rFonts w:cs="Arial"/>
        </w:rPr>
        <w:t xml:space="preserve"> the </w:t>
      </w:r>
      <w:r>
        <w:rPr>
          <w:rFonts w:cs="Arial"/>
        </w:rPr>
        <w:t xml:space="preserve">annual </w:t>
      </w:r>
      <w:r w:rsidRPr="009A0FAC">
        <w:rPr>
          <w:rFonts w:cs="Arial"/>
        </w:rPr>
        <w:t xml:space="preserve">tonnage </w:t>
      </w:r>
      <w:r>
        <w:rPr>
          <w:rFonts w:cs="Arial"/>
        </w:rPr>
        <w:t xml:space="preserve">maximum fee of £15,000.  Any additional revenue will be used to by the MMO to cover the costs of, and improve, the annual dredge disposal monitoring programme. </w:t>
      </w:r>
      <w:bookmarkEnd w:id="64"/>
    </w:p>
    <w:p w14:paraId="70DF9E56" w14:textId="77777777" w:rsidR="008B64FA" w:rsidRDefault="008B64FA" w:rsidP="000079B7">
      <w:pPr>
        <w:spacing w:before="0" w:after="0" w:line="240" w:lineRule="auto"/>
        <w:jc w:val="both"/>
        <w:rPr>
          <w:rFonts w:cs="Arial"/>
        </w:rPr>
      </w:pPr>
    </w:p>
    <w:tbl>
      <w:tblPr>
        <w:tblW w:w="4929" w:type="pct"/>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Look w:val="04A0" w:firstRow="1" w:lastRow="0" w:firstColumn="1" w:lastColumn="0" w:noHBand="0" w:noVBand="1"/>
      </w:tblPr>
      <w:tblGrid>
        <w:gridCol w:w="2054"/>
        <w:gridCol w:w="4556"/>
        <w:gridCol w:w="2874"/>
      </w:tblGrid>
      <w:tr w:rsidR="002621D5" w:rsidRPr="000F5C69" w14:paraId="11FBDA66" w14:textId="77777777" w:rsidTr="00C7021B">
        <w:trPr>
          <w:trHeight w:hRule="exact" w:val="868"/>
        </w:trPr>
        <w:tc>
          <w:tcPr>
            <w:tcW w:w="1083" w:type="pct"/>
            <w:tcBorders>
              <w:top w:val="single" w:sz="4" w:space="0" w:color="auto"/>
              <w:left w:val="single" w:sz="4" w:space="0" w:color="auto"/>
              <w:bottom w:val="single" w:sz="4" w:space="0" w:color="auto"/>
              <w:right w:val="single" w:sz="4" w:space="0" w:color="auto"/>
            </w:tcBorders>
            <w:shd w:val="clear" w:color="auto" w:fill="008938"/>
            <w:hideMark/>
          </w:tcPr>
          <w:p w14:paraId="53BD020E" w14:textId="77777777" w:rsidR="008B64FA" w:rsidRPr="00C7021B" w:rsidRDefault="000F5C69" w:rsidP="00C7021B">
            <w:pPr>
              <w:spacing w:before="450" w:after="450"/>
              <w:rPr>
                <w:rFonts w:eastAsia="Calibri" w:cs="Arial"/>
                <w:b/>
                <w:bCs/>
                <w:color w:val="FFFFFF"/>
              </w:rPr>
            </w:pPr>
            <w:r w:rsidRPr="00C7021B">
              <w:rPr>
                <w:rFonts w:eastAsia="Calibri" w:cs="Arial"/>
                <w:b/>
                <w:bCs/>
                <w:color w:val="FFFFFF"/>
              </w:rPr>
              <w:t>Fee</w:t>
            </w:r>
          </w:p>
        </w:tc>
        <w:tc>
          <w:tcPr>
            <w:tcW w:w="2402" w:type="pct"/>
            <w:tcBorders>
              <w:top w:val="single" w:sz="4" w:space="0" w:color="auto"/>
              <w:left w:val="single" w:sz="4" w:space="0" w:color="auto"/>
              <w:bottom w:val="single" w:sz="4" w:space="0" w:color="auto"/>
              <w:right w:val="single" w:sz="4" w:space="0" w:color="auto"/>
            </w:tcBorders>
            <w:shd w:val="clear" w:color="auto" w:fill="008938"/>
            <w:hideMark/>
          </w:tcPr>
          <w:p w14:paraId="0A6125FC" w14:textId="77777777" w:rsidR="008B64FA" w:rsidRPr="00C7021B" w:rsidRDefault="008B64FA" w:rsidP="00C7021B">
            <w:pPr>
              <w:spacing w:before="450" w:after="450"/>
              <w:rPr>
                <w:rFonts w:eastAsia="Calibri" w:cs="Arial"/>
                <w:b/>
                <w:bCs/>
                <w:color w:val="FFFFFF"/>
              </w:rPr>
            </w:pPr>
            <w:r w:rsidRPr="00C7021B">
              <w:rPr>
                <w:rFonts w:eastAsia="Calibri" w:cs="Arial"/>
                <w:b/>
                <w:bCs/>
                <w:color w:val="FFFFFF"/>
              </w:rPr>
              <w:t>MMO rate</w:t>
            </w:r>
          </w:p>
        </w:tc>
        <w:tc>
          <w:tcPr>
            <w:tcW w:w="1515" w:type="pct"/>
            <w:tcBorders>
              <w:top w:val="single" w:sz="4" w:space="0" w:color="auto"/>
              <w:left w:val="single" w:sz="4" w:space="0" w:color="auto"/>
              <w:bottom w:val="single" w:sz="4" w:space="0" w:color="auto"/>
              <w:right w:val="single" w:sz="4" w:space="0" w:color="auto"/>
            </w:tcBorders>
            <w:shd w:val="clear" w:color="auto" w:fill="008938"/>
            <w:hideMark/>
          </w:tcPr>
          <w:p w14:paraId="58A7492E" w14:textId="77777777" w:rsidR="008B64FA" w:rsidRPr="00C7021B" w:rsidRDefault="008B64FA" w:rsidP="00C7021B">
            <w:pPr>
              <w:spacing w:before="450" w:after="450"/>
              <w:rPr>
                <w:rFonts w:eastAsia="Calibri" w:cs="Arial"/>
                <w:b/>
                <w:bCs/>
                <w:color w:val="FFFFFF"/>
              </w:rPr>
            </w:pPr>
            <w:r w:rsidRPr="00C7021B">
              <w:rPr>
                <w:rFonts w:eastAsia="Calibri" w:cs="Arial"/>
                <w:b/>
                <w:bCs/>
                <w:color w:val="FFFFFF"/>
              </w:rPr>
              <w:t>Maximum fee</w:t>
            </w:r>
          </w:p>
        </w:tc>
      </w:tr>
      <w:tr w:rsidR="002621D5" w14:paraId="3539628A" w14:textId="77777777" w:rsidTr="00C7021B">
        <w:trPr>
          <w:trHeight w:hRule="exact" w:val="1563"/>
        </w:trPr>
        <w:tc>
          <w:tcPr>
            <w:tcW w:w="1083" w:type="pct"/>
            <w:tcBorders>
              <w:top w:val="single" w:sz="4" w:space="0" w:color="auto"/>
            </w:tcBorders>
            <w:shd w:val="clear" w:color="auto" w:fill="CBE9D3"/>
            <w:hideMark/>
          </w:tcPr>
          <w:p w14:paraId="4D5317E1" w14:textId="5AC09055" w:rsidR="008B64FA" w:rsidRPr="00C7021B" w:rsidRDefault="008B64FA" w:rsidP="00C7021B">
            <w:pPr>
              <w:spacing w:before="450" w:after="450"/>
              <w:rPr>
                <w:rFonts w:eastAsia="Calibri" w:cs="Arial"/>
                <w:color w:val="0B0C0C"/>
              </w:rPr>
            </w:pPr>
            <w:r w:rsidRPr="00C7021B">
              <w:rPr>
                <w:rFonts w:eastAsia="Calibri" w:cs="Arial"/>
                <w:color w:val="0B0C0C"/>
              </w:rPr>
              <w:t xml:space="preserve">Current </w:t>
            </w:r>
            <w:r w:rsidR="007D3AC5">
              <w:rPr>
                <w:rFonts w:eastAsia="Calibri" w:cs="Arial"/>
                <w:color w:val="0B0C0C"/>
              </w:rPr>
              <w:t>d</w:t>
            </w:r>
            <w:r w:rsidRPr="00C7021B">
              <w:rPr>
                <w:rFonts w:eastAsia="Calibri" w:cs="Arial"/>
                <w:color w:val="0B0C0C"/>
              </w:rPr>
              <w:t>isposal levy</w:t>
            </w:r>
          </w:p>
        </w:tc>
        <w:tc>
          <w:tcPr>
            <w:tcW w:w="2402" w:type="pct"/>
            <w:tcBorders>
              <w:top w:val="single" w:sz="4" w:space="0" w:color="auto"/>
            </w:tcBorders>
            <w:shd w:val="clear" w:color="auto" w:fill="FFFFFF"/>
            <w:hideMark/>
          </w:tcPr>
          <w:p w14:paraId="6C89AE9F" w14:textId="77777777" w:rsidR="008B64FA" w:rsidRPr="00C7021B" w:rsidRDefault="008B64FA" w:rsidP="00C7021B">
            <w:pPr>
              <w:spacing w:before="450" w:after="450"/>
              <w:rPr>
                <w:rFonts w:eastAsia="Calibri" w:cs="Arial"/>
                <w:color w:val="0B0C0C"/>
              </w:rPr>
            </w:pPr>
            <w:r w:rsidRPr="00C7021B">
              <w:rPr>
                <w:rFonts w:eastAsia="Calibri" w:cs="Arial"/>
                <w:color w:val="0B0C0C"/>
              </w:rPr>
              <w:t>Maximum tonnage of disposed material x £0.01 per tonne</w:t>
            </w:r>
          </w:p>
        </w:tc>
        <w:tc>
          <w:tcPr>
            <w:tcW w:w="1515" w:type="pct"/>
            <w:tcBorders>
              <w:top w:val="single" w:sz="4" w:space="0" w:color="auto"/>
            </w:tcBorders>
            <w:shd w:val="clear" w:color="auto" w:fill="FFFFFF"/>
            <w:hideMark/>
          </w:tcPr>
          <w:p w14:paraId="150FB7AC" w14:textId="77777777" w:rsidR="008B64FA" w:rsidRPr="00C7021B" w:rsidRDefault="008B64FA" w:rsidP="00C7021B">
            <w:pPr>
              <w:spacing w:before="450" w:after="450"/>
              <w:rPr>
                <w:rFonts w:eastAsia="Calibri" w:cs="Arial"/>
                <w:color w:val="0B0C0C"/>
              </w:rPr>
            </w:pPr>
            <w:r w:rsidRPr="00C7021B">
              <w:rPr>
                <w:rFonts w:eastAsia="Calibri" w:cs="Arial"/>
                <w:color w:val="0B0C0C"/>
              </w:rPr>
              <w:t>£15,000 per annum</w:t>
            </w:r>
          </w:p>
        </w:tc>
      </w:tr>
      <w:tr w:rsidR="002621D5" w14:paraId="3BB3FDD3" w14:textId="77777777" w:rsidTr="00C7021B">
        <w:trPr>
          <w:trHeight w:hRule="exact" w:val="1563"/>
        </w:trPr>
        <w:tc>
          <w:tcPr>
            <w:tcW w:w="1083" w:type="pct"/>
            <w:shd w:val="clear" w:color="auto" w:fill="CBE9D3"/>
          </w:tcPr>
          <w:p w14:paraId="7B3B54A7" w14:textId="61EDDE32" w:rsidR="008B64FA" w:rsidRPr="00C7021B" w:rsidRDefault="008B64FA" w:rsidP="00C7021B">
            <w:pPr>
              <w:spacing w:before="450" w:after="450"/>
              <w:rPr>
                <w:rFonts w:eastAsia="Calibri" w:cs="Arial"/>
                <w:color w:val="0B0C0C"/>
              </w:rPr>
            </w:pPr>
            <w:r w:rsidRPr="00C7021B">
              <w:rPr>
                <w:rFonts w:eastAsia="Calibri" w:cs="Arial"/>
                <w:color w:val="0B0C0C"/>
              </w:rPr>
              <w:t xml:space="preserve">Proposed </w:t>
            </w:r>
            <w:r w:rsidR="007D3AC5">
              <w:rPr>
                <w:rFonts w:eastAsia="Calibri" w:cs="Arial"/>
                <w:color w:val="0B0C0C"/>
              </w:rPr>
              <w:t>d</w:t>
            </w:r>
            <w:r w:rsidRPr="00C7021B">
              <w:rPr>
                <w:rFonts w:eastAsia="Calibri" w:cs="Arial"/>
                <w:color w:val="0B0C0C"/>
              </w:rPr>
              <w:t xml:space="preserve">isposal </w:t>
            </w:r>
            <w:r w:rsidR="007D3AC5">
              <w:rPr>
                <w:rFonts w:eastAsia="Calibri" w:cs="Arial"/>
                <w:color w:val="0B0C0C"/>
              </w:rPr>
              <w:t>l</w:t>
            </w:r>
            <w:r w:rsidRPr="00C7021B">
              <w:rPr>
                <w:rFonts w:eastAsia="Calibri" w:cs="Arial"/>
                <w:color w:val="0B0C0C"/>
              </w:rPr>
              <w:t>evy</w:t>
            </w:r>
          </w:p>
        </w:tc>
        <w:tc>
          <w:tcPr>
            <w:tcW w:w="2402" w:type="pct"/>
            <w:shd w:val="clear" w:color="auto" w:fill="FFFFFF"/>
          </w:tcPr>
          <w:p w14:paraId="21333EC2" w14:textId="77777777" w:rsidR="008B64FA" w:rsidRPr="00C7021B" w:rsidRDefault="008B64FA" w:rsidP="00C7021B">
            <w:pPr>
              <w:spacing w:before="450" w:after="450"/>
              <w:rPr>
                <w:rFonts w:eastAsia="Calibri" w:cs="Arial"/>
                <w:color w:val="0B0C0C"/>
              </w:rPr>
            </w:pPr>
            <w:r w:rsidRPr="00C7021B">
              <w:rPr>
                <w:rFonts w:eastAsia="Calibri" w:cs="Arial"/>
                <w:color w:val="0B0C0C"/>
              </w:rPr>
              <w:t>Maximum tonnage of disposed material x £0.03 per tonne</w:t>
            </w:r>
          </w:p>
        </w:tc>
        <w:tc>
          <w:tcPr>
            <w:tcW w:w="1515" w:type="pct"/>
            <w:shd w:val="clear" w:color="auto" w:fill="FFFFFF"/>
          </w:tcPr>
          <w:p w14:paraId="48C9DA01" w14:textId="77777777" w:rsidR="008B64FA" w:rsidRPr="00C7021B" w:rsidRDefault="008B64FA" w:rsidP="00C7021B">
            <w:pPr>
              <w:spacing w:before="450" w:after="450"/>
              <w:rPr>
                <w:rFonts w:eastAsia="Calibri" w:cs="Arial"/>
                <w:color w:val="0B0C0C"/>
              </w:rPr>
            </w:pPr>
            <w:r w:rsidRPr="00C7021B">
              <w:rPr>
                <w:rFonts w:eastAsia="Calibri" w:cs="Arial"/>
                <w:color w:val="0B0C0C"/>
              </w:rPr>
              <w:t>None</w:t>
            </w:r>
          </w:p>
        </w:tc>
      </w:tr>
    </w:tbl>
    <w:p w14:paraId="2A022DF8" w14:textId="77777777" w:rsidR="008B64FA" w:rsidRDefault="00F05A14" w:rsidP="000079B7">
      <w:pPr>
        <w:spacing w:before="0" w:after="0" w:line="240" w:lineRule="auto"/>
        <w:jc w:val="both"/>
        <w:rPr>
          <w:rFonts w:cs="Arial"/>
          <w:i/>
          <w:iCs/>
        </w:rPr>
      </w:pPr>
      <w:r w:rsidRPr="00F05A14">
        <w:rPr>
          <w:rFonts w:cs="Arial"/>
          <w:i/>
          <w:iCs/>
        </w:rPr>
        <w:t>Table 8</w:t>
      </w:r>
    </w:p>
    <w:p w14:paraId="11440D18" w14:textId="77777777" w:rsidR="005D6BD7" w:rsidRDefault="005D6BD7" w:rsidP="000079B7">
      <w:pPr>
        <w:spacing w:before="0" w:after="0" w:line="240" w:lineRule="auto"/>
        <w:jc w:val="both"/>
        <w:rPr>
          <w:rFonts w:cs="Arial"/>
          <w:i/>
          <w:iCs/>
        </w:rPr>
      </w:pPr>
    </w:p>
    <w:p w14:paraId="695B5DC3" w14:textId="77777777" w:rsidR="005D6BD7" w:rsidRDefault="005D6BD7" w:rsidP="000079B7">
      <w:pPr>
        <w:spacing w:before="0" w:after="0" w:line="240" w:lineRule="auto"/>
        <w:jc w:val="both"/>
        <w:rPr>
          <w:rFonts w:cs="Arial"/>
          <w:i/>
          <w:iCs/>
        </w:rPr>
      </w:pPr>
    </w:p>
    <w:p w14:paraId="4F6CF012" w14:textId="77777777" w:rsidR="005D6BD7" w:rsidRDefault="005D6BD7" w:rsidP="000079B7">
      <w:pPr>
        <w:spacing w:before="0" w:after="0" w:line="240" w:lineRule="auto"/>
        <w:jc w:val="both"/>
        <w:rPr>
          <w:rFonts w:cs="Arial"/>
          <w:i/>
          <w:iCs/>
        </w:rPr>
      </w:pPr>
    </w:p>
    <w:p w14:paraId="4B94A2E1" w14:textId="77777777" w:rsidR="005D6BD7" w:rsidRDefault="005D6BD7" w:rsidP="000079B7">
      <w:pPr>
        <w:spacing w:before="0" w:after="0" w:line="240" w:lineRule="auto"/>
        <w:jc w:val="both"/>
        <w:rPr>
          <w:rFonts w:cs="Arial"/>
          <w:i/>
          <w:iCs/>
        </w:rPr>
      </w:pPr>
    </w:p>
    <w:p w14:paraId="6FD8C415" w14:textId="77777777" w:rsidR="005D6BD7" w:rsidRPr="00F05A14" w:rsidRDefault="005D6BD7" w:rsidP="000079B7">
      <w:pPr>
        <w:spacing w:before="0" w:after="0" w:line="240" w:lineRule="auto"/>
        <w:jc w:val="both"/>
        <w:rPr>
          <w:rFonts w:cs="Arial"/>
          <w:i/>
          <w:iCs/>
        </w:rPr>
      </w:pPr>
    </w:p>
    <w:p w14:paraId="60A5FC1C" w14:textId="3E97AFBC" w:rsidR="005C5261" w:rsidRDefault="005C5261" w:rsidP="3BC9B8D1">
      <w:pPr>
        <w:pBdr>
          <w:top w:val="single" w:sz="4" w:space="1" w:color="auto"/>
          <w:left w:val="single" w:sz="4" w:space="4" w:color="auto"/>
          <w:bottom w:val="single" w:sz="4" w:space="1" w:color="auto"/>
          <w:right w:val="single" w:sz="4" w:space="4" w:color="auto"/>
        </w:pBdr>
        <w:jc w:val="both"/>
        <w:rPr>
          <w:b/>
          <w:bCs/>
          <w:lang w:val="en-US"/>
        </w:rPr>
      </w:pPr>
      <w:r w:rsidRPr="3BC9B8D1">
        <w:rPr>
          <w:b/>
          <w:bCs/>
          <w:lang w:val="en-US"/>
        </w:rPr>
        <w:lastRenderedPageBreak/>
        <w:t>1</w:t>
      </w:r>
      <w:r w:rsidR="00CE57A8">
        <w:rPr>
          <w:b/>
          <w:bCs/>
          <w:lang w:val="en-US"/>
        </w:rPr>
        <w:t>7</w:t>
      </w:r>
      <w:r w:rsidR="00F762DB">
        <w:rPr>
          <w:b/>
          <w:bCs/>
          <w:lang w:val="en-US"/>
        </w:rPr>
        <w:t>a</w:t>
      </w:r>
      <w:r w:rsidRPr="3BC9B8D1">
        <w:rPr>
          <w:b/>
          <w:bCs/>
          <w:lang w:val="en-US"/>
        </w:rPr>
        <w:t xml:space="preserve">. Do you agree with the </w:t>
      </w:r>
      <w:r w:rsidRPr="3BC9B8D1">
        <w:rPr>
          <w:b/>
          <w:bCs/>
        </w:rPr>
        <w:t>proposed amendment</w:t>
      </w:r>
      <w:r w:rsidR="00F762DB" w:rsidRPr="00F762DB">
        <w:t xml:space="preserve"> </w:t>
      </w:r>
      <w:r w:rsidR="00F762DB" w:rsidRPr="00F762DB">
        <w:rPr>
          <w:b/>
          <w:bCs/>
        </w:rPr>
        <w:t>to increase the disposal charge from 1p a tonne to 3p a tonne</w:t>
      </w:r>
      <w:r w:rsidRPr="3BC9B8D1">
        <w:rPr>
          <w:b/>
          <w:bCs/>
          <w:lang w:val="en-US"/>
        </w:rPr>
        <w:t xml:space="preserve">? </w:t>
      </w:r>
    </w:p>
    <w:p w14:paraId="756585CF" w14:textId="63827464" w:rsidR="005C5261" w:rsidRDefault="005C5261" w:rsidP="002077E0">
      <w:pPr>
        <w:pBdr>
          <w:top w:val="single" w:sz="4" w:space="1" w:color="auto"/>
          <w:left w:val="single" w:sz="4" w:space="4" w:color="auto"/>
          <w:bottom w:val="single" w:sz="4" w:space="1" w:color="auto"/>
          <w:right w:val="single" w:sz="4" w:space="4" w:color="auto"/>
        </w:pBdr>
        <w:jc w:val="both"/>
        <w:rPr>
          <w:b/>
          <w:lang w:val="en-US"/>
        </w:rPr>
      </w:pPr>
      <w:bookmarkStart w:id="65" w:name="_Hlk187413351"/>
      <w:r w:rsidRPr="003A6F4F">
        <w:rPr>
          <w:b/>
          <w:lang w:val="en-US"/>
        </w:rPr>
        <w:t>Yes</w:t>
      </w:r>
      <w:r w:rsidR="00E43B10">
        <w:rPr>
          <w:b/>
          <w:lang w:val="en-US"/>
        </w:rPr>
        <w:t xml:space="preserve"> or </w:t>
      </w:r>
      <w:r w:rsidRPr="003A6F4F">
        <w:rPr>
          <w:b/>
          <w:lang w:val="en-US"/>
        </w:rPr>
        <w:t>No</w:t>
      </w:r>
      <w:r w:rsidR="00E43B10">
        <w:rPr>
          <w:b/>
          <w:lang w:val="en-US"/>
        </w:rPr>
        <w:t xml:space="preserve"> or </w:t>
      </w:r>
      <w:r w:rsidRPr="003A6F4F">
        <w:rPr>
          <w:b/>
          <w:lang w:val="en-US"/>
        </w:rPr>
        <w:t xml:space="preserve">Neither Agree </w:t>
      </w:r>
      <w:r>
        <w:rPr>
          <w:b/>
          <w:lang w:val="en-US"/>
        </w:rPr>
        <w:t>n</w:t>
      </w:r>
      <w:r w:rsidRPr="003A6F4F">
        <w:rPr>
          <w:b/>
          <w:lang w:val="en-US"/>
        </w:rPr>
        <w:t xml:space="preserve">or Disagree </w:t>
      </w:r>
    </w:p>
    <w:p w14:paraId="4518A60E" w14:textId="4B116FC1" w:rsidR="00F762DB" w:rsidRDefault="00F762DB" w:rsidP="002077E0">
      <w:pPr>
        <w:pBdr>
          <w:top w:val="single" w:sz="4" w:space="1" w:color="auto"/>
          <w:left w:val="single" w:sz="4" w:space="4" w:color="auto"/>
          <w:bottom w:val="single" w:sz="4" w:space="1" w:color="auto"/>
          <w:right w:val="single" w:sz="4" w:space="4" w:color="auto"/>
        </w:pBdr>
        <w:jc w:val="both"/>
        <w:rPr>
          <w:rFonts w:cs="Arial"/>
          <w:b/>
          <w:bCs/>
        </w:rPr>
      </w:pPr>
      <w:r>
        <w:rPr>
          <w:b/>
          <w:lang w:val="en-US"/>
        </w:rPr>
        <w:t>1</w:t>
      </w:r>
      <w:r w:rsidR="00CE57A8">
        <w:rPr>
          <w:b/>
          <w:lang w:val="en-US"/>
        </w:rPr>
        <w:t>7</w:t>
      </w:r>
      <w:r>
        <w:rPr>
          <w:b/>
          <w:lang w:val="en-US"/>
        </w:rPr>
        <w:t xml:space="preserve">b. </w:t>
      </w:r>
      <w:r w:rsidRPr="3BC9B8D1">
        <w:rPr>
          <w:b/>
          <w:bCs/>
          <w:lang w:val="en-US"/>
        </w:rPr>
        <w:t xml:space="preserve">Do you agree with the </w:t>
      </w:r>
      <w:r w:rsidRPr="3BC9B8D1">
        <w:rPr>
          <w:b/>
          <w:bCs/>
        </w:rPr>
        <w:t>proposed amendment</w:t>
      </w:r>
      <w:r w:rsidRPr="00F762DB">
        <w:t xml:space="preserve"> </w:t>
      </w:r>
      <w:r w:rsidRPr="00F762DB">
        <w:rPr>
          <w:b/>
          <w:bCs/>
        </w:rPr>
        <w:t xml:space="preserve">to </w:t>
      </w:r>
      <w:r w:rsidRPr="00A037B7">
        <w:rPr>
          <w:rFonts w:cs="Arial"/>
          <w:b/>
          <w:bCs/>
        </w:rPr>
        <w:t>remove the annual tonnage maximum fee of £15,000</w:t>
      </w:r>
      <w:r>
        <w:rPr>
          <w:rFonts w:cs="Arial"/>
          <w:b/>
          <w:bCs/>
        </w:rPr>
        <w:t>?</w:t>
      </w:r>
    </w:p>
    <w:p w14:paraId="49FDFC25" w14:textId="657C11FB" w:rsidR="00F762DB" w:rsidRPr="00A037B7" w:rsidRDefault="00F762DB" w:rsidP="002077E0">
      <w:pPr>
        <w:pBdr>
          <w:top w:val="single" w:sz="4" w:space="1" w:color="auto"/>
          <w:left w:val="single" w:sz="4" w:space="4" w:color="auto"/>
          <w:bottom w:val="single" w:sz="4" w:space="1" w:color="auto"/>
          <w:right w:val="single" w:sz="4" w:space="4" w:color="auto"/>
        </w:pBdr>
        <w:jc w:val="both"/>
        <w:rPr>
          <w:b/>
          <w:lang w:val="en-US"/>
        </w:rPr>
      </w:pPr>
      <w:r w:rsidRPr="003A6F4F">
        <w:rPr>
          <w:b/>
          <w:lang w:val="en-US"/>
        </w:rPr>
        <w:t>Yes</w:t>
      </w:r>
      <w:r>
        <w:rPr>
          <w:b/>
          <w:lang w:val="en-US"/>
        </w:rPr>
        <w:t xml:space="preserve"> or </w:t>
      </w:r>
      <w:r w:rsidRPr="003A6F4F">
        <w:rPr>
          <w:b/>
          <w:lang w:val="en-US"/>
        </w:rPr>
        <w:t>No</w:t>
      </w:r>
      <w:r>
        <w:rPr>
          <w:b/>
          <w:lang w:val="en-US"/>
        </w:rPr>
        <w:t xml:space="preserve"> or </w:t>
      </w:r>
      <w:r w:rsidRPr="003A6F4F">
        <w:rPr>
          <w:b/>
          <w:lang w:val="en-US"/>
        </w:rPr>
        <w:t xml:space="preserve">Neither Agree </w:t>
      </w:r>
      <w:r>
        <w:rPr>
          <w:b/>
          <w:lang w:val="en-US"/>
        </w:rPr>
        <w:t>n</w:t>
      </w:r>
      <w:r w:rsidRPr="003A6F4F">
        <w:rPr>
          <w:b/>
          <w:lang w:val="en-US"/>
        </w:rPr>
        <w:t xml:space="preserve">or Disagree </w:t>
      </w:r>
    </w:p>
    <w:bookmarkEnd w:id="65"/>
    <w:p w14:paraId="44EEFD60" w14:textId="411463E4" w:rsidR="000079B7" w:rsidRPr="00797031" w:rsidRDefault="005C5261" w:rsidP="00657393">
      <w:pPr>
        <w:pBdr>
          <w:top w:val="single" w:sz="4" w:space="1" w:color="auto"/>
          <w:left w:val="single" w:sz="4" w:space="4" w:color="auto"/>
          <w:bottom w:val="single" w:sz="4" w:space="1" w:color="auto"/>
          <w:right w:val="single" w:sz="4" w:space="4" w:color="auto"/>
        </w:pBdr>
        <w:spacing w:after="0" w:line="240" w:lineRule="auto"/>
        <w:rPr>
          <w:b/>
          <w:lang w:val="en-US"/>
        </w:rPr>
      </w:pPr>
      <w:r w:rsidRPr="003A6F4F">
        <w:rPr>
          <w:b/>
          <w:lang w:val="en-US"/>
        </w:rPr>
        <w:t>Do you have any further comments you wish to make on this proposal</w:t>
      </w:r>
      <w:r w:rsidR="003E7191">
        <w:rPr>
          <w:b/>
          <w:lang w:val="en-US"/>
        </w:rPr>
        <w:t xml:space="preserve"> </w:t>
      </w:r>
      <w:r w:rsidR="003E7191">
        <w:rPr>
          <w:rFonts w:cs="Arial"/>
          <w:b/>
        </w:rPr>
        <w:t xml:space="preserve">(including any evidence of </w:t>
      </w:r>
      <w:r w:rsidR="002F25B7">
        <w:rPr>
          <w:rFonts w:cs="Arial"/>
          <w:b/>
        </w:rPr>
        <w:t xml:space="preserve">potential </w:t>
      </w:r>
      <w:r w:rsidR="003E7191">
        <w:rPr>
          <w:rFonts w:cs="Arial"/>
          <w:b/>
        </w:rPr>
        <w:t>cost impacts)</w:t>
      </w:r>
      <w:r w:rsidRPr="003A6F4F">
        <w:rPr>
          <w:b/>
          <w:lang w:val="en-US"/>
        </w:rPr>
        <w:t>?</w:t>
      </w:r>
    </w:p>
    <w:p w14:paraId="75CD3E7B" w14:textId="77777777" w:rsidR="000079B7" w:rsidRPr="009A0FAC" w:rsidRDefault="000079B7" w:rsidP="000079B7">
      <w:pPr>
        <w:pStyle w:val="Heading3"/>
        <w:rPr>
          <w:color w:val="008938"/>
        </w:rPr>
      </w:pPr>
      <w:r w:rsidRPr="009A0FAC">
        <w:rPr>
          <w:rFonts w:eastAsia="Arial"/>
          <w:color w:val="008938"/>
        </w:rPr>
        <w:t xml:space="preserve">Marine </w:t>
      </w:r>
      <w:r>
        <w:rPr>
          <w:rFonts w:eastAsia="Arial"/>
          <w:color w:val="008938"/>
        </w:rPr>
        <w:t>l</w:t>
      </w:r>
      <w:r w:rsidRPr="009A0FAC">
        <w:rPr>
          <w:rFonts w:eastAsia="Arial"/>
          <w:color w:val="008938"/>
        </w:rPr>
        <w:t xml:space="preserve">icensing </w:t>
      </w:r>
      <w:r>
        <w:rPr>
          <w:rFonts w:eastAsia="Arial"/>
          <w:color w:val="008938"/>
        </w:rPr>
        <w:t>v</w:t>
      </w:r>
      <w:r w:rsidRPr="009A0FAC">
        <w:rPr>
          <w:rFonts w:eastAsia="Arial"/>
          <w:color w:val="008938"/>
        </w:rPr>
        <w:t>ariations</w:t>
      </w:r>
      <w:r>
        <w:rPr>
          <w:rFonts w:eastAsia="Arial"/>
          <w:color w:val="008938"/>
        </w:rPr>
        <w:t>, post-consent monitoring, and inspections</w:t>
      </w:r>
      <w:r w:rsidRPr="009A0FAC">
        <w:rPr>
          <w:rFonts w:eastAsia="Arial"/>
          <w:color w:val="008938"/>
        </w:rPr>
        <w:t xml:space="preserve"> </w:t>
      </w:r>
    </w:p>
    <w:p w14:paraId="19FDD2A9" w14:textId="73509ABE" w:rsidR="000079B7" w:rsidRPr="00756125" w:rsidRDefault="00A128AD" w:rsidP="00054E4A">
      <w:pPr>
        <w:spacing w:after="0"/>
        <w:jc w:val="both"/>
        <w:rPr>
          <w:rFonts w:cs="Arial"/>
        </w:rPr>
      </w:pPr>
      <w:r>
        <w:rPr>
          <w:rFonts w:cs="Arial"/>
        </w:rPr>
        <w:t xml:space="preserve">The </w:t>
      </w:r>
      <w:r w:rsidR="000079B7" w:rsidRPr="2B3A089D">
        <w:rPr>
          <w:rFonts w:cs="Arial"/>
        </w:rPr>
        <w:t xml:space="preserve">MMO’s post-consent marine licensing casework is increasing, especially in the offshore wind space where some licences can be subject to multiple variations over the lifespan of the project. This will increase as </w:t>
      </w:r>
      <w:r w:rsidR="1FC69A44" w:rsidRPr="2B3A089D">
        <w:rPr>
          <w:rFonts w:cs="Arial"/>
        </w:rPr>
        <w:t xml:space="preserve">the </w:t>
      </w:r>
      <w:r w:rsidR="00A70435">
        <w:rPr>
          <w:rFonts w:cs="Arial"/>
        </w:rPr>
        <w:t>g</w:t>
      </w:r>
      <w:r w:rsidR="000079B7" w:rsidRPr="2B3A089D">
        <w:rPr>
          <w:rFonts w:cs="Arial"/>
        </w:rPr>
        <w:t xml:space="preserve">overnment meets its ambition </w:t>
      </w:r>
      <w:r w:rsidR="489E1B32" w:rsidRPr="2B3A089D">
        <w:rPr>
          <w:rFonts w:cs="Arial"/>
        </w:rPr>
        <w:t>to be a</w:t>
      </w:r>
      <w:r w:rsidR="3B8418C4" w:rsidRPr="2B3A089D">
        <w:rPr>
          <w:rFonts w:cs="Arial"/>
        </w:rPr>
        <w:t xml:space="preserve"> clean energy superpower</w:t>
      </w:r>
      <w:r w:rsidR="000079B7" w:rsidRPr="2B3A089D">
        <w:rPr>
          <w:rFonts w:cs="Arial"/>
        </w:rPr>
        <w:t>.</w:t>
      </w:r>
    </w:p>
    <w:p w14:paraId="6B030616" w14:textId="6FDA9BAB" w:rsidR="000079B7" w:rsidRPr="00756125" w:rsidRDefault="000079B7" w:rsidP="00054E4A">
      <w:pPr>
        <w:spacing w:after="0"/>
        <w:jc w:val="both"/>
        <w:rPr>
          <w:rFonts w:cs="Arial"/>
        </w:rPr>
      </w:pPr>
      <w:r w:rsidRPr="00756125">
        <w:rPr>
          <w:rFonts w:cs="Arial"/>
        </w:rPr>
        <w:t>However, current MMO post-consent fees are out of date</w:t>
      </w:r>
      <w:r>
        <w:rPr>
          <w:rFonts w:cs="Arial"/>
        </w:rPr>
        <w:t xml:space="preserve"> </w:t>
      </w:r>
      <w:r w:rsidRPr="00756125">
        <w:rPr>
          <w:rFonts w:cs="Arial"/>
        </w:rPr>
        <w:t>and insufficient at £94</w:t>
      </w:r>
      <w:r w:rsidR="00961164">
        <w:rPr>
          <w:rFonts w:cs="Arial"/>
        </w:rPr>
        <w:t xml:space="preserve"> per hour</w:t>
      </w:r>
      <w:r w:rsidRPr="00756125">
        <w:rPr>
          <w:rFonts w:cs="Arial"/>
        </w:rPr>
        <w:t xml:space="preserve">. This contrasts with </w:t>
      </w:r>
      <w:r>
        <w:rPr>
          <w:rFonts w:cs="Arial"/>
        </w:rPr>
        <w:t xml:space="preserve">the current </w:t>
      </w:r>
      <w:r w:rsidRPr="00756125">
        <w:rPr>
          <w:rFonts w:cs="Arial"/>
        </w:rPr>
        <w:t xml:space="preserve">licence application </w:t>
      </w:r>
      <w:r>
        <w:rPr>
          <w:rFonts w:cs="Arial"/>
        </w:rPr>
        <w:t xml:space="preserve">fee hourly </w:t>
      </w:r>
      <w:r w:rsidRPr="00756125">
        <w:rPr>
          <w:rFonts w:cs="Arial"/>
        </w:rPr>
        <w:t>rate</w:t>
      </w:r>
      <w:r>
        <w:rPr>
          <w:rFonts w:cs="Arial"/>
        </w:rPr>
        <w:t xml:space="preserve"> of £122</w:t>
      </w:r>
      <w:r w:rsidRPr="00756125">
        <w:rPr>
          <w:rFonts w:cs="Arial"/>
        </w:rPr>
        <w:t xml:space="preserve">. </w:t>
      </w:r>
      <w:r>
        <w:rPr>
          <w:rFonts w:cs="Arial"/>
        </w:rPr>
        <w:t>Fees for post-consent marine licensing services have not been adjusted since 2014.</w:t>
      </w:r>
    </w:p>
    <w:p w14:paraId="42FAA7F8" w14:textId="3A6D11E4" w:rsidR="00AC5325" w:rsidRPr="00756125" w:rsidRDefault="000079B7" w:rsidP="00054E4A">
      <w:pPr>
        <w:spacing w:after="0"/>
        <w:jc w:val="both"/>
        <w:rPr>
          <w:rFonts w:cs="Arial"/>
        </w:rPr>
      </w:pPr>
      <w:r w:rsidRPr="00756125">
        <w:rPr>
          <w:rFonts w:cs="Arial"/>
        </w:rPr>
        <w:t xml:space="preserve">Licence variations make up ~40% of </w:t>
      </w:r>
      <w:r>
        <w:rPr>
          <w:rFonts w:cs="Arial"/>
        </w:rPr>
        <w:t xml:space="preserve">the </w:t>
      </w:r>
      <w:r w:rsidRPr="00756125">
        <w:rPr>
          <w:rFonts w:cs="Arial"/>
        </w:rPr>
        <w:t xml:space="preserve">marine </w:t>
      </w:r>
      <w:r>
        <w:rPr>
          <w:rFonts w:cs="Arial"/>
        </w:rPr>
        <w:t>licence determinations made</w:t>
      </w:r>
      <w:r w:rsidRPr="00756125">
        <w:rPr>
          <w:rFonts w:cs="Arial"/>
        </w:rPr>
        <w:t xml:space="preserve"> by the MMO which require case </w:t>
      </w:r>
      <w:r>
        <w:rPr>
          <w:rFonts w:cs="Arial"/>
        </w:rPr>
        <w:t>work</w:t>
      </w:r>
      <w:r w:rsidRPr="00756125">
        <w:rPr>
          <w:rFonts w:cs="Arial"/>
        </w:rPr>
        <w:t xml:space="preserve"> time. As such, the associated </w:t>
      </w:r>
      <w:r>
        <w:rPr>
          <w:rFonts w:cs="Arial"/>
        </w:rPr>
        <w:t>fees</w:t>
      </w:r>
      <w:r w:rsidRPr="00756125">
        <w:rPr>
          <w:rFonts w:cs="Arial"/>
        </w:rPr>
        <w:t xml:space="preserve"> need to be uplifted to ensure sufficient MMO resource and reduce the risk of processing delays.</w:t>
      </w:r>
    </w:p>
    <w:p w14:paraId="180181BF" w14:textId="77777777" w:rsidR="000079B7" w:rsidRPr="008B5657" w:rsidRDefault="000079B7" w:rsidP="00054E4A">
      <w:pPr>
        <w:spacing w:after="0"/>
        <w:jc w:val="both"/>
        <w:rPr>
          <w:lang w:val="en-US"/>
        </w:rPr>
      </w:pPr>
      <w:r w:rsidRPr="008B5657">
        <w:rPr>
          <w:b/>
          <w:lang w:val="en-US"/>
        </w:rPr>
        <w:t xml:space="preserve">Proposed amendment: </w:t>
      </w:r>
    </w:p>
    <w:p w14:paraId="06B7023C" w14:textId="18E58B8C" w:rsidR="000079B7" w:rsidRDefault="000079B7" w:rsidP="00054E4A">
      <w:pPr>
        <w:spacing w:after="0"/>
        <w:jc w:val="both"/>
        <w:rPr>
          <w:rFonts w:cs="Arial"/>
        </w:rPr>
      </w:pPr>
      <w:r w:rsidRPr="5B819DAC">
        <w:rPr>
          <w:rFonts w:cs="Arial"/>
        </w:rPr>
        <w:t>We propose to amend fees for marine licence variations, post-consent monitoring and inspections to be in line with the proposed new hourly rate of £1</w:t>
      </w:r>
      <w:r w:rsidR="18142B3C" w:rsidRPr="5B819DAC">
        <w:rPr>
          <w:rFonts w:cs="Arial"/>
        </w:rPr>
        <w:t>55</w:t>
      </w:r>
      <w:r w:rsidRPr="5B819DAC">
        <w:rPr>
          <w:rFonts w:cs="Arial"/>
        </w:rPr>
        <w:t xml:space="preserve"> per hour in 202</w:t>
      </w:r>
      <w:r w:rsidR="43436B15" w:rsidRPr="5B819DAC">
        <w:rPr>
          <w:rFonts w:cs="Arial"/>
        </w:rPr>
        <w:t>5</w:t>
      </w:r>
      <w:r w:rsidRPr="5B819DAC">
        <w:rPr>
          <w:rFonts w:cs="Arial"/>
        </w:rPr>
        <w:t xml:space="preserve"> with annual increases linked to inflation. </w:t>
      </w:r>
      <w:r w:rsidR="003E4000">
        <w:rPr>
          <w:rFonts w:cs="Arial"/>
        </w:rPr>
        <w:t>Th</w:t>
      </w:r>
      <w:r w:rsidR="0095733C">
        <w:rPr>
          <w:rFonts w:cs="Arial"/>
        </w:rPr>
        <w:t xml:space="preserve">ese amendments will </w:t>
      </w:r>
      <w:r w:rsidR="00552BB3">
        <w:rPr>
          <w:rFonts w:cs="Arial"/>
        </w:rPr>
        <w:t xml:space="preserve">also </w:t>
      </w:r>
      <w:r w:rsidR="00F51FD1">
        <w:rPr>
          <w:rFonts w:cs="Arial"/>
        </w:rPr>
        <w:t>appl</w:t>
      </w:r>
      <w:r w:rsidR="00552BB3">
        <w:rPr>
          <w:rFonts w:cs="Arial"/>
        </w:rPr>
        <w:t>y</w:t>
      </w:r>
      <w:r w:rsidR="00F51FD1">
        <w:rPr>
          <w:rFonts w:cs="Arial"/>
        </w:rPr>
        <w:t xml:space="preserve"> </w:t>
      </w:r>
      <w:r w:rsidR="00552BB3">
        <w:rPr>
          <w:rFonts w:cs="Arial"/>
        </w:rPr>
        <w:t xml:space="preserve">to </w:t>
      </w:r>
      <w:r w:rsidR="00512502">
        <w:rPr>
          <w:rFonts w:cs="Arial"/>
        </w:rPr>
        <w:t xml:space="preserve">such activities for </w:t>
      </w:r>
      <w:r w:rsidR="00843588">
        <w:rPr>
          <w:rFonts w:cs="Arial"/>
        </w:rPr>
        <w:t>deemed marine licen</w:t>
      </w:r>
      <w:r w:rsidR="00D14E79">
        <w:rPr>
          <w:rFonts w:cs="Arial"/>
        </w:rPr>
        <w:t>c</w:t>
      </w:r>
      <w:r w:rsidR="00843588">
        <w:rPr>
          <w:rFonts w:cs="Arial"/>
        </w:rPr>
        <w:t>es</w:t>
      </w:r>
      <w:r w:rsidR="00711D9A">
        <w:rPr>
          <w:rFonts w:cs="Arial"/>
        </w:rPr>
        <w:t xml:space="preserve"> under the NSIP process</w:t>
      </w:r>
      <w:r w:rsidR="000350ED">
        <w:rPr>
          <w:rFonts w:cs="Arial"/>
        </w:rPr>
        <w:t>.</w:t>
      </w:r>
    </w:p>
    <w:p w14:paraId="5D42AEB3" w14:textId="03D8C892" w:rsidR="00AC5325" w:rsidRDefault="000079B7" w:rsidP="00054E4A">
      <w:pPr>
        <w:spacing w:after="0"/>
        <w:jc w:val="both"/>
        <w:rPr>
          <w:rFonts w:cs="Arial"/>
        </w:rPr>
      </w:pPr>
      <w:r w:rsidRPr="034CCB08">
        <w:rPr>
          <w:rFonts w:cs="Arial"/>
        </w:rPr>
        <w:t>We also propose to increase the fee</w:t>
      </w:r>
      <w:r w:rsidR="00CA5581" w:rsidRPr="034CCB08">
        <w:rPr>
          <w:rFonts w:cs="Arial"/>
        </w:rPr>
        <w:t xml:space="preserve"> ceiling</w:t>
      </w:r>
      <w:r w:rsidRPr="034CCB08">
        <w:rPr>
          <w:rFonts w:cs="Arial"/>
        </w:rPr>
        <w:t xml:space="preserve"> for variations. Band V1 (administrative change) licences would be subject to a maximum fee of £200, Band V2 (standard) licences would be</w:t>
      </w:r>
      <w:r>
        <w:t xml:space="preserve"> </w:t>
      </w:r>
      <w:r w:rsidRPr="034CCB08">
        <w:rPr>
          <w:rFonts w:cs="Arial"/>
        </w:rPr>
        <w:t>subject to a maximum of £500 and Band V3 (complex) licences would be uncapped</w:t>
      </w:r>
      <w:r w:rsidR="5E75E357" w:rsidRPr="034CCB08">
        <w:rPr>
          <w:rFonts w:cs="Arial"/>
        </w:rPr>
        <w:t>. P</w:t>
      </w:r>
      <w:r w:rsidR="41E189E8" w:rsidRPr="034CCB08">
        <w:rPr>
          <w:rFonts w:cs="Arial"/>
        </w:rPr>
        <w:t>ost</w:t>
      </w:r>
      <w:r w:rsidR="208DA3EF" w:rsidRPr="034CCB08">
        <w:rPr>
          <w:rFonts w:cs="Arial"/>
        </w:rPr>
        <w:t>-</w:t>
      </w:r>
      <w:r w:rsidR="41E189E8" w:rsidRPr="034CCB08">
        <w:rPr>
          <w:rFonts w:cs="Arial"/>
        </w:rPr>
        <w:t>consent</w:t>
      </w:r>
      <w:r w:rsidR="1CC79E00" w:rsidRPr="034CCB08">
        <w:rPr>
          <w:rFonts w:cs="Arial"/>
        </w:rPr>
        <w:t xml:space="preserve"> </w:t>
      </w:r>
      <w:r w:rsidR="48F5159F" w:rsidRPr="034CCB08">
        <w:rPr>
          <w:rFonts w:cs="Arial"/>
        </w:rPr>
        <w:t>monitoring and inspections</w:t>
      </w:r>
      <w:r w:rsidR="384B16D9" w:rsidRPr="034CCB08">
        <w:rPr>
          <w:rFonts w:cs="Arial"/>
        </w:rPr>
        <w:t xml:space="preserve"> would be subject to a maximum </w:t>
      </w:r>
      <w:r w:rsidR="4904C278" w:rsidRPr="034CCB08">
        <w:rPr>
          <w:rFonts w:cs="Arial"/>
        </w:rPr>
        <w:t xml:space="preserve">fee </w:t>
      </w:r>
      <w:r w:rsidR="384B16D9" w:rsidRPr="034CCB08">
        <w:rPr>
          <w:rFonts w:cs="Arial"/>
        </w:rPr>
        <w:t>of £1,500</w:t>
      </w:r>
      <w:r w:rsidRPr="034CCB08">
        <w:rPr>
          <w:rFonts w:cs="Arial"/>
        </w:rPr>
        <w:t>.</w:t>
      </w:r>
      <w:r w:rsidR="009F65EA">
        <w:rPr>
          <w:rFonts w:cs="Arial"/>
        </w:rPr>
        <w:t xml:space="preserve"> All of these would be at the new hourly rate of £155 per hour.</w:t>
      </w:r>
    </w:p>
    <w:p w14:paraId="6426075C" w14:textId="77777777" w:rsidR="005D6BD7" w:rsidRDefault="005D6BD7" w:rsidP="00054E4A">
      <w:pPr>
        <w:spacing w:after="0"/>
        <w:jc w:val="both"/>
        <w:rPr>
          <w:rFonts w:cs="Arial"/>
        </w:rPr>
      </w:pPr>
    </w:p>
    <w:p w14:paraId="3E842014" w14:textId="77777777" w:rsidR="005D6BD7" w:rsidRDefault="005D6BD7" w:rsidP="000079B7">
      <w:pPr>
        <w:spacing w:after="0" w:line="240" w:lineRule="auto"/>
        <w:jc w:val="both"/>
        <w:rPr>
          <w:rFonts w:cs="Arial"/>
        </w:rPr>
      </w:pPr>
    </w:p>
    <w:p w14:paraId="3575426A" w14:textId="77777777" w:rsidR="005D6BD7" w:rsidRDefault="005D6BD7" w:rsidP="000079B7">
      <w:pPr>
        <w:spacing w:after="0" w:line="240" w:lineRule="auto"/>
        <w:jc w:val="both"/>
        <w:rPr>
          <w:rFonts w:cs="Arial"/>
        </w:rPr>
      </w:pPr>
    </w:p>
    <w:p w14:paraId="12226748" w14:textId="77777777" w:rsidR="005D6BD7" w:rsidRDefault="005D6BD7" w:rsidP="000079B7">
      <w:pPr>
        <w:spacing w:after="0" w:line="240" w:lineRule="auto"/>
        <w:jc w:val="both"/>
        <w:rPr>
          <w:rFonts w:cs="Arial"/>
        </w:rPr>
      </w:pPr>
    </w:p>
    <w:tbl>
      <w:tblPr>
        <w:tblW w:w="5000" w:type="pct"/>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Look w:val="04A0" w:firstRow="1" w:lastRow="0" w:firstColumn="1" w:lastColumn="0" w:noHBand="0" w:noVBand="1"/>
      </w:tblPr>
      <w:tblGrid>
        <w:gridCol w:w="1980"/>
        <w:gridCol w:w="1749"/>
        <w:gridCol w:w="1936"/>
        <w:gridCol w:w="1980"/>
        <w:gridCol w:w="1976"/>
      </w:tblGrid>
      <w:tr w:rsidR="002621D5" w14:paraId="6FA7B312" w14:textId="77777777" w:rsidTr="00D261C8">
        <w:trPr>
          <w:trHeight w:hRule="exact" w:val="1168"/>
        </w:trPr>
        <w:tc>
          <w:tcPr>
            <w:tcW w:w="1029" w:type="pct"/>
            <w:tcBorders>
              <w:top w:val="single" w:sz="4" w:space="0" w:color="auto"/>
              <w:left w:val="single" w:sz="4" w:space="0" w:color="auto"/>
              <w:bottom w:val="single" w:sz="4" w:space="0" w:color="auto"/>
              <w:right w:val="single" w:sz="4" w:space="0" w:color="auto"/>
            </w:tcBorders>
            <w:shd w:val="clear" w:color="auto" w:fill="008938"/>
            <w:hideMark/>
          </w:tcPr>
          <w:p w14:paraId="4306D70E" w14:textId="77777777" w:rsidR="008E7D84" w:rsidRPr="00C7021B" w:rsidRDefault="008E7D84" w:rsidP="00C7021B">
            <w:pPr>
              <w:spacing w:before="450" w:after="450"/>
              <w:rPr>
                <w:rFonts w:eastAsia="Calibri" w:cs="Arial"/>
                <w:b/>
                <w:bCs/>
                <w:color w:val="FFFFFF"/>
              </w:rPr>
            </w:pPr>
            <w:bookmarkStart w:id="66" w:name="_Hlk146784857"/>
            <w:r w:rsidRPr="00C7021B">
              <w:rPr>
                <w:rFonts w:eastAsia="Calibri" w:cs="Arial"/>
                <w:b/>
                <w:bCs/>
                <w:color w:val="FFFFFF"/>
              </w:rPr>
              <w:lastRenderedPageBreak/>
              <w:t>Variation Type</w:t>
            </w:r>
          </w:p>
        </w:tc>
        <w:tc>
          <w:tcPr>
            <w:tcW w:w="909" w:type="pct"/>
            <w:tcBorders>
              <w:top w:val="single" w:sz="4" w:space="0" w:color="auto"/>
              <w:left w:val="single" w:sz="4" w:space="0" w:color="auto"/>
              <w:bottom w:val="single" w:sz="4" w:space="0" w:color="auto"/>
              <w:right w:val="single" w:sz="4" w:space="0" w:color="auto"/>
            </w:tcBorders>
            <w:shd w:val="clear" w:color="auto" w:fill="008938"/>
            <w:hideMark/>
          </w:tcPr>
          <w:p w14:paraId="5FC34D65" w14:textId="60E2C561" w:rsidR="008E7D84" w:rsidRPr="00C7021B" w:rsidRDefault="604D18F1" w:rsidP="00C7021B">
            <w:pPr>
              <w:spacing w:before="450" w:after="450"/>
              <w:rPr>
                <w:rFonts w:eastAsia="Calibri" w:cs="Arial"/>
                <w:b/>
                <w:bCs/>
                <w:color w:val="FFFFFF"/>
              </w:rPr>
            </w:pPr>
            <w:r w:rsidRPr="76D451BD">
              <w:rPr>
                <w:rFonts w:eastAsia="Calibri" w:cs="Arial"/>
                <w:b/>
                <w:bCs/>
                <w:color w:val="FFFFFF" w:themeColor="background1"/>
              </w:rPr>
              <w:t xml:space="preserve">Current </w:t>
            </w:r>
            <w:r w:rsidR="0FF54540" w:rsidRPr="76D451BD">
              <w:rPr>
                <w:rFonts w:eastAsia="Calibri" w:cs="Arial"/>
                <w:b/>
                <w:bCs/>
                <w:color w:val="FFFFFF" w:themeColor="background1"/>
              </w:rPr>
              <w:t>MMO </w:t>
            </w:r>
            <w:r w:rsidR="00D261C8">
              <w:rPr>
                <w:rFonts w:eastAsia="Calibri" w:cs="Arial"/>
                <w:b/>
                <w:bCs/>
                <w:color w:val="FFFFFF" w:themeColor="background1"/>
              </w:rPr>
              <w:t>r</w:t>
            </w:r>
            <w:r w:rsidR="008E7D84" w:rsidRPr="76D451BD">
              <w:rPr>
                <w:rFonts w:eastAsia="Calibri" w:cs="Arial"/>
                <w:b/>
                <w:bCs/>
                <w:color w:val="FFFFFF" w:themeColor="background1"/>
              </w:rPr>
              <w:t>ate</w:t>
            </w:r>
          </w:p>
        </w:tc>
        <w:tc>
          <w:tcPr>
            <w:tcW w:w="1006" w:type="pct"/>
            <w:tcBorders>
              <w:top w:val="single" w:sz="4" w:space="0" w:color="auto"/>
              <w:left w:val="single" w:sz="4" w:space="0" w:color="auto"/>
              <w:bottom w:val="single" w:sz="4" w:space="0" w:color="auto"/>
              <w:right w:val="single" w:sz="4" w:space="0" w:color="auto"/>
            </w:tcBorders>
            <w:shd w:val="clear" w:color="auto" w:fill="008938"/>
            <w:hideMark/>
          </w:tcPr>
          <w:p w14:paraId="334772CF" w14:textId="59228A75" w:rsidR="008E7D84" w:rsidRPr="00C7021B" w:rsidRDefault="3D65315F" w:rsidP="00C7021B">
            <w:pPr>
              <w:spacing w:before="450" w:after="450"/>
              <w:rPr>
                <w:rFonts w:eastAsia="Calibri" w:cs="Arial"/>
                <w:b/>
                <w:bCs/>
                <w:color w:val="FFFFFF"/>
              </w:rPr>
            </w:pPr>
            <w:r w:rsidRPr="76D451BD">
              <w:rPr>
                <w:rFonts w:eastAsia="Calibri" w:cs="Arial"/>
                <w:b/>
                <w:bCs/>
                <w:color w:val="FFFFFF" w:themeColor="background1"/>
              </w:rPr>
              <w:t>Current m</w:t>
            </w:r>
            <w:r w:rsidR="0FF54540" w:rsidRPr="76D451BD">
              <w:rPr>
                <w:rFonts w:eastAsia="Calibri" w:cs="Arial"/>
                <w:b/>
                <w:bCs/>
                <w:color w:val="FFFFFF" w:themeColor="background1"/>
              </w:rPr>
              <w:t xml:space="preserve">aximum </w:t>
            </w:r>
            <w:r w:rsidR="1B77480D" w:rsidRPr="76D451BD">
              <w:rPr>
                <w:rFonts w:eastAsia="Calibri" w:cs="Arial"/>
                <w:b/>
                <w:bCs/>
                <w:color w:val="FFFFFF" w:themeColor="background1"/>
              </w:rPr>
              <w:t>f</w:t>
            </w:r>
            <w:r w:rsidR="008E7D84" w:rsidRPr="76D451BD">
              <w:rPr>
                <w:rFonts w:eastAsia="Calibri" w:cs="Arial"/>
                <w:b/>
                <w:bCs/>
                <w:color w:val="FFFFFF" w:themeColor="background1"/>
              </w:rPr>
              <w:t>ee</w:t>
            </w:r>
          </w:p>
        </w:tc>
        <w:tc>
          <w:tcPr>
            <w:tcW w:w="1029" w:type="pct"/>
            <w:tcBorders>
              <w:top w:val="single" w:sz="4" w:space="0" w:color="auto"/>
              <w:left w:val="single" w:sz="4" w:space="0" w:color="auto"/>
              <w:bottom w:val="single" w:sz="4" w:space="0" w:color="auto"/>
              <w:right w:val="single" w:sz="4" w:space="0" w:color="auto"/>
            </w:tcBorders>
            <w:shd w:val="clear" w:color="auto" w:fill="008938"/>
          </w:tcPr>
          <w:p w14:paraId="6C230BDC" w14:textId="205D6EBA" w:rsidR="008E7D84" w:rsidRPr="00C7021B" w:rsidRDefault="13E4E38F" w:rsidP="00C7021B">
            <w:pPr>
              <w:spacing w:before="450" w:after="450"/>
              <w:rPr>
                <w:rFonts w:eastAsia="Calibri" w:cs="Arial"/>
                <w:b/>
                <w:bCs/>
                <w:color w:val="FFFFFF"/>
              </w:rPr>
            </w:pPr>
            <w:r w:rsidRPr="76D451BD">
              <w:rPr>
                <w:rFonts w:eastAsia="Calibri" w:cs="Arial"/>
                <w:b/>
                <w:bCs/>
                <w:color w:val="FFFFFF" w:themeColor="background1"/>
              </w:rPr>
              <w:t xml:space="preserve">Proposed </w:t>
            </w:r>
            <w:r w:rsidR="008E7D84" w:rsidRPr="76D451BD">
              <w:rPr>
                <w:rFonts w:eastAsia="Calibri" w:cs="Arial"/>
                <w:b/>
                <w:bCs/>
                <w:color w:val="FFFFFF" w:themeColor="background1"/>
              </w:rPr>
              <w:t>MMO rate</w:t>
            </w:r>
          </w:p>
        </w:tc>
        <w:tc>
          <w:tcPr>
            <w:tcW w:w="1027" w:type="pct"/>
            <w:tcBorders>
              <w:top w:val="single" w:sz="4" w:space="0" w:color="auto"/>
              <w:left w:val="single" w:sz="4" w:space="0" w:color="auto"/>
              <w:bottom w:val="single" w:sz="4" w:space="0" w:color="auto"/>
              <w:right w:val="single" w:sz="4" w:space="0" w:color="auto"/>
            </w:tcBorders>
            <w:shd w:val="clear" w:color="auto" w:fill="008938"/>
          </w:tcPr>
          <w:p w14:paraId="0A7EA4DD" w14:textId="12FA32A1" w:rsidR="008E7D84" w:rsidRPr="00C7021B" w:rsidRDefault="7A0B32DB" w:rsidP="00C7021B">
            <w:pPr>
              <w:spacing w:before="450" w:after="450"/>
              <w:rPr>
                <w:rFonts w:eastAsia="Calibri" w:cs="Arial"/>
                <w:b/>
                <w:bCs/>
                <w:color w:val="FFFFFF"/>
              </w:rPr>
            </w:pPr>
            <w:r w:rsidRPr="76D451BD">
              <w:rPr>
                <w:rFonts w:eastAsia="Calibri" w:cs="Arial"/>
                <w:b/>
                <w:bCs/>
                <w:color w:val="FFFFFF" w:themeColor="background1"/>
              </w:rPr>
              <w:t>Proposed m</w:t>
            </w:r>
            <w:r w:rsidR="0FF54540" w:rsidRPr="76D451BD">
              <w:rPr>
                <w:rFonts w:eastAsia="Calibri" w:cs="Arial"/>
                <w:b/>
                <w:bCs/>
                <w:color w:val="FFFFFF" w:themeColor="background1"/>
              </w:rPr>
              <w:t xml:space="preserve">aximum </w:t>
            </w:r>
            <w:r w:rsidR="307AAAE2" w:rsidRPr="76D451BD">
              <w:rPr>
                <w:rFonts w:eastAsia="Calibri" w:cs="Arial"/>
                <w:b/>
                <w:bCs/>
                <w:color w:val="FFFFFF" w:themeColor="background1"/>
              </w:rPr>
              <w:t>f</w:t>
            </w:r>
            <w:r w:rsidR="008E7D84" w:rsidRPr="76D451BD">
              <w:rPr>
                <w:rFonts w:eastAsia="Calibri" w:cs="Arial"/>
                <w:b/>
                <w:bCs/>
                <w:color w:val="FFFFFF" w:themeColor="background1"/>
              </w:rPr>
              <w:t>ee</w:t>
            </w:r>
          </w:p>
        </w:tc>
      </w:tr>
      <w:tr w:rsidR="002621D5" w14:paraId="248CB900" w14:textId="77777777" w:rsidTr="23E6512D">
        <w:trPr>
          <w:trHeight w:hRule="exact" w:val="858"/>
        </w:trPr>
        <w:tc>
          <w:tcPr>
            <w:tcW w:w="1029" w:type="pct"/>
            <w:tcBorders>
              <w:top w:val="single" w:sz="4" w:space="0" w:color="auto"/>
            </w:tcBorders>
            <w:shd w:val="clear" w:color="auto" w:fill="CBE9D3"/>
            <w:hideMark/>
          </w:tcPr>
          <w:p w14:paraId="31B25359" w14:textId="77777777" w:rsidR="008E7D84" w:rsidRPr="00C7021B" w:rsidRDefault="008E7D84" w:rsidP="00C7021B">
            <w:pPr>
              <w:spacing w:before="450" w:after="450"/>
              <w:rPr>
                <w:rFonts w:eastAsia="Calibri" w:cs="Arial"/>
                <w:color w:val="0B0C0C"/>
                <w:szCs w:val="24"/>
              </w:rPr>
            </w:pPr>
            <w:r w:rsidRPr="00C7021B">
              <w:rPr>
                <w:rFonts w:eastAsia="Calibri" w:cs="Arial"/>
                <w:color w:val="0B0C0C"/>
              </w:rPr>
              <w:t>V0</w:t>
            </w:r>
          </w:p>
        </w:tc>
        <w:tc>
          <w:tcPr>
            <w:tcW w:w="909" w:type="pct"/>
            <w:tcBorders>
              <w:top w:val="single" w:sz="4" w:space="0" w:color="auto"/>
            </w:tcBorders>
            <w:shd w:val="clear" w:color="auto" w:fill="FFFFFF" w:themeFill="background1"/>
            <w:hideMark/>
          </w:tcPr>
          <w:p w14:paraId="0AF02703" w14:textId="1FA8865E" w:rsidR="008E7D84" w:rsidRPr="00C7021B" w:rsidRDefault="001A6259" w:rsidP="00C7021B">
            <w:pPr>
              <w:spacing w:before="450" w:after="450"/>
              <w:rPr>
                <w:rFonts w:eastAsia="Calibri" w:cs="Arial"/>
                <w:color w:val="0B0C0C"/>
              </w:rPr>
            </w:pPr>
            <w:r w:rsidRPr="00C7021B">
              <w:rPr>
                <w:rFonts w:eastAsia="Calibri" w:cs="Arial"/>
                <w:color w:val="0B0C0C"/>
              </w:rPr>
              <w:t>N</w:t>
            </w:r>
            <w:r w:rsidR="003B51BD">
              <w:rPr>
                <w:rFonts w:eastAsia="Calibri" w:cs="Arial"/>
                <w:color w:val="0B0C0C"/>
              </w:rPr>
              <w:t>ot applicable</w:t>
            </w:r>
          </w:p>
        </w:tc>
        <w:tc>
          <w:tcPr>
            <w:tcW w:w="1006" w:type="pct"/>
            <w:tcBorders>
              <w:top w:val="single" w:sz="4" w:space="0" w:color="auto"/>
            </w:tcBorders>
            <w:shd w:val="clear" w:color="auto" w:fill="FFFFFF" w:themeFill="background1"/>
            <w:hideMark/>
          </w:tcPr>
          <w:p w14:paraId="7546AC13" w14:textId="0655543F" w:rsidR="008E7D84" w:rsidRPr="00C7021B" w:rsidRDefault="003B51BD" w:rsidP="00C7021B">
            <w:pPr>
              <w:spacing w:before="450" w:after="450"/>
              <w:rPr>
                <w:rFonts w:eastAsia="Calibri" w:cs="Arial"/>
                <w:color w:val="0B0C0C"/>
              </w:rPr>
            </w:pPr>
            <w:r w:rsidRPr="00C7021B">
              <w:rPr>
                <w:rFonts w:eastAsia="Calibri" w:cs="Arial"/>
                <w:color w:val="0B0C0C"/>
              </w:rPr>
              <w:t>N</w:t>
            </w:r>
            <w:r>
              <w:rPr>
                <w:rFonts w:eastAsia="Calibri" w:cs="Arial"/>
                <w:color w:val="0B0C0C"/>
              </w:rPr>
              <w:t>ot applicable</w:t>
            </w:r>
          </w:p>
        </w:tc>
        <w:tc>
          <w:tcPr>
            <w:tcW w:w="1029" w:type="pct"/>
            <w:tcBorders>
              <w:top w:val="single" w:sz="4" w:space="0" w:color="auto"/>
            </w:tcBorders>
            <w:shd w:val="clear" w:color="auto" w:fill="FFFFFF" w:themeFill="background1"/>
          </w:tcPr>
          <w:p w14:paraId="0468F941" w14:textId="128D9C61" w:rsidR="008E7D84" w:rsidRPr="00C7021B" w:rsidRDefault="003B51BD" w:rsidP="00C7021B">
            <w:pPr>
              <w:spacing w:before="450" w:after="450"/>
              <w:rPr>
                <w:rFonts w:eastAsia="Calibri" w:cs="Arial"/>
                <w:color w:val="0B0C0C"/>
              </w:rPr>
            </w:pPr>
            <w:r w:rsidRPr="00C7021B">
              <w:rPr>
                <w:rFonts w:eastAsia="Calibri" w:cs="Arial"/>
                <w:color w:val="0B0C0C"/>
              </w:rPr>
              <w:t>N</w:t>
            </w:r>
            <w:r>
              <w:rPr>
                <w:rFonts w:eastAsia="Calibri" w:cs="Arial"/>
                <w:color w:val="0B0C0C"/>
              </w:rPr>
              <w:t>ot applicable</w:t>
            </w:r>
          </w:p>
        </w:tc>
        <w:tc>
          <w:tcPr>
            <w:tcW w:w="1027" w:type="pct"/>
            <w:tcBorders>
              <w:top w:val="single" w:sz="4" w:space="0" w:color="auto"/>
            </w:tcBorders>
            <w:shd w:val="clear" w:color="auto" w:fill="FFFFFF" w:themeFill="background1"/>
          </w:tcPr>
          <w:p w14:paraId="7759889B" w14:textId="0319EB8E" w:rsidR="008E7D84" w:rsidRPr="00C7021B" w:rsidRDefault="003B51BD" w:rsidP="00C7021B">
            <w:pPr>
              <w:spacing w:before="450" w:after="450"/>
              <w:rPr>
                <w:rFonts w:eastAsia="Calibri" w:cs="Arial"/>
                <w:color w:val="0B0C0C"/>
              </w:rPr>
            </w:pPr>
            <w:r w:rsidRPr="00C7021B">
              <w:rPr>
                <w:rFonts w:eastAsia="Calibri" w:cs="Arial"/>
                <w:color w:val="0B0C0C"/>
              </w:rPr>
              <w:t>N</w:t>
            </w:r>
            <w:r>
              <w:rPr>
                <w:rFonts w:eastAsia="Calibri" w:cs="Arial"/>
                <w:color w:val="0B0C0C"/>
              </w:rPr>
              <w:t>ot applicable</w:t>
            </w:r>
          </w:p>
        </w:tc>
      </w:tr>
      <w:tr w:rsidR="002621D5" w14:paraId="0000AC18" w14:textId="77777777" w:rsidTr="23E6512D">
        <w:trPr>
          <w:trHeight w:hRule="exact" w:val="1143"/>
        </w:trPr>
        <w:tc>
          <w:tcPr>
            <w:tcW w:w="1029" w:type="pct"/>
            <w:shd w:val="clear" w:color="auto" w:fill="CBE9D3"/>
            <w:hideMark/>
          </w:tcPr>
          <w:p w14:paraId="2AF06253" w14:textId="77777777" w:rsidR="008E7D84" w:rsidRPr="00C7021B" w:rsidRDefault="008E7D84" w:rsidP="00C7021B">
            <w:pPr>
              <w:spacing w:before="450" w:after="450"/>
              <w:rPr>
                <w:rFonts w:eastAsia="Calibri" w:cs="Arial"/>
                <w:color w:val="0B0C0C"/>
              </w:rPr>
            </w:pPr>
            <w:r w:rsidRPr="00C7021B">
              <w:rPr>
                <w:rFonts w:eastAsia="Calibri" w:cs="Arial"/>
                <w:color w:val="0B0C0C"/>
              </w:rPr>
              <w:t>V1</w:t>
            </w:r>
          </w:p>
        </w:tc>
        <w:tc>
          <w:tcPr>
            <w:tcW w:w="909" w:type="pct"/>
            <w:shd w:val="clear" w:color="auto" w:fill="FFFFFF" w:themeFill="background1"/>
            <w:hideMark/>
          </w:tcPr>
          <w:p w14:paraId="3E7E703B" w14:textId="77777777" w:rsidR="008E7D84" w:rsidRPr="00C7021B" w:rsidRDefault="008E7D84" w:rsidP="00C7021B">
            <w:pPr>
              <w:spacing w:before="450" w:after="450"/>
              <w:rPr>
                <w:rFonts w:eastAsia="Calibri" w:cs="Arial"/>
                <w:color w:val="0B0C0C"/>
              </w:rPr>
            </w:pPr>
            <w:r w:rsidRPr="00C7021B">
              <w:rPr>
                <w:rFonts w:eastAsia="Calibri" w:cs="Arial"/>
                <w:color w:val="0B0C0C"/>
              </w:rPr>
              <w:t>£94 per hour</w:t>
            </w:r>
          </w:p>
        </w:tc>
        <w:tc>
          <w:tcPr>
            <w:tcW w:w="1006" w:type="pct"/>
            <w:shd w:val="clear" w:color="auto" w:fill="FFFFFF" w:themeFill="background1"/>
            <w:hideMark/>
          </w:tcPr>
          <w:p w14:paraId="2C7A1F8B" w14:textId="77777777" w:rsidR="008E7D84" w:rsidRPr="00C7021B" w:rsidRDefault="008E7D84" w:rsidP="00C7021B">
            <w:pPr>
              <w:spacing w:before="450" w:after="450"/>
              <w:rPr>
                <w:rFonts w:eastAsia="Calibri" w:cs="Arial"/>
                <w:color w:val="0B0C0C"/>
              </w:rPr>
            </w:pPr>
            <w:r w:rsidRPr="00C7021B">
              <w:rPr>
                <w:rFonts w:eastAsia="Calibri" w:cs="Arial"/>
                <w:color w:val="0B0C0C"/>
              </w:rPr>
              <w:t>£50</w:t>
            </w:r>
          </w:p>
        </w:tc>
        <w:tc>
          <w:tcPr>
            <w:tcW w:w="1029" w:type="pct"/>
            <w:shd w:val="clear" w:color="auto" w:fill="FFFFFF" w:themeFill="background1"/>
          </w:tcPr>
          <w:p w14:paraId="0B850C78" w14:textId="38AC1E12" w:rsidR="008E7D84" w:rsidRPr="00C7021B" w:rsidRDefault="008E7D84" w:rsidP="00C7021B">
            <w:pPr>
              <w:spacing w:before="450" w:after="450"/>
              <w:rPr>
                <w:rFonts w:eastAsia="Calibri" w:cs="Arial"/>
                <w:color w:val="0B0C0C"/>
              </w:rPr>
            </w:pPr>
            <w:r w:rsidRPr="6511109E">
              <w:rPr>
                <w:rFonts w:eastAsia="Calibri" w:cs="Arial"/>
                <w:color w:val="0B0C0C"/>
              </w:rPr>
              <w:t>£1</w:t>
            </w:r>
            <w:r w:rsidR="0B72C762" w:rsidRPr="6511109E">
              <w:rPr>
                <w:rFonts w:eastAsia="Calibri" w:cs="Arial"/>
                <w:color w:val="0B0C0C"/>
              </w:rPr>
              <w:t>55</w:t>
            </w:r>
            <w:r w:rsidRPr="6511109E">
              <w:rPr>
                <w:rFonts w:eastAsia="Calibri" w:cs="Arial"/>
                <w:color w:val="0B0C0C"/>
              </w:rPr>
              <w:t xml:space="preserve"> per hour</w:t>
            </w:r>
          </w:p>
        </w:tc>
        <w:tc>
          <w:tcPr>
            <w:tcW w:w="1027" w:type="pct"/>
            <w:shd w:val="clear" w:color="auto" w:fill="FFFFFF" w:themeFill="background1"/>
          </w:tcPr>
          <w:p w14:paraId="3AAA61F8" w14:textId="77777777" w:rsidR="008E7D84" w:rsidRPr="00C7021B" w:rsidRDefault="008E7D84" w:rsidP="00C7021B">
            <w:pPr>
              <w:spacing w:before="450" w:after="450"/>
              <w:rPr>
                <w:rFonts w:eastAsia="Calibri" w:cs="Arial"/>
                <w:color w:val="0B0C0C"/>
              </w:rPr>
            </w:pPr>
            <w:r w:rsidRPr="00C7021B">
              <w:rPr>
                <w:rFonts w:eastAsia="Calibri" w:cs="Arial"/>
                <w:color w:val="0B0C0C"/>
              </w:rPr>
              <w:t>£200</w:t>
            </w:r>
          </w:p>
        </w:tc>
      </w:tr>
      <w:tr w:rsidR="002621D5" w14:paraId="1BCE56F8" w14:textId="77777777" w:rsidTr="23E6512D">
        <w:trPr>
          <w:trHeight w:hRule="exact" w:val="1132"/>
        </w:trPr>
        <w:tc>
          <w:tcPr>
            <w:tcW w:w="1029" w:type="pct"/>
            <w:shd w:val="clear" w:color="auto" w:fill="CBE9D3"/>
            <w:hideMark/>
          </w:tcPr>
          <w:p w14:paraId="1A8CD853" w14:textId="77777777" w:rsidR="008E7D84" w:rsidRPr="00C7021B" w:rsidRDefault="008E7D84" w:rsidP="00C7021B">
            <w:pPr>
              <w:spacing w:before="450" w:after="450"/>
              <w:rPr>
                <w:rFonts w:eastAsia="Calibri" w:cs="Arial"/>
                <w:color w:val="0B0C0C"/>
              </w:rPr>
            </w:pPr>
            <w:r w:rsidRPr="00C7021B">
              <w:rPr>
                <w:rFonts w:eastAsia="Calibri" w:cs="Arial"/>
                <w:color w:val="0B0C0C"/>
              </w:rPr>
              <w:t>V2</w:t>
            </w:r>
          </w:p>
        </w:tc>
        <w:tc>
          <w:tcPr>
            <w:tcW w:w="909" w:type="pct"/>
            <w:shd w:val="clear" w:color="auto" w:fill="FFFFFF" w:themeFill="background1"/>
            <w:hideMark/>
          </w:tcPr>
          <w:p w14:paraId="1D236B8B" w14:textId="77777777" w:rsidR="008E7D84" w:rsidRPr="00C7021B" w:rsidRDefault="008E7D84" w:rsidP="00C7021B">
            <w:pPr>
              <w:spacing w:before="450" w:after="450"/>
              <w:rPr>
                <w:rFonts w:eastAsia="Calibri" w:cs="Arial"/>
                <w:color w:val="0B0C0C"/>
              </w:rPr>
            </w:pPr>
            <w:r w:rsidRPr="00C7021B">
              <w:rPr>
                <w:rFonts w:eastAsia="Calibri" w:cs="Arial"/>
                <w:color w:val="0B0C0C"/>
              </w:rPr>
              <w:t>£94 per hour</w:t>
            </w:r>
          </w:p>
        </w:tc>
        <w:tc>
          <w:tcPr>
            <w:tcW w:w="1006" w:type="pct"/>
            <w:shd w:val="clear" w:color="auto" w:fill="FFFFFF" w:themeFill="background1"/>
            <w:hideMark/>
          </w:tcPr>
          <w:p w14:paraId="3DC76704" w14:textId="77777777" w:rsidR="008E7D84" w:rsidRPr="00C7021B" w:rsidRDefault="008E7D84" w:rsidP="00C7021B">
            <w:pPr>
              <w:spacing w:before="450" w:after="450"/>
              <w:rPr>
                <w:rFonts w:eastAsia="Calibri" w:cs="Arial"/>
                <w:color w:val="0B0C0C"/>
              </w:rPr>
            </w:pPr>
            <w:r w:rsidRPr="00C7021B">
              <w:rPr>
                <w:rFonts w:eastAsia="Calibri" w:cs="Arial"/>
                <w:color w:val="0B0C0C"/>
              </w:rPr>
              <w:t>£200</w:t>
            </w:r>
          </w:p>
        </w:tc>
        <w:tc>
          <w:tcPr>
            <w:tcW w:w="1029" w:type="pct"/>
            <w:shd w:val="clear" w:color="auto" w:fill="FFFFFF" w:themeFill="background1"/>
          </w:tcPr>
          <w:p w14:paraId="6F846825" w14:textId="3939E51B" w:rsidR="008E7D84" w:rsidRPr="00C7021B" w:rsidRDefault="008E7D84" w:rsidP="00C7021B">
            <w:pPr>
              <w:spacing w:before="450" w:after="450"/>
              <w:rPr>
                <w:rFonts w:eastAsia="Calibri" w:cs="Arial"/>
                <w:color w:val="0B0C0C"/>
              </w:rPr>
            </w:pPr>
            <w:r w:rsidRPr="6511109E">
              <w:rPr>
                <w:rFonts w:eastAsia="Calibri" w:cs="Arial"/>
                <w:color w:val="0B0C0C"/>
              </w:rPr>
              <w:t>£1</w:t>
            </w:r>
            <w:r w:rsidR="02621BC8" w:rsidRPr="6511109E">
              <w:rPr>
                <w:rFonts w:eastAsia="Calibri" w:cs="Arial"/>
                <w:color w:val="0B0C0C"/>
              </w:rPr>
              <w:t>55</w:t>
            </w:r>
            <w:r w:rsidRPr="6511109E">
              <w:rPr>
                <w:rFonts w:eastAsia="Calibri" w:cs="Arial"/>
                <w:color w:val="0B0C0C"/>
              </w:rPr>
              <w:t xml:space="preserve"> per hour</w:t>
            </w:r>
          </w:p>
        </w:tc>
        <w:tc>
          <w:tcPr>
            <w:tcW w:w="1027" w:type="pct"/>
            <w:shd w:val="clear" w:color="auto" w:fill="FFFFFF" w:themeFill="background1"/>
          </w:tcPr>
          <w:p w14:paraId="1F823EE4" w14:textId="77777777" w:rsidR="008E7D84" w:rsidRPr="00C7021B" w:rsidRDefault="008E7D84" w:rsidP="00C7021B">
            <w:pPr>
              <w:spacing w:before="450" w:after="450"/>
              <w:rPr>
                <w:rFonts w:eastAsia="Calibri" w:cs="Arial"/>
                <w:color w:val="0B0C0C"/>
              </w:rPr>
            </w:pPr>
            <w:r w:rsidRPr="00C7021B">
              <w:rPr>
                <w:rFonts w:eastAsia="Calibri" w:cs="Arial"/>
                <w:color w:val="0B0C0C"/>
              </w:rPr>
              <w:t>£500</w:t>
            </w:r>
          </w:p>
        </w:tc>
      </w:tr>
      <w:tr w:rsidR="002621D5" w14:paraId="2781F669" w14:textId="77777777" w:rsidTr="23E6512D">
        <w:trPr>
          <w:trHeight w:hRule="exact" w:val="1117"/>
        </w:trPr>
        <w:tc>
          <w:tcPr>
            <w:tcW w:w="1029" w:type="pct"/>
            <w:shd w:val="clear" w:color="auto" w:fill="CBE9D3"/>
            <w:hideMark/>
          </w:tcPr>
          <w:p w14:paraId="3FE970E6" w14:textId="77777777" w:rsidR="008E7D84" w:rsidRPr="00C7021B" w:rsidRDefault="008E7D84" w:rsidP="00C7021B">
            <w:pPr>
              <w:spacing w:before="450" w:after="450"/>
              <w:rPr>
                <w:rFonts w:eastAsia="Calibri" w:cs="Arial"/>
                <w:color w:val="0B0C0C"/>
              </w:rPr>
            </w:pPr>
            <w:r w:rsidRPr="00C7021B">
              <w:rPr>
                <w:rFonts w:eastAsia="Calibri" w:cs="Arial"/>
                <w:color w:val="0B0C0C"/>
              </w:rPr>
              <w:t>V3</w:t>
            </w:r>
          </w:p>
        </w:tc>
        <w:tc>
          <w:tcPr>
            <w:tcW w:w="909" w:type="pct"/>
            <w:shd w:val="clear" w:color="auto" w:fill="FFFFFF" w:themeFill="background1"/>
            <w:hideMark/>
          </w:tcPr>
          <w:p w14:paraId="5877ADDB" w14:textId="77777777" w:rsidR="008E7D84" w:rsidRPr="00C7021B" w:rsidRDefault="008E7D84" w:rsidP="00C7021B">
            <w:pPr>
              <w:spacing w:before="450" w:after="450"/>
              <w:rPr>
                <w:rFonts w:eastAsia="Calibri" w:cs="Arial"/>
                <w:color w:val="0B0C0C"/>
              </w:rPr>
            </w:pPr>
            <w:r w:rsidRPr="00C7021B">
              <w:rPr>
                <w:rFonts w:eastAsia="Calibri" w:cs="Arial"/>
                <w:color w:val="0B0C0C"/>
              </w:rPr>
              <w:t>£94 per hour</w:t>
            </w:r>
          </w:p>
        </w:tc>
        <w:tc>
          <w:tcPr>
            <w:tcW w:w="1006" w:type="pct"/>
            <w:shd w:val="clear" w:color="auto" w:fill="FFFFFF" w:themeFill="background1"/>
            <w:hideMark/>
          </w:tcPr>
          <w:p w14:paraId="3E93D74F" w14:textId="77777777" w:rsidR="008E7D84" w:rsidRPr="00C7021B" w:rsidRDefault="008E7D84" w:rsidP="00C7021B">
            <w:pPr>
              <w:spacing w:before="450" w:after="450"/>
              <w:rPr>
                <w:rFonts w:eastAsia="Calibri" w:cs="Arial"/>
                <w:color w:val="0B0C0C"/>
              </w:rPr>
            </w:pPr>
            <w:r w:rsidRPr="00C7021B">
              <w:rPr>
                <w:rFonts w:eastAsia="Calibri" w:cs="Arial"/>
                <w:color w:val="0B0C0C"/>
              </w:rPr>
              <w:t>No maximum</w:t>
            </w:r>
          </w:p>
        </w:tc>
        <w:tc>
          <w:tcPr>
            <w:tcW w:w="1029" w:type="pct"/>
            <w:shd w:val="clear" w:color="auto" w:fill="FFFFFF" w:themeFill="background1"/>
          </w:tcPr>
          <w:p w14:paraId="6FBDE437" w14:textId="39380389" w:rsidR="008E7D84" w:rsidRPr="00C7021B" w:rsidRDefault="008E7D84" w:rsidP="00C7021B">
            <w:pPr>
              <w:spacing w:before="450" w:after="450"/>
              <w:rPr>
                <w:rFonts w:eastAsia="Calibri" w:cs="Arial"/>
                <w:color w:val="0B0C0C"/>
              </w:rPr>
            </w:pPr>
            <w:r w:rsidRPr="6511109E">
              <w:rPr>
                <w:rFonts w:eastAsia="Calibri" w:cs="Arial"/>
                <w:color w:val="0B0C0C"/>
              </w:rPr>
              <w:t>£1</w:t>
            </w:r>
            <w:r w:rsidR="5E585807" w:rsidRPr="6511109E">
              <w:rPr>
                <w:rFonts w:eastAsia="Calibri" w:cs="Arial"/>
                <w:color w:val="0B0C0C"/>
              </w:rPr>
              <w:t>55</w:t>
            </w:r>
            <w:r w:rsidRPr="6511109E">
              <w:rPr>
                <w:rFonts w:eastAsia="Calibri" w:cs="Arial"/>
                <w:color w:val="0B0C0C"/>
              </w:rPr>
              <w:t xml:space="preserve"> per hour</w:t>
            </w:r>
          </w:p>
        </w:tc>
        <w:tc>
          <w:tcPr>
            <w:tcW w:w="1027" w:type="pct"/>
            <w:shd w:val="clear" w:color="auto" w:fill="FFFFFF" w:themeFill="background1"/>
          </w:tcPr>
          <w:p w14:paraId="0D403481" w14:textId="37C9C3C2" w:rsidR="008E7D84" w:rsidRPr="00C7021B" w:rsidRDefault="009F65EA" w:rsidP="00C7021B">
            <w:pPr>
              <w:spacing w:before="450" w:after="450"/>
              <w:rPr>
                <w:rFonts w:eastAsia="Calibri" w:cs="Arial"/>
                <w:color w:val="0B0C0C"/>
              </w:rPr>
            </w:pPr>
            <w:r>
              <w:rPr>
                <w:rFonts w:eastAsia="Calibri" w:cs="Arial"/>
                <w:color w:val="0B0C0C"/>
              </w:rPr>
              <w:t>No maximum</w:t>
            </w:r>
          </w:p>
        </w:tc>
      </w:tr>
      <w:tr w:rsidR="002621D5" w14:paraId="753B6639" w14:textId="77777777" w:rsidTr="23E6512D">
        <w:trPr>
          <w:trHeight w:hRule="exact" w:val="1117"/>
        </w:trPr>
        <w:tc>
          <w:tcPr>
            <w:tcW w:w="1029" w:type="pct"/>
            <w:shd w:val="clear" w:color="auto" w:fill="CBE9D3"/>
          </w:tcPr>
          <w:p w14:paraId="3C26DD2E" w14:textId="39D5D829" w:rsidR="008E7D84" w:rsidRPr="00C7021B" w:rsidRDefault="008E7D84" w:rsidP="00C7021B">
            <w:pPr>
              <w:spacing w:before="450" w:after="450"/>
              <w:rPr>
                <w:rFonts w:eastAsia="Calibri" w:cs="Arial"/>
                <w:color w:val="0B0C0C"/>
              </w:rPr>
            </w:pPr>
            <w:r w:rsidRPr="0E28535B">
              <w:rPr>
                <w:rFonts w:eastAsia="Calibri" w:cs="Arial"/>
                <w:color w:val="0B0C0C"/>
              </w:rPr>
              <w:t>Post</w:t>
            </w:r>
            <w:r w:rsidR="61F7BFE4" w:rsidRPr="0E28535B">
              <w:rPr>
                <w:rFonts w:eastAsia="Calibri" w:cs="Arial"/>
                <w:color w:val="0B0C0C"/>
              </w:rPr>
              <w:t>-</w:t>
            </w:r>
            <w:r w:rsidRPr="0E28535B">
              <w:rPr>
                <w:rFonts w:eastAsia="Calibri" w:cs="Arial"/>
                <w:color w:val="0B0C0C"/>
              </w:rPr>
              <w:t xml:space="preserve"> consent</w:t>
            </w:r>
          </w:p>
        </w:tc>
        <w:tc>
          <w:tcPr>
            <w:tcW w:w="909" w:type="pct"/>
            <w:shd w:val="clear" w:color="auto" w:fill="FFFFFF" w:themeFill="background1"/>
          </w:tcPr>
          <w:p w14:paraId="49513933" w14:textId="77777777" w:rsidR="008E7D84" w:rsidRPr="00C7021B" w:rsidRDefault="008E7D84" w:rsidP="00C7021B">
            <w:pPr>
              <w:spacing w:before="450" w:after="450"/>
              <w:rPr>
                <w:rFonts w:eastAsia="Calibri" w:cs="Arial"/>
                <w:color w:val="0B0C0C"/>
              </w:rPr>
            </w:pPr>
            <w:r w:rsidRPr="00C7021B">
              <w:rPr>
                <w:rFonts w:eastAsia="Calibri" w:cs="Arial"/>
                <w:color w:val="0B0C0C"/>
              </w:rPr>
              <w:t>£94 per hour</w:t>
            </w:r>
          </w:p>
        </w:tc>
        <w:tc>
          <w:tcPr>
            <w:tcW w:w="1006" w:type="pct"/>
            <w:shd w:val="clear" w:color="auto" w:fill="FFFFFF" w:themeFill="background1"/>
          </w:tcPr>
          <w:p w14:paraId="2F5090EE" w14:textId="4C551461" w:rsidR="008E7D84" w:rsidRPr="00C7021B" w:rsidRDefault="392FCB80" w:rsidP="00C7021B">
            <w:pPr>
              <w:spacing w:before="450" w:after="450"/>
              <w:rPr>
                <w:rFonts w:eastAsia="Calibri" w:cs="Arial"/>
                <w:color w:val="0B0C0C"/>
              </w:rPr>
            </w:pPr>
            <w:r w:rsidRPr="5A225BF0">
              <w:rPr>
                <w:rFonts w:eastAsia="Calibri" w:cs="Arial"/>
                <w:color w:val="0B0C0C"/>
              </w:rPr>
              <w:t>£750</w:t>
            </w:r>
          </w:p>
        </w:tc>
        <w:tc>
          <w:tcPr>
            <w:tcW w:w="1029" w:type="pct"/>
            <w:shd w:val="clear" w:color="auto" w:fill="FFFFFF" w:themeFill="background1"/>
          </w:tcPr>
          <w:p w14:paraId="460DB94F" w14:textId="2E868A4B" w:rsidR="008E7D84" w:rsidRPr="00C7021B" w:rsidRDefault="008E7D84" w:rsidP="00C7021B">
            <w:pPr>
              <w:spacing w:before="450" w:after="450"/>
              <w:rPr>
                <w:rFonts w:eastAsia="Calibri" w:cs="Arial"/>
                <w:color w:val="0B0C0C"/>
              </w:rPr>
            </w:pPr>
            <w:r w:rsidRPr="6511109E">
              <w:rPr>
                <w:rFonts w:eastAsia="Calibri" w:cs="Arial"/>
                <w:color w:val="0B0C0C"/>
              </w:rPr>
              <w:t>£1</w:t>
            </w:r>
            <w:r w:rsidR="5D35DE89" w:rsidRPr="6511109E">
              <w:rPr>
                <w:rFonts w:eastAsia="Calibri" w:cs="Arial"/>
                <w:color w:val="0B0C0C"/>
              </w:rPr>
              <w:t>55</w:t>
            </w:r>
            <w:r w:rsidRPr="6511109E">
              <w:rPr>
                <w:rFonts w:eastAsia="Calibri" w:cs="Arial"/>
                <w:color w:val="0B0C0C"/>
              </w:rPr>
              <w:t xml:space="preserve"> per hour</w:t>
            </w:r>
          </w:p>
        </w:tc>
        <w:tc>
          <w:tcPr>
            <w:tcW w:w="1027" w:type="pct"/>
            <w:shd w:val="clear" w:color="auto" w:fill="FFFFFF" w:themeFill="background1"/>
          </w:tcPr>
          <w:p w14:paraId="0DAEB215" w14:textId="72694B1D" w:rsidR="008E7D84" w:rsidRPr="00C7021B" w:rsidRDefault="669AC493" w:rsidP="00C7021B">
            <w:pPr>
              <w:spacing w:before="450" w:after="450"/>
              <w:rPr>
                <w:rFonts w:eastAsia="Calibri" w:cs="Arial"/>
                <w:color w:val="0B0C0C"/>
              </w:rPr>
            </w:pPr>
            <w:r w:rsidRPr="0E28535B">
              <w:rPr>
                <w:rFonts w:eastAsia="Calibri" w:cs="Arial"/>
                <w:color w:val="0B0C0C"/>
              </w:rPr>
              <w:t>£1,500</w:t>
            </w:r>
          </w:p>
        </w:tc>
      </w:tr>
    </w:tbl>
    <w:bookmarkEnd w:id="66"/>
    <w:p w14:paraId="7CAF0F70" w14:textId="3891FCC4" w:rsidR="005D6BD7" w:rsidRPr="00F05A14" w:rsidRDefault="00F05A14" w:rsidP="00F05A14">
      <w:pPr>
        <w:spacing w:before="0" w:after="0" w:line="240" w:lineRule="auto"/>
        <w:rPr>
          <w:rFonts w:cs="Arial"/>
          <w:i/>
          <w:iCs/>
        </w:rPr>
      </w:pPr>
      <w:r w:rsidRPr="00F05A14">
        <w:rPr>
          <w:rFonts w:cs="Arial"/>
          <w:i/>
          <w:iCs/>
        </w:rPr>
        <w:t>Table 9</w:t>
      </w:r>
    </w:p>
    <w:p w14:paraId="7EC91F96" w14:textId="3D9B3644" w:rsidR="005C5261" w:rsidRDefault="005C5261" w:rsidP="41A8D22A">
      <w:pPr>
        <w:pBdr>
          <w:top w:val="single" w:sz="4" w:space="1" w:color="000000"/>
          <w:left w:val="single" w:sz="4" w:space="4" w:color="000000"/>
          <w:bottom w:val="single" w:sz="4" w:space="1" w:color="000000"/>
          <w:right w:val="single" w:sz="4" w:space="4" w:color="000000"/>
        </w:pBdr>
        <w:jc w:val="both"/>
        <w:rPr>
          <w:b/>
          <w:bCs/>
          <w:lang w:val="en-US"/>
        </w:rPr>
      </w:pPr>
      <w:r w:rsidRPr="41A8D22A">
        <w:rPr>
          <w:b/>
          <w:bCs/>
          <w:lang w:val="en-US"/>
        </w:rPr>
        <w:t>1</w:t>
      </w:r>
      <w:r w:rsidR="00CE57A8">
        <w:rPr>
          <w:b/>
          <w:bCs/>
          <w:lang w:val="en-US"/>
        </w:rPr>
        <w:t>8</w:t>
      </w:r>
      <w:r w:rsidR="00FF3DE9">
        <w:rPr>
          <w:b/>
          <w:bCs/>
          <w:lang w:val="en-US"/>
        </w:rPr>
        <w:t>a</w:t>
      </w:r>
      <w:r w:rsidRPr="41A8D22A">
        <w:rPr>
          <w:b/>
          <w:bCs/>
          <w:lang w:val="en-US"/>
        </w:rPr>
        <w:t xml:space="preserve">. Do you agree with the </w:t>
      </w:r>
      <w:r w:rsidRPr="41A8D22A">
        <w:rPr>
          <w:b/>
          <w:bCs/>
        </w:rPr>
        <w:t>proposed amendment</w:t>
      </w:r>
      <w:r w:rsidR="00B53D72" w:rsidRPr="00B53D72">
        <w:t xml:space="preserve"> </w:t>
      </w:r>
      <w:r w:rsidR="00B53D72" w:rsidRPr="00B53D72">
        <w:rPr>
          <w:b/>
          <w:bCs/>
        </w:rPr>
        <w:t xml:space="preserve">to increase </w:t>
      </w:r>
      <w:r w:rsidR="008D0DCC">
        <w:rPr>
          <w:b/>
          <w:bCs/>
        </w:rPr>
        <w:t xml:space="preserve">the </w:t>
      </w:r>
      <w:r w:rsidR="00B53D72" w:rsidRPr="00B53D72">
        <w:rPr>
          <w:b/>
          <w:bCs/>
        </w:rPr>
        <w:t xml:space="preserve">MMO’s hourly rate for </w:t>
      </w:r>
      <w:r w:rsidR="00A85624" w:rsidRPr="00A85624">
        <w:rPr>
          <w:b/>
          <w:bCs/>
        </w:rPr>
        <w:t>marine licence variations, post-consent monitoring and inspections</w:t>
      </w:r>
      <w:r w:rsidR="00A85624" w:rsidRPr="00A85624" w:rsidDel="00A85624">
        <w:rPr>
          <w:b/>
          <w:bCs/>
        </w:rPr>
        <w:t xml:space="preserve"> </w:t>
      </w:r>
      <w:r w:rsidR="00B53D72" w:rsidRPr="00B53D72">
        <w:rPr>
          <w:b/>
          <w:bCs/>
        </w:rPr>
        <w:t>to £155</w:t>
      </w:r>
      <w:r w:rsidRPr="41A8D22A">
        <w:rPr>
          <w:b/>
          <w:bCs/>
          <w:lang w:val="en-US"/>
        </w:rPr>
        <w:t xml:space="preserve">? </w:t>
      </w:r>
    </w:p>
    <w:p w14:paraId="01D122F7" w14:textId="12AAF1AA" w:rsidR="009D13BB" w:rsidRDefault="009D13BB" w:rsidP="7F0D4FCB">
      <w:pPr>
        <w:pBdr>
          <w:top w:val="single" w:sz="4" w:space="1" w:color="000000"/>
          <w:left w:val="single" w:sz="4" w:space="4" w:color="000000"/>
          <w:bottom w:val="single" w:sz="4" w:space="1" w:color="000000"/>
          <w:right w:val="single" w:sz="4" w:space="4" w:color="000000"/>
        </w:pBdr>
        <w:jc w:val="both"/>
        <w:rPr>
          <w:b/>
          <w:bCs/>
          <w:lang w:val="en-US"/>
        </w:rPr>
      </w:pPr>
      <w:r w:rsidRPr="009D13BB">
        <w:rPr>
          <w:b/>
          <w:bCs/>
          <w:lang w:val="en-US"/>
        </w:rPr>
        <w:t>Yes</w:t>
      </w:r>
      <w:r w:rsidR="003B51BD">
        <w:rPr>
          <w:b/>
          <w:bCs/>
          <w:lang w:val="en-US"/>
        </w:rPr>
        <w:t xml:space="preserve"> or </w:t>
      </w:r>
      <w:r w:rsidRPr="009D13BB">
        <w:rPr>
          <w:b/>
          <w:bCs/>
          <w:lang w:val="en-US"/>
        </w:rPr>
        <w:t>No</w:t>
      </w:r>
      <w:r w:rsidR="003B51BD">
        <w:rPr>
          <w:b/>
          <w:bCs/>
          <w:lang w:val="en-US"/>
        </w:rPr>
        <w:t xml:space="preserve"> or </w:t>
      </w:r>
      <w:r w:rsidRPr="009D13BB">
        <w:rPr>
          <w:b/>
          <w:bCs/>
          <w:lang w:val="en-US"/>
        </w:rPr>
        <w:t xml:space="preserve">Neither Agree nor Disagree </w:t>
      </w:r>
    </w:p>
    <w:p w14:paraId="55976FBE" w14:textId="5E077887" w:rsidR="00FF3DE9" w:rsidRPr="00D42370" w:rsidRDefault="00FF3DE9" w:rsidP="7F0D4FCB">
      <w:pPr>
        <w:pBdr>
          <w:top w:val="single" w:sz="4" w:space="1" w:color="000000"/>
          <w:left w:val="single" w:sz="4" w:space="4" w:color="000000"/>
          <w:bottom w:val="single" w:sz="4" w:space="1" w:color="000000"/>
          <w:right w:val="single" w:sz="4" w:space="4" w:color="000000"/>
        </w:pBdr>
        <w:jc w:val="both"/>
        <w:rPr>
          <w:b/>
          <w:bCs/>
        </w:rPr>
      </w:pPr>
      <w:r>
        <w:rPr>
          <w:b/>
          <w:bCs/>
          <w:lang w:val="en-US"/>
        </w:rPr>
        <w:t>1</w:t>
      </w:r>
      <w:r w:rsidR="00CE57A8">
        <w:rPr>
          <w:b/>
          <w:bCs/>
          <w:lang w:val="en-US"/>
        </w:rPr>
        <w:t>8</w:t>
      </w:r>
      <w:r>
        <w:rPr>
          <w:b/>
          <w:bCs/>
          <w:lang w:val="en-US"/>
        </w:rPr>
        <w:t xml:space="preserve">b. </w:t>
      </w:r>
      <w:r w:rsidRPr="41A8D22A">
        <w:rPr>
          <w:b/>
          <w:bCs/>
          <w:lang w:val="en-US"/>
        </w:rPr>
        <w:t xml:space="preserve">Do you agree with the </w:t>
      </w:r>
      <w:r w:rsidRPr="41A8D22A">
        <w:rPr>
          <w:b/>
          <w:bCs/>
        </w:rPr>
        <w:t>proposed amendment</w:t>
      </w:r>
      <w:r w:rsidR="00D42370" w:rsidRPr="00D42370">
        <w:rPr>
          <w:rFonts w:cs="Arial"/>
        </w:rPr>
        <w:t xml:space="preserve"> </w:t>
      </w:r>
      <w:r w:rsidR="00D42370" w:rsidRPr="00D42370">
        <w:rPr>
          <w:rFonts w:cs="Arial"/>
          <w:b/>
          <w:bCs/>
        </w:rPr>
        <w:t xml:space="preserve">to increase the fee ceiling for </w:t>
      </w:r>
      <w:r w:rsidR="00CA40DA" w:rsidRPr="00CA40DA">
        <w:rPr>
          <w:rFonts w:cs="Arial"/>
          <w:b/>
          <w:bCs/>
        </w:rPr>
        <w:t>variations, post-consent monitoring and inspections</w:t>
      </w:r>
      <w:r w:rsidR="00D42370" w:rsidRPr="00D42370">
        <w:rPr>
          <w:rFonts w:cs="Arial"/>
          <w:b/>
          <w:bCs/>
        </w:rPr>
        <w:t>?</w:t>
      </w:r>
    </w:p>
    <w:p w14:paraId="251FD07A" w14:textId="1E8A94B4" w:rsidR="00FF3DE9" w:rsidRPr="00FF3DE9" w:rsidRDefault="00FF3DE9" w:rsidP="7F0D4FCB">
      <w:pPr>
        <w:pBdr>
          <w:top w:val="single" w:sz="4" w:space="1" w:color="000000"/>
          <w:left w:val="single" w:sz="4" w:space="4" w:color="000000"/>
          <w:bottom w:val="single" w:sz="4" w:space="1" w:color="000000"/>
          <w:right w:val="single" w:sz="4" w:space="4" w:color="000000"/>
        </w:pBdr>
        <w:jc w:val="both"/>
        <w:rPr>
          <w:b/>
          <w:bCs/>
          <w:lang w:val="en-US"/>
        </w:rPr>
      </w:pPr>
      <w:r w:rsidRPr="009D13BB">
        <w:rPr>
          <w:b/>
          <w:bCs/>
          <w:lang w:val="en-US"/>
        </w:rPr>
        <w:t>Yes</w:t>
      </w:r>
      <w:r>
        <w:rPr>
          <w:b/>
          <w:bCs/>
          <w:lang w:val="en-US"/>
        </w:rPr>
        <w:t xml:space="preserve"> or </w:t>
      </w:r>
      <w:r w:rsidRPr="009D13BB">
        <w:rPr>
          <w:b/>
          <w:bCs/>
          <w:lang w:val="en-US"/>
        </w:rPr>
        <w:t>No</w:t>
      </w:r>
      <w:r>
        <w:rPr>
          <w:b/>
          <w:bCs/>
          <w:lang w:val="en-US"/>
        </w:rPr>
        <w:t xml:space="preserve"> or </w:t>
      </w:r>
      <w:r w:rsidRPr="009D13BB">
        <w:rPr>
          <w:b/>
          <w:bCs/>
          <w:lang w:val="en-US"/>
        </w:rPr>
        <w:t xml:space="preserve">Neither Agree nor Disagree </w:t>
      </w:r>
    </w:p>
    <w:p w14:paraId="738610EB" w14:textId="2BED385E" w:rsidR="000079B7" w:rsidRPr="00657393" w:rsidRDefault="361ACCA3" w:rsidP="00657393">
      <w:pPr>
        <w:pBdr>
          <w:top w:val="single" w:sz="4" w:space="1" w:color="000000"/>
          <w:left w:val="single" w:sz="4" w:space="4" w:color="000000"/>
          <w:bottom w:val="single" w:sz="4" w:space="1" w:color="000000"/>
          <w:right w:val="single" w:sz="4" w:space="4" w:color="000000"/>
        </w:pBdr>
        <w:spacing w:after="200"/>
        <w:jc w:val="both"/>
        <w:rPr>
          <w:b/>
        </w:rPr>
      </w:pPr>
      <w:r w:rsidRPr="4CDAF053">
        <w:rPr>
          <w:b/>
        </w:rPr>
        <w:t>Do you have any further comments you wish to make on this proposal</w:t>
      </w:r>
      <w:r w:rsidR="006F70F3">
        <w:rPr>
          <w:b/>
        </w:rPr>
        <w:t xml:space="preserve"> </w:t>
      </w:r>
      <w:r w:rsidR="003E7191">
        <w:rPr>
          <w:rFonts w:cs="Arial"/>
          <w:b/>
        </w:rPr>
        <w:t xml:space="preserve">(including any evidence of </w:t>
      </w:r>
      <w:r w:rsidR="002F25B7">
        <w:rPr>
          <w:rFonts w:cs="Arial"/>
          <w:b/>
        </w:rPr>
        <w:t xml:space="preserve">potential </w:t>
      </w:r>
      <w:r w:rsidR="003E7191">
        <w:rPr>
          <w:rFonts w:cs="Arial"/>
          <w:b/>
        </w:rPr>
        <w:t>cost impacts)</w:t>
      </w:r>
      <w:r w:rsidRPr="4CDAF053">
        <w:rPr>
          <w:b/>
        </w:rPr>
        <w:t xml:space="preserve">?   </w:t>
      </w:r>
    </w:p>
    <w:p w14:paraId="0743BA78" w14:textId="108CA9D4" w:rsidR="7E932332" w:rsidRDefault="72341CAD" w:rsidP="00B957AC">
      <w:pPr>
        <w:pStyle w:val="Heading2"/>
        <w:rPr>
          <w:color w:val="2E74B5" w:themeColor="accent5" w:themeShade="BF"/>
        </w:rPr>
      </w:pPr>
      <w:bookmarkStart w:id="67" w:name="_Toc200715786"/>
      <w:r w:rsidRPr="73622320">
        <w:rPr>
          <w:rFonts w:eastAsia="Arial"/>
        </w:rPr>
        <w:t>Description of transitional policy</w:t>
      </w:r>
      <w:bookmarkEnd w:id="67"/>
    </w:p>
    <w:p w14:paraId="618DCF53" w14:textId="24D7773F" w:rsidR="1DB3026B" w:rsidRPr="00F14AAB" w:rsidRDefault="1DB3026B" w:rsidP="00054E4A">
      <w:pPr>
        <w:spacing w:after="160"/>
        <w:rPr>
          <w:rFonts w:cs="Arial"/>
          <w:color w:val="000000" w:themeColor="text1"/>
          <w:szCs w:val="24"/>
        </w:rPr>
      </w:pPr>
      <w:r w:rsidRPr="00F14AAB">
        <w:rPr>
          <w:rFonts w:cs="Arial"/>
          <w:color w:val="000000" w:themeColor="text1"/>
          <w:szCs w:val="24"/>
        </w:rPr>
        <w:t>It is anticipated that a number of licence applications submitted under the current (2018) fees regime will be awaiting determination when the new fee structure comes into effect. The following transitional arrangements are proposed:</w:t>
      </w:r>
    </w:p>
    <w:p w14:paraId="42E3678F" w14:textId="27C575CF" w:rsidR="1DB3026B" w:rsidRPr="0019171C" w:rsidRDefault="1DB3026B" w:rsidP="00054E4A">
      <w:pPr>
        <w:pStyle w:val="ListParagraph"/>
        <w:numPr>
          <w:ilvl w:val="0"/>
          <w:numId w:val="33"/>
        </w:numPr>
        <w:spacing w:after="160"/>
        <w:rPr>
          <w:rFonts w:cs="Arial"/>
          <w:color w:val="000000" w:themeColor="text1"/>
          <w:szCs w:val="24"/>
        </w:rPr>
      </w:pPr>
      <w:r w:rsidRPr="0019171C">
        <w:rPr>
          <w:rFonts w:cs="Arial"/>
          <w:b/>
          <w:bCs/>
          <w:color w:val="000000" w:themeColor="text1"/>
          <w:szCs w:val="24"/>
        </w:rPr>
        <w:t>Band 1 (Self-Service)</w:t>
      </w:r>
      <w:r w:rsidRPr="0019171C">
        <w:rPr>
          <w:rFonts w:cs="Arial"/>
          <w:color w:val="000000" w:themeColor="text1"/>
          <w:szCs w:val="24"/>
        </w:rPr>
        <w:t xml:space="preserve"> will not require transitional arrangements as there is no change to the current charge</w:t>
      </w:r>
    </w:p>
    <w:p w14:paraId="3E7B0737" w14:textId="5D455060" w:rsidR="1DB3026B" w:rsidRPr="0019171C" w:rsidRDefault="1DB3026B" w:rsidP="00054E4A">
      <w:pPr>
        <w:pStyle w:val="ListParagraph"/>
        <w:numPr>
          <w:ilvl w:val="0"/>
          <w:numId w:val="33"/>
        </w:numPr>
        <w:spacing w:after="160"/>
        <w:rPr>
          <w:rFonts w:cs="Arial"/>
          <w:color w:val="000000" w:themeColor="text1"/>
          <w:szCs w:val="24"/>
        </w:rPr>
      </w:pPr>
      <w:r w:rsidRPr="0019171C">
        <w:rPr>
          <w:rFonts w:cs="Arial"/>
          <w:b/>
          <w:bCs/>
          <w:color w:val="000000" w:themeColor="text1"/>
          <w:szCs w:val="24"/>
        </w:rPr>
        <w:lastRenderedPageBreak/>
        <w:t>Band 2</w:t>
      </w:r>
      <w:r w:rsidRPr="0019171C">
        <w:rPr>
          <w:rFonts w:cs="Arial"/>
          <w:color w:val="000000" w:themeColor="text1"/>
          <w:szCs w:val="24"/>
        </w:rPr>
        <w:t xml:space="preserve"> applications received from the implementation date will be charged at the new regime rate. However, it is anticipated that there will be a number of applications ongoing at the point of transition. For these applications, the MMO will honour the existing band cap and hourly rate</w:t>
      </w:r>
    </w:p>
    <w:p w14:paraId="3B12F22C" w14:textId="45154BA4" w:rsidR="1DB3026B" w:rsidRPr="0019171C" w:rsidRDefault="1DB3026B" w:rsidP="00054E4A">
      <w:pPr>
        <w:pStyle w:val="ListParagraph"/>
        <w:numPr>
          <w:ilvl w:val="0"/>
          <w:numId w:val="33"/>
        </w:numPr>
        <w:spacing w:after="160"/>
        <w:rPr>
          <w:rFonts w:cs="Arial"/>
          <w:color w:val="000000" w:themeColor="text1"/>
          <w:szCs w:val="24"/>
        </w:rPr>
      </w:pPr>
      <w:r w:rsidRPr="0019171C">
        <w:rPr>
          <w:rFonts w:cs="Arial"/>
          <w:b/>
          <w:bCs/>
          <w:color w:val="000000" w:themeColor="text1"/>
          <w:szCs w:val="24"/>
        </w:rPr>
        <w:t>Band 3 and hourly rate</w:t>
      </w:r>
      <w:r w:rsidRPr="0019171C">
        <w:rPr>
          <w:rFonts w:cs="Arial"/>
          <w:color w:val="000000" w:themeColor="text1"/>
          <w:szCs w:val="24"/>
        </w:rPr>
        <w:t xml:space="preserve"> will be charged at the revised fee rate of £1</w:t>
      </w:r>
      <w:r w:rsidR="5C96A888" w:rsidRPr="0019171C">
        <w:rPr>
          <w:rFonts w:cs="Arial"/>
          <w:color w:val="000000" w:themeColor="text1"/>
          <w:szCs w:val="24"/>
        </w:rPr>
        <w:t>55</w:t>
      </w:r>
      <w:r w:rsidRPr="0019171C">
        <w:rPr>
          <w:rFonts w:cs="Arial"/>
          <w:color w:val="000000" w:themeColor="text1"/>
          <w:szCs w:val="24"/>
        </w:rPr>
        <w:t xml:space="preserve"> per hour for case-officer hours worked on or after the implementation date, irrespective of when the application is received. This will include travel time associated with all licen</w:t>
      </w:r>
      <w:r w:rsidR="00740BAC">
        <w:rPr>
          <w:rFonts w:cs="Arial"/>
          <w:color w:val="000000" w:themeColor="text1"/>
          <w:szCs w:val="24"/>
        </w:rPr>
        <w:t>c</w:t>
      </w:r>
      <w:r w:rsidRPr="0019171C">
        <w:rPr>
          <w:rFonts w:cs="Arial"/>
          <w:color w:val="000000" w:themeColor="text1"/>
          <w:szCs w:val="24"/>
        </w:rPr>
        <w:t>e activity</w:t>
      </w:r>
    </w:p>
    <w:p w14:paraId="408C8BA4" w14:textId="63192FCD" w:rsidR="1DB3026B" w:rsidRDefault="1DB3026B" w:rsidP="00054E4A">
      <w:pPr>
        <w:spacing w:after="200"/>
        <w:rPr>
          <w:rFonts w:cs="Arial"/>
          <w:color w:val="000000" w:themeColor="text1"/>
          <w:sz w:val="22"/>
        </w:rPr>
      </w:pPr>
      <w:r w:rsidRPr="00F14AAB">
        <w:rPr>
          <w:rFonts w:cs="Arial"/>
          <w:b/>
          <w:bCs/>
          <w:color w:val="000000" w:themeColor="text1"/>
          <w:szCs w:val="24"/>
        </w:rPr>
        <w:t xml:space="preserve">Marine </w:t>
      </w:r>
      <w:r w:rsidR="001C576F">
        <w:rPr>
          <w:rFonts w:cs="Arial"/>
          <w:b/>
          <w:bCs/>
          <w:color w:val="000000" w:themeColor="text1"/>
          <w:szCs w:val="24"/>
        </w:rPr>
        <w:t>l</w:t>
      </w:r>
      <w:r w:rsidRPr="00F14AAB">
        <w:rPr>
          <w:rFonts w:cs="Arial"/>
          <w:b/>
          <w:bCs/>
          <w:color w:val="000000" w:themeColor="text1"/>
          <w:szCs w:val="24"/>
        </w:rPr>
        <w:t xml:space="preserve">icence </w:t>
      </w:r>
      <w:r w:rsidR="001C576F">
        <w:rPr>
          <w:rFonts w:cs="Arial"/>
          <w:b/>
          <w:bCs/>
          <w:color w:val="000000" w:themeColor="text1"/>
          <w:szCs w:val="24"/>
        </w:rPr>
        <w:t>v</w:t>
      </w:r>
      <w:r w:rsidRPr="00F14AAB">
        <w:rPr>
          <w:rFonts w:cs="Arial"/>
          <w:b/>
          <w:bCs/>
          <w:color w:val="000000" w:themeColor="text1"/>
          <w:szCs w:val="24"/>
        </w:rPr>
        <w:t>ariations:</w:t>
      </w:r>
    </w:p>
    <w:p w14:paraId="15166648" w14:textId="77538189" w:rsidR="1DB3026B" w:rsidRPr="0019171C" w:rsidRDefault="1DB3026B" w:rsidP="00054E4A">
      <w:pPr>
        <w:pStyle w:val="ListParagraph"/>
        <w:numPr>
          <w:ilvl w:val="0"/>
          <w:numId w:val="34"/>
        </w:numPr>
        <w:spacing w:after="200"/>
        <w:rPr>
          <w:rFonts w:cs="Arial"/>
          <w:color w:val="000000" w:themeColor="text1"/>
          <w:sz w:val="22"/>
        </w:rPr>
      </w:pPr>
      <w:r w:rsidRPr="0019171C">
        <w:rPr>
          <w:rFonts w:cs="Arial"/>
          <w:b/>
          <w:bCs/>
          <w:color w:val="000000" w:themeColor="text1"/>
          <w:szCs w:val="24"/>
        </w:rPr>
        <w:t>V1</w:t>
      </w:r>
      <w:r w:rsidRPr="0019171C">
        <w:rPr>
          <w:rFonts w:cs="Arial"/>
          <w:color w:val="000000" w:themeColor="text1"/>
          <w:szCs w:val="24"/>
        </w:rPr>
        <w:t xml:space="preserve"> – applications received from the implementation date will be charged at the new regime rate. However, it is anticipated there will be a number of applications ongoing at the point of transition. For these applications the MMO will honour the existing band cap and hourly rate</w:t>
      </w:r>
    </w:p>
    <w:p w14:paraId="5374AB0D" w14:textId="21B87807" w:rsidR="1DB3026B" w:rsidRPr="0019171C" w:rsidRDefault="1DB3026B" w:rsidP="00054E4A">
      <w:pPr>
        <w:pStyle w:val="ListParagraph"/>
        <w:numPr>
          <w:ilvl w:val="0"/>
          <w:numId w:val="34"/>
        </w:numPr>
        <w:spacing w:after="200"/>
        <w:rPr>
          <w:rFonts w:cs="Arial"/>
          <w:color w:val="000000" w:themeColor="text1"/>
          <w:sz w:val="22"/>
        </w:rPr>
      </w:pPr>
      <w:r w:rsidRPr="0019171C">
        <w:rPr>
          <w:rFonts w:cs="Arial"/>
          <w:b/>
          <w:bCs/>
          <w:color w:val="000000" w:themeColor="text1"/>
          <w:szCs w:val="24"/>
        </w:rPr>
        <w:t>V2</w:t>
      </w:r>
      <w:r w:rsidRPr="0019171C">
        <w:rPr>
          <w:rFonts w:cs="Arial"/>
          <w:color w:val="000000" w:themeColor="text1"/>
          <w:szCs w:val="24"/>
        </w:rPr>
        <w:t xml:space="preserve"> – applications received from the implementation date will be charged at the new regime rate. However, it is anticipated there will be a number of applications ongoing at the point of transition. For these applications the MMO will honour the existing band cap and hourly rate</w:t>
      </w:r>
    </w:p>
    <w:p w14:paraId="23C5CE39" w14:textId="0697F0C1" w:rsidR="1DB3026B" w:rsidRPr="0019171C" w:rsidRDefault="1DB3026B" w:rsidP="00054E4A">
      <w:pPr>
        <w:pStyle w:val="ListParagraph"/>
        <w:numPr>
          <w:ilvl w:val="0"/>
          <w:numId w:val="34"/>
        </w:numPr>
        <w:spacing w:after="200"/>
        <w:rPr>
          <w:rFonts w:cs="Arial"/>
          <w:color w:val="000000" w:themeColor="text1"/>
          <w:sz w:val="22"/>
        </w:rPr>
      </w:pPr>
      <w:r w:rsidRPr="0019171C">
        <w:rPr>
          <w:rFonts w:cs="Arial"/>
          <w:b/>
          <w:bCs/>
          <w:color w:val="000000" w:themeColor="text1"/>
          <w:szCs w:val="24"/>
        </w:rPr>
        <w:t>V3 hourly</w:t>
      </w:r>
      <w:r w:rsidRPr="0019171C">
        <w:rPr>
          <w:rFonts w:cs="Arial"/>
          <w:color w:val="000000" w:themeColor="text1"/>
          <w:szCs w:val="24"/>
        </w:rPr>
        <w:t xml:space="preserve"> will be charged at the revised fee rate of £1</w:t>
      </w:r>
      <w:r w:rsidR="0FD0336E" w:rsidRPr="0019171C">
        <w:rPr>
          <w:rFonts w:cs="Arial"/>
          <w:color w:val="000000" w:themeColor="text1"/>
          <w:szCs w:val="24"/>
        </w:rPr>
        <w:t>55</w:t>
      </w:r>
      <w:r w:rsidRPr="0019171C">
        <w:rPr>
          <w:rFonts w:cs="Arial"/>
          <w:color w:val="000000" w:themeColor="text1"/>
          <w:szCs w:val="24"/>
        </w:rPr>
        <w:t xml:space="preserve"> per hour for case officer hours worked on or after the implementation date, irrespective of when the application is received. This will include travel time associated with all licen</w:t>
      </w:r>
      <w:r w:rsidR="001E1775">
        <w:rPr>
          <w:rFonts w:cs="Arial"/>
          <w:color w:val="000000" w:themeColor="text1"/>
          <w:szCs w:val="24"/>
        </w:rPr>
        <w:t>c</w:t>
      </w:r>
      <w:r w:rsidRPr="0019171C">
        <w:rPr>
          <w:rFonts w:cs="Arial"/>
          <w:color w:val="000000" w:themeColor="text1"/>
          <w:szCs w:val="24"/>
        </w:rPr>
        <w:t>e activity</w:t>
      </w:r>
    </w:p>
    <w:p w14:paraId="39EABE7F" w14:textId="1068F274" w:rsidR="1DB3026B" w:rsidRDefault="1DB3026B" w:rsidP="00054E4A">
      <w:pPr>
        <w:spacing w:after="200"/>
        <w:rPr>
          <w:rFonts w:cs="Arial"/>
          <w:color w:val="000000" w:themeColor="text1"/>
          <w:sz w:val="22"/>
        </w:rPr>
      </w:pPr>
      <w:r w:rsidRPr="00F14AAB">
        <w:rPr>
          <w:rFonts w:cs="Arial"/>
          <w:b/>
          <w:bCs/>
          <w:color w:val="000000" w:themeColor="text1"/>
          <w:szCs w:val="24"/>
        </w:rPr>
        <w:t>Post consent monitoring and inspections:</w:t>
      </w:r>
    </w:p>
    <w:p w14:paraId="3D938A16" w14:textId="4AF98FEB" w:rsidR="00F171B4" w:rsidRPr="005D6BD7" w:rsidRDefault="1DB3026B" w:rsidP="00054E4A">
      <w:pPr>
        <w:pStyle w:val="ListParagraph"/>
        <w:numPr>
          <w:ilvl w:val="0"/>
          <w:numId w:val="36"/>
        </w:numPr>
        <w:spacing w:after="200"/>
        <w:rPr>
          <w:rFonts w:cs="Arial"/>
          <w:color w:val="000000" w:themeColor="text1"/>
          <w:szCs w:val="24"/>
        </w:rPr>
      </w:pPr>
      <w:r w:rsidRPr="005D6BD7">
        <w:rPr>
          <w:rFonts w:cs="Arial"/>
          <w:color w:val="000000" w:themeColor="text1"/>
          <w:szCs w:val="24"/>
        </w:rPr>
        <w:t>Post consent monitoring and inspections will move to the new hourly rate of £1</w:t>
      </w:r>
      <w:r w:rsidR="2CA7EA75" w:rsidRPr="005D6BD7">
        <w:rPr>
          <w:rFonts w:cs="Arial"/>
          <w:color w:val="000000" w:themeColor="text1"/>
          <w:szCs w:val="24"/>
        </w:rPr>
        <w:t>55</w:t>
      </w:r>
      <w:r w:rsidRPr="005D6BD7">
        <w:rPr>
          <w:rFonts w:cs="Arial"/>
          <w:color w:val="000000" w:themeColor="text1"/>
          <w:szCs w:val="24"/>
        </w:rPr>
        <w:t xml:space="preserve"> from the implementation date</w:t>
      </w:r>
    </w:p>
    <w:p w14:paraId="1353E2DD" w14:textId="2C3D7FCF" w:rsidR="1DB3026B" w:rsidRDefault="1DB3026B" w:rsidP="00054E4A">
      <w:pPr>
        <w:spacing w:after="200"/>
        <w:rPr>
          <w:rFonts w:cs="Arial"/>
          <w:color w:val="000000" w:themeColor="text1"/>
          <w:sz w:val="22"/>
        </w:rPr>
      </w:pPr>
      <w:r w:rsidRPr="00F14AAB">
        <w:rPr>
          <w:rFonts w:cs="Arial"/>
          <w:b/>
          <w:bCs/>
          <w:color w:val="000000" w:themeColor="text1"/>
          <w:szCs w:val="24"/>
        </w:rPr>
        <w:t>Dredge and disposal levy:</w:t>
      </w:r>
    </w:p>
    <w:p w14:paraId="2634AA88" w14:textId="49E2CCFA" w:rsidR="1DB3026B" w:rsidRPr="005D6BD7" w:rsidRDefault="1DB3026B" w:rsidP="00054E4A">
      <w:pPr>
        <w:pStyle w:val="ListParagraph"/>
        <w:numPr>
          <w:ilvl w:val="0"/>
          <w:numId w:val="35"/>
        </w:numPr>
        <w:spacing w:after="200"/>
        <w:rPr>
          <w:rFonts w:cs="Arial"/>
          <w:color w:val="000000" w:themeColor="text1"/>
          <w:sz w:val="22"/>
        </w:rPr>
      </w:pPr>
      <w:r w:rsidRPr="00615604">
        <w:rPr>
          <w:rFonts w:cs="Arial"/>
          <w:color w:val="000000" w:themeColor="text1"/>
          <w:szCs w:val="24"/>
        </w:rPr>
        <w:t>Returns are based on calendar year, so the MMO will implement the new fees from 1</w:t>
      </w:r>
      <w:r w:rsidRPr="00615604">
        <w:rPr>
          <w:rFonts w:cs="Arial"/>
          <w:color w:val="000000" w:themeColor="text1"/>
          <w:szCs w:val="24"/>
          <w:vertAlign w:val="superscript"/>
        </w:rPr>
        <w:t>st</w:t>
      </w:r>
      <w:r w:rsidRPr="00615604">
        <w:rPr>
          <w:rFonts w:cs="Arial"/>
          <w:color w:val="000000" w:themeColor="text1"/>
          <w:szCs w:val="24"/>
        </w:rPr>
        <w:t xml:space="preserve"> January 202</w:t>
      </w:r>
      <w:r w:rsidR="007924EE">
        <w:rPr>
          <w:rFonts w:cs="Arial"/>
          <w:color w:val="000000" w:themeColor="text1"/>
          <w:szCs w:val="24"/>
        </w:rPr>
        <w:t>7</w:t>
      </w:r>
      <w:r w:rsidRPr="00615604">
        <w:rPr>
          <w:rFonts w:cs="Arial"/>
          <w:color w:val="000000" w:themeColor="text1"/>
          <w:szCs w:val="24"/>
        </w:rPr>
        <w:t>. All deposits reported for 202</w:t>
      </w:r>
      <w:r w:rsidR="007924EE">
        <w:rPr>
          <w:rFonts w:cs="Arial"/>
          <w:color w:val="000000" w:themeColor="text1"/>
          <w:szCs w:val="24"/>
        </w:rPr>
        <w:t>7</w:t>
      </w:r>
      <w:r w:rsidR="00112B40" w:rsidRPr="00112B40">
        <w:t xml:space="preserve"> </w:t>
      </w:r>
      <w:r w:rsidR="00112B40" w:rsidRPr="00615604">
        <w:rPr>
          <w:rFonts w:cs="Arial"/>
          <w:color w:val="000000" w:themeColor="text1"/>
          <w:szCs w:val="24"/>
        </w:rPr>
        <w:t>onwards (and reported from 202</w:t>
      </w:r>
      <w:r w:rsidR="007924EE">
        <w:rPr>
          <w:rFonts w:cs="Arial"/>
          <w:color w:val="000000" w:themeColor="text1"/>
          <w:szCs w:val="24"/>
        </w:rPr>
        <w:t>8</w:t>
      </w:r>
      <w:r w:rsidR="00112B40" w:rsidRPr="00615604">
        <w:rPr>
          <w:rFonts w:cs="Arial"/>
          <w:color w:val="000000" w:themeColor="text1"/>
          <w:szCs w:val="24"/>
        </w:rPr>
        <w:t>)</w:t>
      </w:r>
      <w:r w:rsidRPr="00615604">
        <w:rPr>
          <w:rFonts w:cs="Arial"/>
          <w:color w:val="000000" w:themeColor="text1"/>
          <w:szCs w:val="24"/>
        </w:rPr>
        <w:t xml:space="preserve"> will be invoiced at 3p per tonne with no cap. This will </w:t>
      </w:r>
      <w:r w:rsidR="004D106F">
        <w:rPr>
          <w:rFonts w:cs="Arial"/>
          <w:color w:val="000000" w:themeColor="text1"/>
          <w:szCs w:val="24"/>
        </w:rPr>
        <w:t>give</w:t>
      </w:r>
      <w:r w:rsidR="004D106F" w:rsidRPr="00615604">
        <w:rPr>
          <w:rFonts w:cs="Arial"/>
          <w:color w:val="000000" w:themeColor="text1"/>
          <w:szCs w:val="24"/>
        </w:rPr>
        <w:t xml:space="preserve"> </w:t>
      </w:r>
      <w:r w:rsidRPr="00615604">
        <w:rPr>
          <w:rFonts w:cs="Arial"/>
          <w:color w:val="000000" w:themeColor="text1"/>
          <w:szCs w:val="24"/>
        </w:rPr>
        <w:t>business</w:t>
      </w:r>
      <w:r w:rsidR="004D106F">
        <w:rPr>
          <w:rFonts w:cs="Arial"/>
          <w:color w:val="000000" w:themeColor="text1"/>
          <w:szCs w:val="24"/>
        </w:rPr>
        <w:t>es</w:t>
      </w:r>
      <w:r w:rsidRPr="00615604">
        <w:rPr>
          <w:rFonts w:cs="Arial"/>
          <w:color w:val="000000" w:themeColor="text1"/>
          <w:szCs w:val="24"/>
        </w:rPr>
        <w:t xml:space="preserve"> an opportunity to prepare for the new arrangements.</w:t>
      </w:r>
    </w:p>
    <w:p w14:paraId="6A9EFB69" w14:textId="77777777" w:rsidR="005D6BD7" w:rsidRDefault="005D6BD7" w:rsidP="005D6BD7">
      <w:pPr>
        <w:spacing w:after="200" w:line="259" w:lineRule="auto"/>
        <w:rPr>
          <w:rFonts w:cs="Arial"/>
          <w:color w:val="000000" w:themeColor="text1"/>
          <w:sz w:val="22"/>
        </w:rPr>
      </w:pPr>
    </w:p>
    <w:p w14:paraId="145313A3" w14:textId="77777777" w:rsidR="005D6BD7" w:rsidRDefault="005D6BD7" w:rsidP="005D6BD7">
      <w:pPr>
        <w:spacing w:after="200" w:line="259" w:lineRule="auto"/>
        <w:rPr>
          <w:rFonts w:cs="Arial"/>
          <w:color w:val="000000" w:themeColor="text1"/>
          <w:sz w:val="22"/>
        </w:rPr>
      </w:pPr>
    </w:p>
    <w:p w14:paraId="1A8599B7" w14:textId="77777777" w:rsidR="005D6BD7" w:rsidRDefault="005D6BD7" w:rsidP="005D6BD7">
      <w:pPr>
        <w:spacing w:after="200" w:line="259" w:lineRule="auto"/>
        <w:rPr>
          <w:rFonts w:cs="Arial"/>
          <w:color w:val="000000" w:themeColor="text1"/>
          <w:sz w:val="22"/>
        </w:rPr>
      </w:pPr>
    </w:p>
    <w:p w14:paraId="4C4A038E" w14:textId="77777777" w:rsidR="005D6BD7" w:rsidRDefault="005D6BD7" w:rsidP="005D6BD7">
      <w:pPr>
        <w:spacing w:after="200" w:line="259" w:lineRule="auto"/>
        <w:rPr>
          <w:rFonts w:cs="Arial"/>
          <w:color w:val="000000" w:themeColor="text1"/>
          <w:sz w:val="22"/>
        </w:rPr>
      </w:pPr>
    </w:p>
    <w:p w14:paraId="1812D284" w14:textId="77777777" w:rsidR="005D6BD7" w:rsidRDefault="005D6BD7" w:rsidP="005D6BD7">
      <w:pPr>
        <w:spacing w:after="200" w:line="259" w:lineRule="auto"/>
        <w:rPr>
          <w:rFonts w:cs="Arial"/>
          <w:color w:val="000000" w:themeColor="text1"/>
          <w:sz w:val="22"/>
        </w:rPr>
      </w:pPr>
    </w:p>
    <w:p w14:paraId="1A244703" w14:textId="77777777" w:rsidR="005D6BD7" w:rsidRPr="005D6BD7" w:rsidRDefault="005D6BD7" w:rsidP="005D6BD7">
      <w:pPr>
        <w:spacing w:after="200" w:line="259" w:lineRule="auto"/>
        <w:rPr>
          <w:rFonts w:cs="Arial"/>
          <w:color w:val="000000" w:themeColor="text1"/>
          <w:sz w:val="22"/>
        </w:rPr>
      </w:pPr>
    </w:p>
    <w:p w14:paraId="5BFFE1A3" w14:textId="15830EF4" w:rsidR="1DB3026B" w:rsidRDefault="00CE57A8" w:rsidP="03A9AB0A">
      <w:pPr>
        <w:pBdr>
          <w:top w:val="single" w:sz="4" w:space="1" w:color="000000"/>
          <w:left w:val="single" w:sz="4" w:space="4" w:color="000000"/>
          <w:bottom w:val="single" w:sz="4" w:space="1" w:color="000000"/>
          <w:right w:val="single" w:sz="4" w:space="4" w:color="000000"/>
        </w:pBdr>
        <w:spacing w:before="0" w:after="0" w:line="240" w:lineRule="auto"/>
        <w:jc w:val="both"/>
        <w:rPr>
          <w:rFonts w:cs="Arial"/>
          <w:b/>
          <w:bCs/>
        </w:rPr>
      </w:pPr>
      <w:r>
        <w:rPr>
          <w:rFonts w:cs="Arial"/>
          <w:b/>
          <w:bCs/>
        </w:rPr>
        <w:lastRenderedPageBreak/>
        <w:t>19</w:t>
      </w:r>
      <w:r w:rsidR="00BC127C">
        <w:rPr>
          <w:rFonts w:cs="Arial"/>
          <w:b/>
          <w:bCs/>
        </w:rPr>
        <w:t>a</w:t>
      </w:r>
      <w:r w:rsidR="510E44D7" w:rsidRPr="03A9AB0A">
        <w:rPr>
          <w:rFonts w:cs="Arial"/>
          <w:b/>
          <w:bCs/>
        </w:rPr>
        <w:t xml:space="preserve">. </w:t>
      </w:r>
      <w:r w:rsidR="1DB3026B" w:rsidRPr="03A9AB0A">
        <w:rPr>
          <w:rFonts w:cs="Arial"/>
          <w:b/>
          <w:bCs/>
        </w:rPr>
        <w:t xml:space="preserve">Do you have any comments on the proposed transitional arrangements for </w:t>
      </w:r>
      <w:r w:rsidR="00E829FC">
        <w:rPr>
          <w:rFonts w:cs="Arial"/>
          <w:b/>
          <w:bCs/>
        </w:rPr>
        <w:t xml:space="preserve">Band 2 </w:t>
      </w:r>
      <w:r w:rsidR="1DB3026B" w:rsidRPr="03A9AB0A">
        <w:rPr>
          <w:rFonts w:cs="Arial"/>
          <w:b/>
          <w:bCs/>
        </w:rPr>
        <w:t>marine licence applications?</w:t>
      </w:r>
    </w:p>
    <w:p w14:paraId="403C194C" w14:textId="77777777" w:rsidR="00D14F99" w:rsidRDefault="00D14F99" w:rsidP="03A9AB0A">
      <w:pPr>
        <w:pBdr>
          <w:top w:val="single" w:sz="4" w:space="1" w:color="000000"/>
          <w:left w:val="single" w:sz="4" w:space="4" w:color="000000"/>
          <w:bottom w:val="single" w:sz="4" w:space="1" w:color="000000"/>
          <w:right w:val="single" w:sz="4" w:space="4" w:color="000000"/>
        </w:pBdr>
        <w:spacing w:before="0" w:after="0" w:line="240" w:lineRule="auto"/>
        <w:jc w:val="both"/>
        <w:rPr>
          <w:rFonts w:cs="Arial"/>
          <w:b/>
          <w:bCs/>
        </w:rPr>
      </w:pPr>
    </w:p>
    <w:p w14:paraId="6729BD95" w14:textId="6F873CBD" w:rsidR="00D14F99" w:rsidRDefault="00CE57A8" w:rsidP="03A9AB0A">
      <w:pPr>
        <w:pBdr>
          <w:top w:val="single" w:sz="4" w:space="1" w:color="000000"/>
          <w:left w:val="single" w:sz="4" w:space="4" w:color="000000"/>
          <w:bottom w:val="single" w:sz="4" w:space="1" w:color="000000"/>
          <w:right w:val="single" w:sz="4" w:space="4" w:color="000000"/>
        </w:pBdr>
        <w:spacing w:before="0" w:after="0" w:line="240" w:lineRule="auto"/>
        <w:jc w:val="both"/>
        <w:rPr>
          <w:rFonts w:cs="Arial"/>
          <w:b/>
          <w:bCs/>
        </w:rPr>
      </w:pPr>
      <w:r>
        <w:rPr>
          <w:rFonts w:cs="Arial"/>
          <w:b/>
          <w:bCs/>
        </w:rPr>
        <w:t>19</w:t>
      </w:r>
      <w:r w:rsidR="00D14F99">
        <w:rPr>
          <w:rFonts w:cs="Arial"/>
          <w:b/>
          <w:bCs/>
        </w:rPr>
        <w:t>b</w:t>
      </w:r>
      <w:r w:rsidR="0079075F">
        <w:rPr>
          <w:rFonts w:cs="Arial"/>
          <w:b/>
          <w:bCs/>
        </w:rPr>
        <w:t xml:space="preserve">. </w:t>
      </w:r>
      <w:r w:rsidR="0079075F" w:rsidRPr="03A9AB0A">
        <w:rPr>
          <w:rFonts w:cs="Arial"/>
          <w:b/>
          <w:bCs/>
        </w:rPr>
        <w:t xml:space="preserve">Do you have any comments on the proposed transitional arrangements for </w:t>
      </w:r>
      <w:r w:rsidR="0079075F">
        <w:rPr>
          <w:rFonts w:cs="Arial"/>
          <w:b/>
          <w:bCs/>
        </w:rPr>
        <w:t xml:space="preserve">Band </w:t>
      </w:r>
      <w:r w:rsidR="007B0647">
        <w:rPr>
          <w:rFonts w:cs="Arial"/>
          <w:b/>
          <w:bCs/>
        </w:rPr>
        <w:t>3</w:t>
      </w:r>
      <w:r w:rsidR="0079075F">
        <w:rPr>
          <w:rFonts w:cs="Arial"/>
          <w:b/>
          <w:bCs/>
        </w:rPr>
        <w:t xml:space="preserve"> </w:t>
      </w:r>
      <w:r w:rsidR="0079075F" w:rsidRPr="03A9AB0A">
        <w:rPr>
          <w:rFonts w:cs="Arial"/>
          <w:b/>
          <w:bCs/>
        </w:rPr>
        <w:t>marine licence applications?</w:t>
      </w:r>
    </w:p>
    <w:p w14:paraId="43B45EA5" w14:textId="77777777" w:rsidR="00A83DF1" w:rsidRDefault="00A83DF1" w:rsidP="03A9AB0A">
      <w:pPr>
        <w:pBdr>
          <w:top w:val="single" w:sz="4" w:space="1" w:color="000000"/>
          <w:left w:val="single" w:sz="4" w:space="4" w:color="000000"/>
          <w:bottom w:val="single" w:sz="4" w:space="1" w:color="000000"/>
          <w:right w:val="single" w:sz="4" w:space="4" w:color="000000"/>
        </w:pBdr>
        <w:spacing w:before="0" w:after="0" w:line="240" w:lineRule="auto"/>
        <w:jc w:val="both"/>
        <w:rPr>
          <w:rFonts w:cs="Arial"/>
          <w:b/>
          <w:bCs/>
        </w:rPr>
      </w:pPr>
    </w:p>
    <w:p w14:paraId="22D48C42" w14:textId="70EF21D9" w:rsidR="00A83DF1" w:rsidRDefault="00CE57A8" w:rsidP="03A9AB0A">
      <w:pPr>
        <w:pBdr>
          <w:top w:val="single" w:sz="4" w:space="1" w:color="000000"/>
          <w:left w:val="single" w:sz="4" w:space="4" w:color="000000"/>
          <w:bottom w:val="single" w:sz="4" w:space="1" w:color="000000"/>
          <w:right w:val="single" w:sz="4" w:space="4" w:color="000000"/>
        </w:pBdr>
        <w:spacing w:before="0" w:after="0" w:line="240" w:lineRule="auto"/>
        <w:jc w:val="both"/>
        <w:rPr>
          <w:rFonts w:cs="Arial"/>
          <w:b/>
          <w:bCs/>
        </w:rPr>
      </w:pPr>
      <w:r>
        <w:rPr>
          <w:rFonts w:cs="Arial"/>
          <w:b/>
          <w:bCs/>
        </w:rPr>
        <w:t>19</w:t>
      </w:r>
      <w:r w:rsidR="007B0647">
        <w:rPr>
          <w:rFonts w:cs="Arial"/>
          <w:b/>
          <w:bCs/>
        </w:rPr>
        <w:t>c</w:t>
      </w:r>
      <w:r w:rsidR="00A83DF1">
        <w:rPr>
          <w:rFonts w:cs="Arial"/>
          <w:b/>
          <w:bCs/>
        </w:rPr>
        <w:t>.</w:t>
      </w:r>
      <w:r w:rsidR="006A542E" w:rsidRPr="006A542E">
        <w:rPr>
          <w:rFonts w:cs="Arial"/>
          <w:b/>
          <w:bCs/>
        </w:rPr>
        <w:t xml:space="preserve"> </w:t>
      </w:r>
      <w:r w:rsidR="006A542E" w:rsidRPr="03A9AB0A">
        <w:rPr>
          <w:rFonts w:cs="Arial"/>
          <w:b/>
          <w:bCs/>
        </w:rPr>
        <w:t xml:space="preserve">Do you have any comments on the proposed transitional arrangements for </w:t>
      </w:r>
      <w:r w:rsidR="006A542E">
        <w:rPr>
          <w:rFonts w:cs="Arial"/>
          <w:b/>
          <w:bCs/>
        </w:rPr>
        <w:t xml:space="preserve">Band </w:t>
      </w:r>
      <w:r w:rsidR="00CC0EAF">
        <w:rPr>
          <w:rFonts w:cs="Arial"/>
          <w:b/>
          <w:bCs/>
        </w:rPr>
        <w:t>V1</w:t>
      </w:r>
      <w:r w:rsidR="006A542E">
        <w:rPr>
          <w:rFonts w:cs="Arial"/>
          <w:b/>
          <w:bCs/>
        </w:rPr>
        <w:t xml:space="preserve"> </w:t>
      </w:r>
      <w:r w:rsidR="006A542E" w:rsidRPr="03A9AB0A">
        <w:rPr>
          <w:rFonts w:cs="Arial"/>
          <w:b/>
          <w:bCs/>
        </w:rPr>
        <w:t xml:space="preserve">marine licence </w:t>
      </w:r>
      <w:r w:rsidR="006B7C5D">
        <w:rPr>
          <w:rFonts w:cs="Arial"/>
          <w:b/>
          <w:bCs/>
        </w:rPr>
        <w:t>variations</w:t>
      </w:r>
      <w:r w:rsidR="00CB06D4">
        <w:rPr>
          <w:rFonts w:cs="Arial"/>
          <w:b/>
          <w:bCs/>
        </w:rPr>
        <w:t>?</w:t>
      </w:r>
    </w:p>
    <w:p w14:paraId="7C64826D" w14:textId="77777777" w:rsidR="00A83DF1" w:rsidRDefault="00A83DF1" w:rsidP="03A9AB0A">
      <w:pPr>
        <w:pBdr>
          <w:top w:val="single" w:sz="4" w:space="1" w:color="000000"/>
          <w:left w:val="single" w:sz="4" w:space="4" w:color="000000"/>
          <w:bottom w:val="single" w:sz="4" w:space="1" w:color="000000"/>
          <w:right w:val="single" w:sz="4" w:space="4" w:color="000000"/>
        </w:pBdr>
        <w:spacing w:before="0" w:after="0" w:line="240" w:lineRule="auto"/>
        <w:jc w:val="both"/>
        <w:rPr>
          <w:rFonts w:cs="Arial"/>
          <w:b/>
          <w:bCs/>
        </w:rPr>
      </w:pPr>
    </w:p>
    <w:p w14:paraId="3934C683" w14:textId="20752858" w:rsidR="00A83DF1" w:rsidRDefault="00CE57A8" w:rsidP="03A9AB0A">
      <w:pPr>
        <w:pBdr>
          <w:top w:val="single" w:sz="4" w:space="1" w:color="000000"/>
          <w:left w:val="single" w:sz="4" w:space="4" w:color="000000"/>
          <w:bottom w:val="single" w:sz="4" w:space="1" w:color="000000"/>
          <w:right w:val="single" w:sz="4" w:space="4" w:color="000000"/>
        </w:pBdr>
        <w:spacing w:before="0" w:after="0" w:line="240" w:lineRule="auto"/>
        <w:jc w:val="both"/>
        <w:rPr>
          <w:rFonts w:cs="Arial"/>
          <w:b/>
          <w:bCs/>
        </w:rPr>
      </w:pPr>
      <w:r>
        <w:rPr>
          <w:rFonts w:cs="Arial"/>
          <w:b/>
          <w:bCs/>
        </w:rPr>
        <w:t>19</w:t>
      </w:r>
      <w:r w:rsidR="007B0647">
        <w:rPr>
          <w:rFonts w:cs="Arial"/>
          <w:b/>
          <w:bCs/>
        </w:rPr>
        <w:t>d</w:t>
      </w:r>
      <w:r w:rsidR="00A83DF1">
        <w:rPr>
          <w:rFonts w:cs="Arial"/>
          <w:b/>
          <w:bCs/>
        </w:rPr>
        <w:t>.</w:t>
      </w:r>
      <w:r w:rsidR="006A542E" w:rsidRPr="006A542E">
        <w:rPr>
          <w:rFonts w:cs="Arial"/>
          <w:b/>
          <w:bCs/>
        </w:rPr>
        <w:t xml:space="preserve"> </w:t>
      </w:r>
      <w:r w:rsidR="006B7C5D" w:rsidRPr="03A9AB0A">
        <w:rPr>
          <w:rFonts w:cs="Arial"/>
          <w:b/>
          <w:bCs/>
        </w:rPr>
        <w:t xml:space="preserve">Do you have any comments on the proposed transitional arrangements for </w:t>
      </w:r>
      <w:r w:rsidR="006B7C5D">
        <w:rPr>
          <w:rFonts w:cs="Arial"/>
          <w:b/>
          <w:bCs/>
        </w:rPr>
        <w:t xml:space="preserve">Band V2 </w:t>
      </w:r>
      <w:r w:rsidR="006B7C5D" w:rsidRPr="03A9AB0A">
        <w:rPr>
          <w:rFonts w:cs="Arial"/>
          <w:b/>
          <w:bCs/>
        </w:rPr>
        <w:t xml:space="preserve">marine licence </w:t>
      </w:r>
      <w:r w:rsidR="006B7C5D">
        <w:rPr>
          <w:rFonts w:cs="Arial"/>
          <w:b/>
          <w:bCs/>
        </w:rPr>
        <w:t>variations?</w:t>
      </w:r>
    </w:p>
    <w:p w14:paraId="06E69461" w14:textId="77777777" w:rsidR="00A83DF1" w:rsidRDefault="00A83DF1" w:rsidP="03A9AB0A">
      <w:pPr>
        <w:pBdr>
          <w:top w:val="single" w:sz="4" w:space="1" w:color="000000"/>
          <w:left w:val="single" w:sz="4" w:space="4" w:color="000000"/>
          <w:bottom w:val="single" w:sz="4" w:space="1" w:color="000000"/>
          <w:right w:val="single" w:sz="4" w:space="4" w:color="000000"/>
        </w:pBdr>
        <w:spacing w:before="0" w:after="0" w:line="240" w:lineRule="auto"/>
        <w:jc w:val="both"/>
        <w:rPr>
          <w:rFonts w:cs="Arial"/>
          <w:b/>
          <w:bCs/>
        </w:rPr>
      </w:pPr>
    </w:p>
    <w:p w14:paraId="0EA6D036" w14:textId="53C0A088" w:rsidR="00A83DF1" w:rsidRDefault="00303DBC" w:rsidP="03A9AB0A">
      <w:pPr>
        <w:pBdr>
          <w:top w:val="single" w:sz="4" w:space="1" w:color="000000"/>
          <w:left w:val="single" w:sz="4" w:space="4" w:color="000000"/>
          <w:bottom w:val="single" w:sz="4" w:space="1" w:color="000000"/>
          <w:right w:val="single" w:sz="4" w:space="4" w:color="000000"/>
        </w:pBdr>
        <w:spacing w:before="0" w:after="0" w:line="240" w:lineRule="auto"/>
        <w:jc w:val="both"/>
        <w:rPr>
          <w:rFonts w:cs="Arial"/>
          <w:b/>
          <w:bCs/>
        </w:rPr>
      </w:pPr>
      <w:r>
        <w:rPr>
          <w:rFonts w:cs="Arial"/>
          <w:b/>
          <w:bCs/>
        </w:rPr>
        <w:t>19</w:t>
      </w:r>
      <w:r w:rsidR="007B0647">
        <w:rPr>
          <w:rFonts w:cs="Arial"/>
          <w:b/>
          <w:bCs/>
        </w:rPr>
        <w:t>e</w:t>
      </w:r>
      <w:r w:rsidR="00A83DF1">
        <w:rPr>
          <w:rFonts w:cs="Arial"/>
          <w:b/>
          <w:bCs/>
        </w:rPr>
        <w:t>.</w:t>
      </w:r>
      <w:r w:rsidR="006A542E" w:rsidRPr="006A542E">
        <w:rPr>
          <w:rFonts w:cs="Arial"/>
          <w:b/>
          <w:bCs/>
        </w:rPr>
        <w:t xml:space="preserve"> </w:t>
      </w:r>
      <w:r w:rsidR="006B7C5D" w:rsidRPr="03A9AB0A">
        <w:rPr>
          <w:rFonts w:cs="Arial"/>
          <w:b/>
          <w:bCs/>
        </w:rPr>
        <w:t xml:space="preserve">Do you have any comments on the proposed transitional arrangements for </w:t>
      </w:r>
      <w:r w:rsidR="006B7C5D">
        <w:rPr>
          <w:rFonts w:cs="Arial"/>
          <w:b/>
          <w:bCs/>
        </w:rPr>
        <w:t xml:space="preserve">Band V3 </w:t>
      </w:r>
      <w:r w:rsidR="006B7C5D" w:rsidRPr="03A9AB0A">
        <w:rPr>
          <w:rFonts w:cs="Arial"/>
          <w:b/>
          <w:bCs/>
        </w:rPr>
        <w:t xml:space="preserve">marine licence </w:t>
      </w:r>
      <w:r w:rsidR="006B7C5D">
        <w:rPr>
          <w:rFonts w:cs="Arial"/>
          <w:b/>
          <w:bCs/>
        </w:rPr>
        <w:t>variations?</w:t>
      </w:r>
    </w:p>
    <w:p w14:paraId="1D096F63" w14:textId="77777777" w:rsidR="00EC37FD" w:rsidRDefault="00EC37FD" w:rsidP="03A9AB0A">
      <w:pPr>
        <w:pBdr>
          <w:top w:val="single" w:sz="4" w:space="1" w:color="000000"/>
          <w:left w:val="single" w:sz="4" w:space="4" w:color="000000"/>
          <w:bottom w:val="single" w:sz="4" w:space="1" w:color="000000"/>
          <w:right w:val="single" w:sz="4" w:space="4" w:color="000000"/>
        </w:pBdr>
        <w:spacing w:before="0" w:after="0" w:line="240" w:lineRule="auto"/>
        <w:jc w:val="both"/>
        <w:rPr>
          <w:rFonts w:cs="Arial"/>
          <w:b/>
          <w:bCs/>
        </w:rPr>
      </w:pPr>
    </w:p>
    <w:p w14:paraId="1615D249" w14:textId="3699DC9C" w:rsidR="00EC37FD" w:rsidRDefault="00303DBC" w:rsidP="03A9AB0A">
      <w:pPr>
        <w:pBdr>
          <w:top w:val="single" w:sz="4" w:space="1" w:color="000000"/>
          <w:left w:val="single" w:sz="4" w:space="4" w:color="000000"/>
          <w:bottom w:val="single" w:sz="4" w:space="1" w:color="000000"/>
          <w:right w:val="single" w:sz="4" w:space="4" w:color="000000"/>
        </w:pBdr>
        <w:spacing w:before="0" w:after="0" w:line="240" w:lineRule="auto"/>
        <w:jc w:val="both"/>
        <w:rPr>
          <w:rFonts w:cs="Arial"/>
          <w:b/>
          <w:bCs/>
        </w:rPr>
      </w:pPr>
      <w:r>
        <w:rPr>
          <w:rFonts w:cs="Arial"/>
          <w:b/>
          <w:bCs/>
        </w:rPr>
        <w:t>19</w:t>
      </w:r>
      <w:r w:rsidR="007B0647">
        <w:rPr>
          <w:rFonts w:cs="Arial"/>
          <w:b/>
          <w:bCs/>
        </w:rPr>
        <w:t>f</w:t>
      </w:r>
      <w:r w:rsidR="00EC37FD">
        <w:rPr>
          <w:rFonts w:cs="Arial"/>
          <w:b/>
          <w:bCs/>
        </w:rPr>
        <w:t xml:space="preserve">. </w:t>
      </w:r>
      <w:r w:rsidR="00EC37FD" w:rsidRPr="03A9AB0A">
        <w:rPr>
          <w:rFonts w:cs="Arial"/>
          <w:b/>
          <w:bCs/>
        </w:rPr>
        <w:t xml:space="preserve">Do you have any comments on the proposed transitional arrangements for </w:t>
      </w:r>
      <w:r w:rsidR="00BB7FE9">
        <w:rPr>
          <w:rFonts w:cs="Arial"/>
          <w:b/>
          <w:bCs/>
        </w:rPr>
        <w:t>p</w:t>
      </w:r>
      <w:r w:rsidR="000F2518" w:rsidRPr="000F2518">
        <w:rPr>
          <w:rFonts w:cs="Arial"/>
          <w:b/>
          <w:bCs/>
        </w:rPr>
        <w:t>ost consent monitoring and inspections</w:t>
      </w:r>
      <w:r w:rsidR="00EC37FD">
        <w:rPr>
          <w:rFonts w:cs="Arial"/>
          <w:b/>
          <w:bCs/>
        </w:rPr>
        <w:t>?</w:t>
      </w:r>
    </w:p>
    <w:p w14:paraId="4C3F8DF1" w14:textId="77777777" w:rsidR="00BB7FE9" w:rsidRDefault="00BB7FE9" w:rsidP="03A9AB0A">
      <w:pPr>
        <w:pBdr>
          <w:top w:val="single" w:sz="4" w:space="1" w:color="000000"/>
          <w:left w:val="single" w:sz="4" w:space="4" w:color="000000"/>
          <w:bottom w:val="single" w:sz="4" w:space="1" w:color="000000"/>
          <w:right w:val="single" w:sz="4" w:space="4" w:color="000000"/>
        </w:pBdr>
        <w:spacing w:before="0" w:after="0" w:line="240" w:lineRule="auto"/>
        <w:jc w:val="both"/>
        <w:rPr>
          <w:rFonts w:cs="Arial"/>
          <w:b/>
          <w:bCs/>
        </w:rPr>
      </w:pPr>
    </w:p>
    <w:p w14:paraId="1DF8CF17" w14:textId="2280126C" w:rsidR="00DD5DDB" w:rsidRDefault="00303DBC" w:rsidP="03A9AB0A">
      <w:pPr>
        <w:pBdr>
          <w:top w:val="single" w:sz="4" w:space="1" w:color="000000"/>
          <w:left w:val="single" w:sz="4" w:space="4" w:color="000000"/>
          <w:bottom w:val="single" w:sz="4" w:space="1" w:color="000000"/>
          <w:right w:val="single" w:sz="4" w:space="4" w:color="000000"/>
        </w:pBdr>
        <w:spacing w:before="0" w:after="0" w:line="240" w:lineRule="auto"/>
        <w:jc w:val="both"/>
        <w:rPr>
          <w:b/>
          <w:bCs/>
          <w:lang w:val="en-US"/>
        </w:rPr>
      </w:pPr>
      <w:r>
        <w:rPr>
          <w:rFonts w:cs="Arial"/>
          <w:b/>
          <w:bCs/>
        </w:rPr>
        <w:t>19</w:t>
      </w:r>
      <w:r w:rsidR="007B0647">
        <w:rPr>
          <w:rFonts w:cs="Arial"/>
          <w:b/>
          <w:bCs/>
        </w:rPr>
        <w:t>g</w:t>
      </w:r>
      <w:r w:rsidR="00BB7FE9">
        <w:rPr>
          <w:rFonts w:cs="Arial"/>
          <w:b/>
          <w:bCs/>
        </w:rPr>
        <w:t xml:space="preserve">. </w:t>
      </w:r>
      <w:r w:rsidR="00BB7FE9" w:rsidRPr="03A9AB0A">
        <w:rPr>
          <w:rFonts w:cs="Arial"/>
          <w:b/>
          <w:bCs/>
        </w:rPr>
        <w:t xml:space="preserve">Do you have any comments on the proposed transitional arrangements for </w:t>
      </w:r>
      <w:r w:rsidR="00BB7FE9">
        <w:rPr>
          <w:rFonts w:cs="Arial"/>
          <w:b/>
          <w:bCs/>
          <w:color w:val="000000" w:themeColor="text1"/>
          <w:szCs w:val="24"/>
        </w:rPr>
        <w:t>the d</w:t>
      </w:r>
      <w:r w:rsidR="00BB7FE9" w:rsidRPr="00F14AAB">
        <w:rPr>
          <w:rFonts w:cs="Arial"/>
          <w:b/>
          <w:bCs/>
          <w:color w:val="000000" w:themeColor="text1"/>
          <w:szCs w:val="24"/>
        </w:rPr>
        <w:t>redge and disposal levy</w:t>
      </w:r>
      <w:r w:rsidR="00BB7FE9">
        <w:rPr>
          <w:rFonts w:cs="Arial"/>
          <w:b/>
          <w:bCs/>
        </w:rPr>
        <w:t>?</w:t>
      </w:r>
    </w:p>
    <w:p w14:paraId="0F00AF15" w14:textId="4FE71FA5" w:rsidR="000079B7" w:rsidRPr="009A0FAC" w:rsidRDefault="12E6B1C5" w:rsidP="6CBAE315">
      <w:pPr>
        <w:pStyle w:val="Heading3"/>
        <w:rPr>
          <w:color w:val="008938"/>
        </w:rPr>
      </w:pPr>
      <w:r w:rsidRPr="26560239">
        <w:rPr>
          <w:rFonts w:eastAsia="Arial"/>
          <w:color w:val="008938"/>
        </w:rPr>
        <w:t xml:space="preserve">Ability for </w:t>
      </w:r>
      <w:r w:rsidR="400EF6CC" w:rsidRPr="26560239">
        <w:rPr>
          <w:rFonts w:eastAsia="Arial"/>
          <w:color w:val="008938"/>
        </w:rPr>
        <w:t>primary advisers</w:t>
      </w:r>
      <w:r w:rsidRPr="26560239">
        <w:rPr>
          <w:rFonts w:eastAsia="Arial"/>
          <w:color w:val="008938"/>
        </w:rPr>
        <w:t xml:space="preserve"> to charge for advice in support of marine licensing decisions</w:t>
      </w:r>
    </w:p>
    <w:p w14:paraId="183452D6" w14:textId="065EA370" w:rsidR="000079B7" w:rsidRDefault="00635B6A" w:rsidP="00507370">
      <w:pPr>
        <w:spacing w:after="0"/>
        <w:jc w:val="both"/>
        <w:rPr>
          <w:rFonts w:cs="Arial"/>
        </w:rPr>
      </w:pPr>
      <w:r w:rsidRPr="339952DF">
        <w:rPr>
          <w:rFonts w:cs="Arial"/>
        </w:rPr>
        <w:t>Primary advisers</w:t>
      </w:r>
      <w:r w:rsidR="4952564F" w:rsidRPr="339952DF">
        <w:rPr>
          <w:rFonts w:cs="Arial"/>
        </w:rPr>
        <w:t xml:space="preserve"> such as </w:t>
      </w:r>
      <w:r w:rsidR="00E667BC">
        <w:rPr>
          <w:rFonts w:cs="Arial"/>
        </w:rPr>
        <w:t>NE</w:t>
      </w:r>
      <w:r w:rsidR="4952564F" w:rsidRPr="339952DF">
        <w:rPr>
          <w:rFonts w:cs="Arial"/>
        </w:rPr>
        <w:t xml:space="preserve">, </w:t>
      </w:r>
      <w:r w:rsidR="00E667BC">
        <w:rPr>
          <w:rFonts w:cs="Arial"/>
        </w:rPr>
        <w:t xml:space="preserve">the </w:t>
      </w:r>
      <w:r w:rsidR="4952564F" w:rsidRPr="339952DF">
        <w:rPr>
          <w:rFonts w:cs="Arial"/>
        </w:rPr>
        <w:t>Environment Agency</w:t>
      </w:r>
      <w:r w:rsidR="00237EDF">
        <w:rPr>
          <w:rFonts w:cs="Arial"/>
        </w:rPr>
        <w:t xml:space="preserve"> </w:t>
      </w:r>
      <w:r w:rsidR="00237EDF" w:rsidRPr="00237EDF">
        <w:rPr>
          <w:rFonts w:cs="Arial"/>
        </w:rPr>
        <w:t xml:space="preserve">and the </w:t>
      </w:r>
      <w:r w:rsidR="00676944">
        <w:rPr>
          <w:rFonts w:cs="Arial"/>
        </w:rPr>
        <w:t>JNCC</w:t>
      </w:r>
      <w:r w:rsidR="4952564F" w:rsidRPr="339952DF">
        <w:rPr>
          <w:rFonts w:cs="Arial"/>
        </w:rPr>
        <w:t xml:space="preserve"> may provide advice to support the MMO in their decisions to determine marine licence applications. However, there is currently no mechanism in place for </w:t>
      </w:r>
      <w:r w:rsidR="4A76B230" w:rsidRPr="339952DF">
        <w:rPr>
          <w:rFonts w:cs="Arial"/>
        </w:rPr>
        <w:t>primary advisers</w:t>
      </w:r>
      <w:r w:rsidR="4952564F" w:rsidRPr="339952DF">
        <w:rPr>
          <w:rFonts w:cs="Arial"/>
        </w:rPr>
        <w:t xml:space="preserve"> to recover the costs incurred when providing this advice, and therefore this creates a financial burden for </w:t>
      </w:r>
      <w:r w:rsidR="5FA11EED" w:rsidRPr="339952DF">
        <w:rPr>
          <w:rFonts w:cs="Arial"/>
        </w:rPr>
        <w:t>primary advisers</w:t>
      </w:r>
      <w:r w:rsidR="4952564F" w:rsidRPr="339952DF">
        <w:rPr>
          <w:rFonts w:cs="Arial"/>
        </w:rPr>
        <w:t xml:space="preserve"> which must be recovered through </w:t>
      </w:r>
      <w:r w:rsidR="00D530DE">
        <w:rPr>
          <w:rFonts w:cs="Arial"/>
        </w:rPr>
        <w:t>GiA</w:t>
      </w:r>
      <w:r w:rsidR="4952564F" w:rsidRPr="339952DF">
        <w:rPr>
          <w:rFonts w:cs="Arial"/>
        </w:rPr>
        <w:t>.</w:t>
      </w:r>
    </w:p>
    <w:p w14:paraId="426F39ED" w14:textId="77777777" w:rsidR="000079B7" w:rsidRPr="008B5657" w:rsidRDefault="000079B7" w:rsidP="00507370">
      <w:pPr>
        <w:spacing w:after="0"/>
        <w:jc w:val="both"/>
        <w:rPr>
          <w:lang w:val="en-US"/>
        </w:rPr>
      </w:pPr>
      <w:r w:rsidRPr="008B5657">
        <w:rPr>
          <w:b/>
          <w:lang w:val="en-US"/>
        </w:rPr>
        <w:t xml:space="preserve">Proposed amendment: </w:t>
      </w:r>
    </w:p>
    <w:p w14:paraId="01106403" w14:textId="4432F6BA" w:rsidR="000079B7" w:rsidRDefault="000079B7" w:rsidP="00507370">
      <w:pPr>
        <w:spacing w:after="0"/>
        <w:jc w:val="both"/>
        <w:rPr>
          <w:rFonts w:cs="Arial"/>
        </w:rPr>
      </w:pPr>
      <w:r w:rsidRPr="542FC7E3">
        <w:rPr>
          <w:rFonts w:cs="Arial"/>
        </w:rPr>
        <w:t>Work is still needed to</w:t>
      </w:r>
      <w:r w:rsidR="00E734DB" w:rsidRPr="542FC7E3">
        <w:rPr>
          <w:rFonts w:cs="Arial"/>
        </w:rPr>
        <w:t xml:space="preserve"> scope out and to</w:t>
      </w:r>
      <w:r w:rsidRPr="542FC7E3">
        <w:rPr>
          <w:rFonts w:cs="Arial"/>
        </w:rPr>
        <w:t xml:space="preserve"> determine the full impacts of this proposal. As such, we are seeking views on whether stakeholders agree in principle with Defra providing a mechanism for </w:t>
      </w:r>
      <w:r w:rsidR="6F6A12F3" w:rsidRPr="542FC7E3">
        <w:rPr>
          <w:rFonts w:cs="Arial"/>
        </w:rPr>
        <w:t>primary advisers</w:t>
      </w:r>
      <w:r w:rsidRPr="542FC7E3">
        <w:rPr>
          <w:rFonts w:cs="Arial"/>
        </w:rPr>
        <w:t xml:space="preserve"> to charge for advice in support of marine licensing decisions. </w:t>
      </w:r>
    </w:p>
    <w:p w14:paraId="13586920" w14:textId="39AF00BB" w:rsidR="005151D4" w:rsidRDefault="10DFC2DD" w:rsidP="5048FB9C">
      <w:pPr>
        <w:pBdr>
          <w:top w:val="single" w:sz="4" w:space="1" w:color="auto"/>
          <w:left w:val="single" w:sz="4" w:space="4" w:color="auto"/>
          <w:bottom w:val="single" w:sz="4" w:space="1" w:color="auto"/>
          <w:right w:val="single" w:sz="4" w:space="4" w:color="auto"/>
        </w:pBdr>
        <w:jc w:val="both"/>
        <w:rPr>
          <w:b/>
          <w:bCs/>
          <w:lang w:val="en-US"/>
        </w:rPr>
      </w:pPr>
      <w:r w:rsidRPr="5048FB9C">
        <w:rPr>
          <w:b/>
          <w:bCs/>
          <w:lang w:val="en-US"/>
        </w:rPr>
        <w:t>2</w:t>
      </w:r>
      <w:r w:rsidR="003F49E2">
        <w:rPr>
          <w:b/>
          <w:bCs/>
          <w:lang w:val="en-US"/>
        </w:rPr>
        <w:t>0</w:t>
      </w:r>
      <w:r w:rsidR="2AEBDB75" w:rsidRPr="5048FB9C">
        <w:rPr>
          <w:b/>
          <w:bCs/>
          <w:lang w:val="en-US"/>
        </w:rPr>
        <w:t xml:space="preserve">. Do you </w:t>
      </w:r>
      <w:r w:rsidR="5EBBACB0" w:rsidRPr="5048FB9C">
        <w:rPr>
          <w:b/>
          <w:bCs/>
          <w:lang w:val="en-US"/>
        </w:rPr>
        <w:t>agree in principle with Defra providing a mechanism</w:t>
      </w:r>
      <w:r w:rsidR="05300AD1" w:rsidRPr="5048FB9C">
        <w:rPr>
          <w:b/>
          <w:bCs/>
          <w:lang w:val="en-US"/>
        </w:rPr>
        <w:t xml:space="preserve"> for primary advisers to recover costs</w:t>
      </w:r>
      <w:r w:rsidR="603D6FCE" w:rsidRPr="5048FB9C">
        <w:rPr>
          <w:b/>
          <w:bCs/>
          <w:lang w:val="en-US"/>
        </w:rPr>
        <w:t xml:space="preserve"> when providing advice </w:t>
      </w:r>
      <w:r w:rsidR="4D56A495" w:rsidRPr="5048FB9C">
        <w:rPr>
          <w:b/>
          <w:bCs/>
          <w:lang w:val="en-US"/>
        </w:rPr>
        <w:t>in support of marine licensing decisions</w:t>
      </w:r>
      <w:r w:rsidR="2AEBDB75" w:rsidRPr="5048FB9C">
        <w:rPr>
          <w:b/>
          <w:bCs/>
          <w:lang w:val="en-US"/>
        </w:rPr>
        <w:t xml:space="preserve">? </w:t>
      </w:r>
    </w:p>
    <w:p w14:paraId="12259B1C" w14:textId="0B5DFA4A" w:rsidR="005151D4" w:rsidRPr="009762C5" w:rsidRDefault="005151D4" w:rsidP="002077E0">
      <w:pPr>
        <w:pBdr>
          <w:top w:val="single" w:sz="4" w:space="1" w:color="auto"/>
          <w:left w:val="single" w:sz="4" w:space="4" w:color="auto"/>
          <w:bottom w:val="single" w:sz="4" w:space="1" w:color="auto"/>
          <w:right w:val="single" w:sz="4" w:space="4" w:color="auto"/>
        </w:pBdr>
        <w:jc w:val="both"/>
        <w:rPr>
          <w:b/>
          <w:bCs/>
        </w:rPr>
      </w:pPr>
      <w:r w:rsidRPr="003A6F4F">
        <w:rPr>
          <w:b/>
          <w:lang w:val="en-US"/>
        </w:rPr>
        <w:t>Yes</w:t>
      </w:r>
      <w:r w:rsidR="003B51BD">
        <w:rPr>
          <w:b/>
          <w:lang w:val="en-US"/>
        </w:rPr>
        <w:t xml:space="preserve"> or </w:t>
      </w:r>
      <w:r w:rsidRPr="003A6F4F">
        <w:rPr>
          <w:b/>
          <w:lang w:val="en-US"/>
        </w:rPr>
        <w:t>No</w:t>
      </w:r>
      <w:r w:rsidR="003B51BD">
        <w:rPr>
          <w:b/>
          <w:lang w:val="en-US"/>
        </w:rPr>
        <w:t xml:space="preserve"> or </w:t>
      </w:r>
      <w:r w:rsidRPr="003A6F4F">
        <w:rPr>
          <w:b/>
          <w:lang w:val="en-US"/>
        </w:rPr>
        <w:t xml:space="preserve">Neither Agree </w:t>
      </w:r>
      <w:r>
        <w:rPr>
          <w:b/>
          <w:lang w:val="en-US"/>
        </w:rPr>
        <w:t>n</w:t>
      </w:r>
      <w:r w:rsidRPr="003A6F4F">
        <w:rPr>
          <w:b/>
          <w:lang w:val="en-US"/>
        </w:rPr>
        <w:t xml:space="preserve">or Disagree </w:t>
      </w:r>
    </w:p>
    <w:p w14:paraId="637805D2" w14:textId="2AF3AFB9" w:rsidR="00797031" w:rsidRPr="00657393" w:rsidRDefault="005151D4" w:rsidP="00657393">
      <w:pPr>
        <w:pBdr>
          <w:top w:val="single" w:sz="4" w:space="1" w:color="auto"/>
          <w:left w:val="single" w:sz="4" w:space="4" w:color="auto"/>
          <w:bottom w:val="single" w:sz="4" w:space="1" w:color="auto"/>
          <w:right w:val="single" w:sz="4" w:space="4" w:color="auto"/>
        </w:pBdr>
        <w:spacing w:after="0" w:line="240" w:lineRule="auto"/>
        <w:rPr>
          <w:b/>
          <w:lang w:val="en-US"/>
        </w:rPr>
      </w:pPr>
      <w:r w:rsidRPr="003A6F4F">
        <w:rPr>
          <w:b/>
          <w:lang w:val="en-US"/>
        </w:rPr>
        <w:t>Do you have any further comments you wish to make on this proposal</w:t>
      </w:r>
      <w:r w:rsidR="00975F31">
        <w:rPr>
          <w:b/>
          <w:lang w:val="en-US"/>
        </w:rPr>
        <w:t xml:space="preserve"> </w:t>
      </w:r>
      <w:r w:rsidR="00975F31">
        <w:rPr>
          <w:rFonts w:cs="Arial"/>
          <w:b/>
        </w:rPr>
        <w:t xml:space="preserve">(including any evidence of </w:t>
      </w:r>
      <w:r w:rsidR="002F25B7">
        <w:rPr>
          <w:rFonts w:cs="Arial"/>
          <w:b/>
        </w:rPr>
        <w:t xml:space="preserve">potential </w:t>
      </w:r>
      <w:r w:rsidR="00975F31">
        <w:rPr>
          <w:rFonts w:cs="Arial"/>
          <w:b/>
        </w:rPr>
        <w:t>cost impacts)</w:t>
      </w:r>
      <w:r w:rsidRPr="003A6F4F">
        <w:rPr>
          <w:b/>
          <w:lang w:val="en-US"/>
        </w:rPr>
        <w:t>?</w:t>
      </w:r>
    </w:p>
    <w:p w14:paraId="0C07A096" w14:textId="0639EFDF" w:rsidR="000079B7" w:rsidRDefault="000079B7" w:rsidP="000079B7">
      <w:pPr>
        <w:pStyle w:val="Heading1"/>
      </w:pPr>
      <w:bookmarkStart w:id="68" w:name="_Toc1070915690"/>
      <w:bookmarkStart w:id="69" w:name="_Toc200715787"/>
      <w:r>
        <w:lastRenderedPageBreak/>
        <w:t xml:space="preserve">Consultee </w:t>
      </w:r>
      <w:r w:rsidR="00784AEE">
        <w:t>f</w:t>
      </w:r>
      <w:r>
        <w:t xml:space="preserve">eedback on the </w:t>
      </w:r>
      <w:r w:rsidR="00784AEE">
        <w:t>o</w:t>
      </w:r>
      <w:r>
        <w:t xml:space="preserve">nline </w:t>
      </w:r>
      <w:r w:rsidR="00784AEE">
        <w:t>s</w:t>
      </w:r>
      <w:r>
        <w:t>urvey</w:t>
      </w:r>
      <w:bookmarkEnd w:id="68"/>
      <w:bookmarkEnd w:id="69"/>
    </w:p>
    <w:p w14:paraId="463F29E8" w14:textId="77777777" w:rsidR="000079B7" w:rsidRDefault="000079B7" w:rsidP="000079B7">
      <w:pPr>
        <w:spacing w:before="0" w:after="0" w:line="240" w:lineRule="auto"/>
      </w:pPr>
    </w:p>
    <w:p w14:paraId="45BC0D7F" w14:textId="77777777" w:rsidR="000079B7" w:rsidRDefault="000079B7" w:rsidP="00507370">
      <w:pPr>
        <w:spacing w:before="0" w:after="0"/>
      </w:pPr>
      <w:r w:rsidRPr="00A33E3B">
        <w:t>Dear Consultee</w:t>
      </w:r>
      <w:r>
        <w:t xml:space="preserve">, </w:t>
      </w:r>
    </w:p>
    <w:p w14:paraId="3B7B4B86" w14:textId="77777777" w:rsidR="000079B7" w:rsidRDefault="000079B7" w:rsidP="00507370">
      <w:pPr>
        <w:spacing w:before="0" w:after="0"/>
      </w:pPr>
    </w:p>
    <w:p w14:paraId="4551E7F1" w14:textId="77777777" w:rsidR="000079B7" w:rsidRDefault="000079B7" w:rsidP="00507370">
      <w:pPr>
        <w:spacing w:before="0" w:after="0"/>
      </w:pPr>
      <w:r>
        <w:t>T</w:t>
      </w:r>
      <w:r w:rsidRPr="00A33E3B">
        <w:t xml:space="preserve">hank you for taking your time to participate in this online survey. It would be appreciated, if you can provide us with an insight into how you view the tool and the area(s) you feel </w:t>
      </w:r>
      <w:proofErr w:type="gramStart"/>
      <w:r w:rsidRPr="00A33E3B">
        <w:t>is in need of</w:t>
      </w:r>
      <w:proofErr w:type="gramEnd"/>
      <w:r w:rsidRPr="00A33E3B">
        <w:t xml:space="preserve"> improvement, by completing our feedback questionnaire.</w:t>
      </w:r>
    </w:p>
    <w:p w14:paraId="3A0FF5F2" w14:textId="77777777" w:rsidR="000079B7" w:rsidRDefault="000079B7" w:rsidP="00507370">
      <w:pPr>
        <w:spacing w:before="0" w:after="0"/>
      </w:pPr>
    </w:p>
    <w:p w14:paraId="1F668859" w14:textId="77777777" w:rsidR="000079B7" w:rsidRPr="00A33E3B" w:rsidRDefault="000079B7" w:rsidP="00507370">
      <w:pPr>
        <w:spacing w:before="0" w:after="0"/>
      </w:pPr>
      <w:r w:rsidRPr="00A33E3B">
        <w:t>Overall, how satisfied are you with our online consultation tool?  </w:t>
      </w:r>
    </w:p>
    <w:p w14:paraId="5630AD66" w14:textId="77777777" w:rsidR="000079B7" w:rsidRDefault="000079B7" w:rsidP="00507370">
      <w:pPr>
        <w:spacing w:before="0" w:after="0"/>
      </w:pPr>
    </w:p>
    <w:p w14:paraId="75B6C3B9" w14:textId="77777777" w:rsidR="000079B7" w:rsidRPr="00A33E3B" w:rsidRDefault="000079B7" w:rsidP="00507370">
      <w:pPr>
        <w:pStyle w:val="ListParagraph"/>
        <w:numPr>
          <w:ilvl w:val="0"/>
          <w:numId w:val="26"/>
        </w:numPr>
        <w:spacing w:before="0" w:after="0"/>
      </w:pPr>
      <w:r w:rsidRPr="00A33E3B">
        <w:t>Very satisfied   </w:t>
      </w:r>
    </w:p>
    <w:p w14:paraId="5EDAEA6D" w14:textId="77777777" w:rsidR="000079B7" w:rsidRPr="00A33E3B" w:rsidRDefault="000079B7" w:rsidP="00507370">
      <w:pPr>
        <w:pStyle w:val="ListParagraph"/>
        <w:numPr>
          <w:ilvl w:val="0"/>
          <w:numId w:val="26"/>
        </w:numPr>
        <w:spacing w:before="0" w:after="0"/>
      </w:pPr>
      <w:r w:rsidRPr="00A33E3B">
        <w:t>Satisfied                 </w:t>
      </w:r>
    </w:p>
    <w:p w14:paraId="13E7EDDC" w14:textId="77777777" w:rsidR="000079B7" w:rsidRPr="00A33E3B" w:rsidRDefault="000079B7" w:rsidP="00507370">
      <w:pPr>
        <w:pStyle w:val="ListParagraph"/>
        <w:numPr>
          <w:ilvl w:val="0"/>
          <w:numId w:val="26"/>
        </w:numPr>
        <w:spacing w:before="0" w:after="0"/>
      </w:pPr>
      <w:r w:rsidRPr="00A33E3B">
        <w:t>Neither satisfied nor dissatisfied  </w:t>
      </w:r>
    </w:p>
    <w:p w14:paraId="0FB9895E" w14:textId="77777777" w:rsidR="000079B7" w:rsidRPr="00A33E3B" w:rsidRDefault="000079B7" w:rsidP="00507370">
      <w:pPr>
        <w:pStyle w:val="ListParagraph"/>
        <w:numPr>
          <w:ilvl w:val="0"/>
          <w:numId w:val="26"/>
        </w:numPr>
        <w:spacing w:before="0" w:after="0"/>
      </w:pPr>
      <w:r w:rsidRPr="00A33E3B">
        <w:t>Dissatisfied  </w:t>
      </w:r>
    </w:p>
    <w:p w14:paraId="2CCEBFC9" w14:textId="77777777" w:rsidR="000079B7" w:rsidRPr="00A33E3B" w:rsidRDefault="000079B7" w:rsidP="00507370">
      <w:pPr>
        <w:pStyle w:val="ListParagraph"/>
        <w:numPr>
          <w:ilvl w:val="0"/>
          <w:numId w:val="26"/>
        </w:numPr>
        <w:spacing w:before="0" w:after="0"/>
      </w:pPr>
      <w:r w:rsidRPr="00A33E3B">
        <w:t>Very dissatisfied  </w:t>
      </w:r>
    </w:p>
    <w:p w14:paraId="4D4687AF" w14:textId="77777777" w:rsidR="000079B7" w:rsidRPr="00A33E3B" w:rsidRDefault="000079B7" w:rsidP="00507370">
      <w:pPr>
        <w:pStyle w:val="ListParagraph"/>
        <w:numPr>
          <w:ilvl w:val="0"/>
          <w:numId w:val="26"/>
        </w:numPr>
        <w:spacing w:before="0" w:after="0"/>
      </w:pPr>
      <w:r w:rsidRPr="00A33E3B">
        <w:t>Don't know  </w:t>
      </w:r>
    </w:p>
    <w:p w14:paraId="33D48E78" w14:textId="77777777" w:rsidR="000079B7" w:rsidRPr="00A33E3B" w:rsidRDefault="000079B7" w:rsidP="00507370">
      <w:pPr>
        <w:spacing w:before="0" w:after="0"/>
      </w:pPr>
      <w:r w:rsidRPr="00A33E3B">
        <w:t>   </w:t>
      </w:r>
    </w:p>
    <w:p w14:paraId="719FF7D7" w14:textId="77777777" w:rsidR="000079B7" w:rsidRPr="009C54EB" w:rsidRDefault="000079B7" w:rsidP="00507370">
      <w:pPr>
        <w:spacing w:before="0" w:after="0"/>
      </w:pPr>
      <w:r w:rsidRPr="00A33E3B">
        <w:t>Please give us any comments you have on the tool, including suggestions on how we could improve it.  </w:t>
      </w:r>
    </w:p>
    <w:p w14:paraId="40CE365B" w14:textId="4E221DA9" w:rsidR="000079B7" w:rsidRPr="00C7021B" w:rsidRDefault="000079B7" w:rsidP="2C6EB9A8">
      <w:pPr>
        <w:pStyle w:val="Heading1"/>
        <w:rPr>
          <w:rFonts w:cs="Arial"/>
          <w:shd w:val="clear" w:color="auto" w:fill="FFFFFF"/>
        </w:rPr>
      </w:pPr>
      <w:bookmarkStart w:id="70" w:name="_Toc200715788"/>
      <w:r>
        <w:t xml:space="preserve">How to </w:t>
      </w:r>
      <w:r w:rsidR="00784AEE">
        <w:t>r</w:t>
      </w:r>
      <w:r>
        <w:t xml:space="preserve">espond and </w:t>
      </w:r>
      <w:r w:rsidR="00784AEE">
        <w:t>n</w:t>
      </w:r>
      <w:r>
        <w:t xml:space="preserve">ext </w:t>
      </w:r>
      <w:r w:rsidR="00784AEE">
        <w:t>s</w:t>
      </w:r>
      <w:r>
        <w:t>teps</w:t>
      </w:r>
      <w:bookmarkEnd w:id="70"/>
    </w:p>
    <w:p w14:paraId="114AB264" w14:textId="63D769FE" w:rsidR="000079B7" w:rsidRDefault="000079B7" w:rsidP="000079B7">
      <w:pPr>
        <w:jc w:val="both"/>
      </w:pPr>
      <w:r>
        <w:t xml:space="preserve">The closing date for this consultation is </w:t>
      </w:r>
      <w:r w:rsidR="00561377" w:rsidRPr="00561377">
        <w:rPr>
          <w:b/>
          <w:bCs/>
        </w:rPr>
        <w:t xml:space="preserve">15 August </w:t>
      </w:r>
      <w:r w:rsidR="00EB3E71" w:rsidRPr="00561377">
        <w:rPr>
          <w:b/>
          <w:bCs/>
        </w:rPr>
        <w:t>2025</w:t>
      </w:r>
      <w:r>
        <w:t>. Responses received by this date will be analysed and considered by Ministers in their consideration of the proposals for amending marine licensing exemptions and self-service permits.</w:t>
      </w:r>
    </w:p>
    <w:p w14:paraId="4E4A68D5" w14:textId="77777777" w:rsidR="000079B7" w:rsidRDefault="000079B7" w:rsidP="000079B7">
      <w:pPr>
        <w:jc w:val="both"/>
      </w:pPr>
      <w:r>
        <w:t>To submit your consultation response, please use one of the following channels:</w:t>
      </w:r>
    </w:p>
    <w:p w14:paraId="436D0712" w14:textId="77777777" w:rsidR="000079B7" w:rsidRDefault="000079B7" w:rsidP="000079B7">
      <w:pPr>
        <w:pStyle w:val="ListParagraph"/>
        <w:numPr>
          <w:ilvl w:val="0"/>
          <w:numId w:val="9"/>
        </w:numPr>
        <w:jc w:val="both"/>
      </w:pPr>
      <w:r>
        <w:t>Citizen Space (our online consultation tool)</w:t>
      </w:r>
    </w:p>
    <w:p w14:paraId="51D3C34C" w14:textId="77777777" w:rsidR="000079B7" w:rsidRDefault="000079B7" w:rsidP="000079B7">
      <w:pPr>
        <w:pStyle w:val="ListParagraph"/>
        <w:numPr>
          <w:ilvl w:val="0"/>
          <w:numId w:val="9"/>
        </w:numPr>
        <w:jc w:val="both"/>
      </w:pPr>
      <w:r>
        <w:t xml:space="preserve">Via email to </w:t>
      </w:r>
      <w:hyperlink r:id="rId47" w:history="1">
        <w:r w:rsidRPr="005C358B">
          <w:rPr>
            <w:rStyle w:val="Hyperlink"/>
          </w:rPr>
          <w:t>marine.licensing@defra.gov.uk</w:t>
        </w:r>
      </w:hyperlink>
      <w:r>
        <w:t xml:space="preserve"> </w:t>
      </w:r>
    </w:p>
    <w:p w14:paraId="65B3590F" w14:textId="3C90489E" w:rsidR="000079B7" w:rsidRDefault="000079B7" w:rsidP="000079B7">
      <w:pPr>
        <w:jc w:val="both"/>
      </w:pPr>
      <w:r>
        <w:t>We have asked you a number of specific questions in this document. If you have any other views on the subject of this consultation, which have not been addressed, you are welcome to provide us with these views in your response.</w:t>
      </w:r>
    </w:p>
    <w:p w14:paraId="0202B90F" w14:textId="77777777" w:rsidR="000079B7" w:rsidRDefault="000079B7" w:rsidP="000079B7">
      <w:pPr>
        <w:jc w:val="both"/>
      </w:pPr>
      <w:r w:rsidRPr="00B761BF">
        <w:rPr>
          <w:b/>
          <w:bCs/>
        </w:rPr>
        <w:t>During this consultation, if you have any enquiries, please contact:</w:t>
      </w:r>
      <w:r>
        <w:t xml:space="preserve"> </w:t>
      </w:r>
      <w:hyperlink r:id="rId48" w:history="1">
        <w:r w:rsidR="004C2849" w:rsidRPr="00417457">
          <w:rPr>
            <w:rStyle w:val="Hyperlink"/>
            <w:rFonts w:eastAsia="Times New Roman"/>
            <w:b/>
            <w:bCs/>
          </w:rPr>
          <w:t xml:space="preserve">marine.licensing@defra.gov.uk </w:t>
        </w:r>
      </w:hyperlink>
      <w:r>
        <w:rPr>
          <w:rFonts w:eastAsia="Times New Roman"/>
          <w:b/>
          <w:bCs/>
        </w:rPr>
        <w:t xml:space="preserve"> </w:t>
      </w:r>
    </w:p>
    <w:p w14:paraId="0F941348" w14:textId="64B9BCA2" w:rsidR="000079B7" w:rsidRDefault="000079B7" w:rsidP="000079B7">
      <w:pPr>
        <w:pStyle w:val="Heading1"/>
        <w:jc w:val="both"/>
      </w:pPr>
      <w:bookmarkStart w:id="71" w:name="_Toc938479512"/>
      <w:bookmarkStart w:id="72" w:name="_Toc200715789"/>
      <w:r>
        <w:t>Acronyms</w:t>
      </w:r>
      <w:bookmarkEnd w:id="71"/>
      <w:bookmarkEnd w:id="72"/>
      <w:r>
        <w:t xml:space="preserve"> </w:t>
      </w:r>
    </w:p>
    <w:p w14:paraId="1C7E31D4" w14:textId="54A52441" w:rsidR="00D8738A" w:rsidRPr="00410C69" w:rsidRDefault="00D8738A" w:rsidP="000079B7">
      <w:pPr>
        <w:jc w:val="both"/>
        <w:rPr>
          <w:b/>
          <w:bCs/>
        </w:rPr>
      </w:pPr>
      <w:r w:rsidRPr="00410C69">
        <w:rPr>
          <w:b/>
          <w:bCs/>
        </w:rPr>
        <w:t>DPA</w:t>
      </w:r>
      <w:r w:rsidR="00313586" w:rsidRPr="00313586">
        <w:t xml:space="preserve"> </w:t>
      </w:r>
      <w:r w:rsidR="00B53DE8">
        <w:tab/>
      </w:r>
      <w:r w:rsidR="00B53DE8">
        <w:tab/>
      </w:r>
      <w:r w:rsidR="00313586">
        <w:t xml:space="preserve">The </w:t>
      </w:r>
      <w:r w:rsidR="00313586" w:rsidRPr="00312355">
        <w:t>Data Protection Act</w:t>
      </w:r>
      <w:r w:rsidR="00313586">
        <w:t xml:space="preserve"> 2018</w:t>
      </w:r>
    </w:p>
    <w:p w14:paraId="5F0FA7EE" w14:textId="1F535926" w:rsidR="00335F6A" w:rsidRPr="00410C69" w:rsidRDefault="00335F6A" w:rsidP="000079B7">
      <w:pPr>
        <w:jc w:val="both"/>
        <w:rPr>
          <w:b/>
          <w:bCs/>
        </w:rPr>
      </w:pPr>
      <w:r w:rsidRPr="00410C69">
        <w:rPr>
          <w:b/>
          <w:bCs/>
        </w:rPr>
        <w:lastRenderedPageBreak/>
        <w:t>EIA</w:t>
      </w:r>
      <w:r w:rsidR="00B53DE8" w:rsidRPr="00B53DE8">
        <w:t xml:space="preserve"> </w:t>
      </w:r>
      <w:r w:rsidR="00B53DE8">
        <w:tab/>
      </w:r>
      <w:r w:rsidR="00B53DE8">
        <w:tab/>
        <w:t>Environmental Impact Assessment</w:t>
      </w:r>
    </w:p>
    <w:p w14:paraId="589C2084" w14:textId="1A126EA3" w:rsidR="00D8738A" w:rsidRPr="00410C69" w:rsidRDefault="00D8738A" w:rsidP="000079B7">
      <w:pPr>
        <w:jc w:val="both"/>
        <w:rPr>
          <w:b/>
          <w:bCs/>
        </w:rPr>
      </w:pPr>
      <w:r w:rsidRPr="00410C69">
        <w:rPr>
          <w:b/>
          <w:bCs/>
        </w:rPr>
        <w:t>EIR</w:t>
      </w:r>
      <w:r w:rsidR="00B53DE8" w:rsidRPr="00B53DE8">
        <w:t xml:space="preserve"> </w:t>
      </w:r>
      <w:r w:rsidR="00B53DE8">
        <w:tab/>
      </w:r>
      <w:r w:rsidR="00B53DE8">
        <w:tab/>
        <w:t>T</w:t>
      </w:r>
      <w:r w:rsidR="00B53DE8" w:rsidRPr="00312355">
        <w:t>he Environmental Information Regulations 2004</w:t>
      </w:r>
    </w:p>
    <w:p w14:paraId="63F93A1C" w14:textId="43630711" w:rsidR="00D8738A" w:rsidRPr="00410C69" w:rsidRDefault="00D8738A" w:rsidP="000079B7">
      <w:pPr>
        <w:jc w:val="both"/>
        <w:rPr>
          <w:b/>
          <w:bCs/>
        </w:rPr>
      </w:pPr>
      <w:r w:rsidRPr="00410C69">
        <w:rPr>
          <w:b/>
          <w:bCs/>
        </w:rPr>
        <w:t>FOIA</w:t>
      </w:r>
      <w:r w:rsidR="00B53DE8">
        <w:rPr>
          <w:b/>
          <w:bCs/>
        </w:rPr>
        <w:tab/>
      </w:r>
      <w:r w:rsidR="00B53DE8">
        <w:rPr>
          <w:b/>
          <w:bCs/>
        </w:rPr>
        <w:tab/>
      </w:r>
      <w:r w:rsidR="00B53DE8">
        <w:t>The F</w:t>
      </w:r>
      <w:r w:rsidR="00B53DE8" w:rsidRPr="00312355">
        <w:t>reedom of Information Act 2000</w:t>
      </w:r>
    </w:p>
    <w:p w14:paraId="073FB81A" w14:textId="58ABF9D4" w:rsidR="00B733A0" w:rsidRDefault="00B733A0" w:rsidP="000079B7">
      <w:pPr>
        <w:jc w:val="both"/>
      </w:pPr>
      <w:r w:rsidRPr="00B733A0">
        <w:rPr>
          <w:b/>
          <w:bCs/>
        </w:rPr>
        <w:t>GiA</w:t>
      </w:r>
      <w:r>
        <w:tab/>
      </w:r>
      <w:r>
        <w:tab/>
        <w:t>Grant</w:t>
      </w:r>
      <w:r w:rsidR="001979F9">
        <w:t>-</w:t>
      </w:r>
      <w:r>
        <w:t>in</w:t>
      </w:r>
      <w:r w:rsidR="001979F9">
        <w:t>-</w:t>
      </w:r>
      <w:r>
        <w:t>Aid</w:t>
      </w:r>
    </w:p>
    <w:p w14:paraId="17F61FA2" w14:textId="77777777" w:rsidR="00722AC1" w:rsidRDefault="00722AC1" w:rsidP="000079B7">
      <w:pPr>
        <w:jc w:val="both"/>
      </w:pPr>
      <w:r w:rsidRPr="00722AC1">
        <w:rPr>
          <w:b/>
          <w:bCs/>
        </w:rPr>
        <w:t>HPMA</w:t>
      </w:r>
      <w:r>
        <w:tab/>
      </w:r>
      <w:r>
        <w:tab/>
        <w:t>Highly Protected Marine Area</w:t>
      </w:r>
    </w:p>
    <w:p w14:paraId="2DFE7F60" w14:textId="3A091563" w:rsidR="00335F6A" w:rsidRDefault="00335F6A" w:rsidP="000079B7">
      <w:pPr>
        <w:jc w:val="both"/>
      </w:pPr>
      <w:r w:rsidRPr="00410C69">
        <w:rPr>
          <w:b/>
          <w:bCs/>
        </w:rPr>
        <w:t>HRA</w:t>
      </w:r>
      <w:r w:rsidR="00B53DE8">
        <w:rPr>
          <w:b/>
          <w:bCs/>
        </w:rPr>
        <w:tab/>
      </w:r>
      <w:r w:rsidR="00B53DE8">
        <w:rPr>
          <w:b/>
          <w:bCs/>
        </w:rPr>
        <w:tab/>
      </w:r>
      <w:r w:rsidR="00B53DE8" w:rsidRPr="00410C69">
        <w:t>Habitats Regulations Assessment</w:t>
      </w:r>
    </w:p>
    <w:p w14:paraId="0DC5E32D" w14:textId="35F94B60" w:rsidR="00676944" w:rsidRPr="00410C69" w:rsidRDefault="00676944" w:rsidP="000079B7">
      <w:pPr>
        <w:jc w:val="both"/>
        <w:rPr>
          <w:b/>
          <w:bCs/>
        </w:rPr>
      </w:pPr>
      <w:r w:rsidRPr="00676944">
        <w:rPr>
          <w:b/>
          <w:bCs/>
        </w:rPr>
        <w:t>JNCC</w:t>
      </w:r>
      <w:r>
        <w:tab/>
      </w:r>
      <w:r>
        <w:tab/>
      </w:r>
      <w:r w:rsidRPr="00237EDF">
        <w:rPr>
          <w:rFonts w:cs="Arial"/>
        </w:rPr>
        <w:t>Joint Nature Conservation Committee</w:t>
      </w:r>
    </w:p>
    <w:p w14:paraId="63061420" w14:textId="77777777" w:rsidR="000079B7" w:rsidRPr="0049661C" w:rsidRDefault="000079B7" w:rsidP="000079B7">
      <w:pPr>
        <w:jc w:val="both"/>
      </w:pPr>
      <w:r>
        <w:rPr>
          <w:b/>
          <w:bCs/>
        </w:rPr>
        <w:t>LPA</w:t>
      </w:r>
      <w:r>
        <w:rPr>
          <w:b/>
          <w:bCs/>
        </w:rPr>
        <w:tab/>
      </w:r>
      <w:r>
        <w:rPr>
          <w:b/>
          <w:bCs/>
        </w:rPr>
        <w:tab/>
      </w:r>
      <w:r>
        <w:t>Local Planning Authority</w:t>
      </w:r>
    </w:p>
    <w:p w14:paraId="214127BA" w14:textId="1EE98FE7" w:rsidR="000079B7" w:rsidRDefault="000079B7" w:rsidP="000079B7">
      <w:pPr>
        <w:jc w:val="both"/>
      </w:pPr>
      <w:r w:rsidRPr="7242FB31">
        <w:rPr>
          <w:b/>
          <w:bCs/>
        </w:rPr>
        <w:t>MCAA</w:t>
      </w:r>
      <w:r>
        <w:tab/>
      </w:r>
      <w:r w:rsidR="00D261C8">
        <w:tab/>
      </w:r>
      <w:r>
        <w:t>The Marine and Coastal Access Act 2009</w:t>
      </w:r>
    </w:p>
    <w:p w14:paraId="4A5AAD40" w14:textId="77777777" w:rsidR="000079B7" w:rsidRPr="005848CC" w:rsidRDefault="000079B7" w:rsidP="000079B7">
      <w:pPr>
        <w:jc w:val="both"/>
        <w:rPr>
          <w:lang w:val="fr-FR"/>
        </w:rPr>
      </w:pPr>
      <w:r w:rsidRPr="005848CC">
        <w:rPr>
          <w:b/>
          <w:bCs/>
          <w:lang w:val="fr-FR"/>
        </w:rPr>
        <w:t>MCZ</w:t>
      </w:r>
      <w:r w:rsidRPr="005848CC">
        <w:rPr>
          <w:lang w:val="fr-FR"/>
        </w:rPr>
        <w:tab/>
      </w:r>
      <w:r w:rsidRPr="005848CC">
        <w:rPr>
          <w:lang w:val="fr-FR"/>
        </w:rPr>
        <w:tab/>
        <w:t>Marine Conservation Zone</w:t>
      </w:r>
    </w:p>
    <w:p w14:paraId="6F16A5B1" w14:textId="77777777" w:rsidR="000079B7" w:rsidRPr="005848CC" w:rsidRDefault="000079B7" w:rsidP="000079B7">
      <w:pPr>
        <w:jc w:val="both"/>
        <w:rPr>
          <w:lang w:val="fr-FR"/>
        </w:rPr>
      </w:pPr>
      <w:r w:rsidRPr="005848CC">
        <w:rPr>
          <w:b/>
          <w:lang w:val="fr-FR"/>
        </w:rPr>
        <w:t>MMO</w:t>
      </w:r>
      <w:r w:rsidRPr="005848CC">
        <w:rPr>
          <w:lang w:val="fr-FR"/>
        </w:rPr>
        <w:tab/>
      </w:r>
      <w:r w:rsidRPr="005848CC">
        <w:rPr>
          <w:lang w:val="fr-FR"/>
        </w:rPr>
        <w:tab/>
        <w:t>The Marine Management Organisation</w:t>
      </w:r>
    </w:p>
    <w:p w14:paraId="118A55D6" w14:textId="77777777" w:rsidR="00EF3D4D" w:rsidRDefault="000079B7" w:rsidP="00832381">
      <w:pPr>
        <w:jc w:val="both"/>
      </w:pPr>
      <w:r w:rsidRPr="2C6EB9A8">
        <w:rPr>
          <w:b/>
          <w:bCs/>
        </w:rPr>
        <w:t>MPA</w:t>
      </w:r>
      <w:r>
        <w:tab/>
      </w:r>
      <w:r>
        <w:tab/>
        <w:t xml:space="preserve">Marine Protected Area </w:t>
      </w:r>
      <w:r w:rsidR="6C83446E">
        <w:t xml:space="preserve"> </w:t>
      </w:r>
    </w:p>
    <w:p w14:paraId="62453737" w14:textId="5B883E8C" w:rsidR="003321A9" w:rsidRDefault="003321A9" w:rsidP="00832381">
      <w:pPr>
        <w:jc w:val="both"/>
      </w:pPr>
      <w:r w:rsidRPr="003321A9">
        <w:rPr>
          <w:b/>
          <w:bCs/>
        </w:rPr>
        <w:t>NE</w:t>
      </w:r>
      <w:r>
        <w:tab/>
      </w:r>
      <w:r>
        <w:tab/>
        <w:t>Natural England</w:t>
      </w:r>
    </w:p>
    <w:p w14:paraId="03E597C7" w14:textId="272F934D" w:rsidR="00335F6A" w:rsidRPr="00410C69" w:rsidRDefault="00335F6A" w:rsidP="00832381">
      <w:pPr>
        <w:jc w:val="both"/>
        <w:rPr>
          <w:b/>
          <w:bCs/>
        </w:rPr>
      </w:pPr>
      <w:r w:rsidRPr="00410C69">
        <w:rPr>
          <w:b/>
          <w:bCs/>
        </w:rPr>
        <w:t>NSIP</w:t>
      </w:r>
      <w:r w:rsidR="00B53DE8">
        <w:rPr>
          <w:b/>
          <w:bCs/>
        </w:rPr>
        <w:tab/>
      </w:r>
      <w:r w:rsidR="00B53DE8">
        <w:rPr>
          <w:b/>
          <w:bCs/>
        </w:rPr>
        <w:tab/>
      </w:r>
      <w:r w:rsidR="00B53DE8" w:rsidRPr="00410C69">
        <w:t>Nationally Significant Infrastructure Project</w:t>
      </w:r>
    </w:p>
    <w:p w14:paraId="49218275" w14:textId="154163E9" w:rsidR="00AC5325" w:rsidRDefault="00335F6A" w:rsidP="04878522">
      <w:pPr>
        <w:jc w:val="both"/>
      </w:pPr>
      <w:r w:rsidRPr="00410C69">
        <w:rPr>
          <w:b/>
          <w:bCs/>
        </w:rPr>
        <w:t>UXO</w:t>
      </w:r>
      <w:r w:rsidR="00B53DE8" w:rsidRPr="00B53DE8">
        <w:t xml:space="preserve"> </w:t>
      </w:r>
      <w:r w:rsidR="00B53DE8">
        <w:tab/>
      </w:r>
      <w:r w:rsidR="00B53DE8">
        <w:tab/>
        <w:t>U</w:t>
      </w:r>
      <w:r w:rsidR="00B53DE8" w:rsidRPr="00C7021B">
        <w:t xml:space="preserve">nexploded </w:t>
      </w:r>
      <w:r w:rsidR="00B53DE8">
        <w:t>O</w:t>
      </w:r>
      <w:r w:rsidR="00B53DE8" w:rsidRPr="00C7021B">
        <w:t>rdinance</w:t>
      </w:r>
    </w:p>
    <w:p w14:paraId="7782642E" w14:textId="77777777" w:rsidR="00410C69" w:rsidRDefault="00410C69" w:rsidP="04878522">
      <w:pPr>
        <w:jc w:val="both"/>
      </w:pPr>
    </w:p>
    <w:p w14:paraId="65D19800" w14:textId="3E1FAF31" w:rsidR="63B16C9D" w:rsidRDefault="63B16C9D" w:rsidP="00F2685F">
      <w:pPr>
        <w:pStyle w:val="Heading1"/>
        <w:spacing w:before="0" w:after="0"/>
        <w:ind w:right="567"/>
        <w:jc w:val="both"/>
      </w:pPr>
      <w:bookmarkStart w:id="73" w:name="_Toc200715790"/>
      <w:r>
        <w:t>Annex A</w:t>
      </w:r>
      <w:r w:rsidR="008A5B50" w:rsidRPr="008A5B50">
        <w:t xml:space="preserve">: HPMA </w:t>
      </w:r>
      <w:r w:rsidR="00784AEE">
        <w:t>e</w:t>
      </w:r>
      <w:r w:rsidR="008A5B50" w:rsidRPr="008A5B50">
        <w:t xml:space="preserve">xemption </w:t>
      </w:r>
      <w:r w:rsidR="00784AEE">
        <w:t>a</w:t>
      </w:r>
      <w:r w:rsidR="008A5B50" w:rsidRPr="008A5B50">
        <w:t>mendments</w:t>
      </w:r>
      <w:bookmarkEnd w:id="73"/>
    </w:p>
    <w:p w14:paraId="689D388D" w14:textId="77777777" w:rsidR="006B1B90" w:rsidRDefault="006B1B90" w:rsidP="00F2685F">
      <w:pPr>
        <w:pStyle w:val="NoSpacing"/>
        <w:jc w:val="both"/>
        <w:rPr>
          <w:rStyle w:val="normaltextrun"/>
          <w:rFonts w:cs="Arial"/>
          <w:color w:val="000000"/>
          <w:sz w:val="22"/>
          <w:szCs w:val="22"/>
          <w:shd w:val="clear" w:color="auto" w:fill="FFFFFF"/>
        </w:rPr>
      </w:pPr>
    </w:p>
    <w:p w14:paraId="6D39BCA0" w14:textId="2C12CF08" w:rsidR="00AA3C35" w:rsidRPr="00507370" w:rsidRDefault="00DD6519" w:rsidP="00507370">
      <w:pPr>
        <w:pStyle w:val="NoSpacing"/>
        <w:spacing w:line="276" w:lineRule="auto"/>
        <w:jc w:val="both"/>
        <w:rPr>
          <w:rStyle w:val="normaltextrun"/>
          <w:rFonts w:cs="Arial"/>
          <w:color w:val="000000"/>
          <w:sz w:val="24"/>
          <w:szCs w:val="24"/>
          <w:shd w:val="clear" w:color="auto" w:fill="FFFFFF"/>
        </w:rPr>
      </w:pPr>
      <w:r w:rsidRPr="00507370">
        <w:rPr>
          <w:rStyle w:val="normaltextrun"/>
          <w:rFonts w:cs="Arial"/>
          <w:color w:val="000000"/>
          <w:sz w:val="24"/>
          <w:szCs w:val="24"/>
          <w:shd w:val="clear" w:color="auto" w:fill="FFFFFF"/>
        </w:rPr>
        <w:t xml:space="preserve">It is proposed that some exemptions should be disapplied where an activity is capable of affecting, (other than insignificantly), the protected features of a HPMA, including supporting ecological or geomorphological processes. </w:t>
      </w:r>
    </w:p>
    <w:p w14:paraId="474A6817" w14:textId="77777777" w:rsidR="00AA3C35" w:rsidRPr="00507370" w:rsidRDefault="00AA3C35" w:rsidP="00507370">
      <w:pPr>
        <w:pStyle w:val="NoSpacing"/>
        <w:spacing w:line="276" w:lineRule="auto"/>
        <w:jc w:val="both"/>
        <w:rPr>
          <w:rStyle w:val="normaltextrun"/>
          <w:rFonts w:cs="Arial"/>
          <w:color w:val="000000"/>
          <w:sz w:val="24"/>
          <w:szCs w:val="24"/>
          <w:shd w:val="clear" w:color="auto" w:fill="FFFFFF"/>
        </w:rPr>
      </w:pPr>
    </w:p>
    <w:p w14:paraId="78B2C128" w14:textId="1C8612AD" w:rsidR="007C032A" w:rsidRPr="00507370" w:rsidRDefault="00DD6519" w:rsidP="00507370">
      <w:pPr>
        <w:pStyle w:val="NoSpacing"/>
        <w:spacing w:line="276" w:lineRule="auto"/>
        <w:jc w:val="both"/>
        <w:rPr>
          <w:sz w:val="24"/>
          <w:szCs w:val="24"/>
        </w:rPr>
      </w:pPr>
      <w:r w:rsidRPr="00507370">
        <w:rPr>
          <w:rStyle w:val="normaltextrun"/>
          <w:rFonts w:cs="Arial"/>
          <w:color w:val="000000"/>
          <w:sz w:val="24"/>
          <w:szCs w:val="24"/>
          <w:shd w:val="clear" w:color="auto" w:fill="FFFFFF"/>
        </w:rPr>
        <w:t>Some existing exemptions are already disapplied for activities capable of affecting (other than insignificantly) Marine Conservation Zones (MCZs)</w:t>
      </w:r>
      <w:r w:rsidR="00246ACD" w:rsidRPr="00507370">
        <w:rPr>
          <w:rStyle w:val="normaltextrun"/>
          <w:rFonts w:cs="Arial"/>
          <w:color w:val="000000"/>
          <w:sz w:val="24"/>
          <w:szCs w:val="24"/>
          <w:shd w:val="clear" w:color="auto" w:fill="FFFFFF"/>
        </w:rPr>
        <w:t>.</w:t>
      </w:r>
      <w:r w:rsidRPr="00507370">
        <w:rPr>
          <w:rStyle w:val="normaltextrun"/>
          <w:rFonts w:cs="Arial"/>
          <w:color w:val="000000"/>
          <w:sz w:val="24"/>
          <w:szCs w:val="24"/>
          <w:shd w:val="clear" w:color="auto" w:fill="FFFFFF"/>
        </w:rPr>
        <w:t xml:space="preserve"> </w:t>
      </w:r>
      <w:r w:rsidR="00246ACD" w:rsidRPr="00507370">
        <w:rPr>
          <w:rStyle w:val="normaltextrun"/>
          <w:rFonts w:cs="Arial"/>
          <w:color w:val="000000"/>
          <w:sz w:val="24"/>
          <w:szCs w:val="24"/>
          <w:shd w:val="clear" w:color="auto" w:fill="FFFFFF"/>
        </w:rPr>
        <w:t>T</w:t>
      </w:r>
      <w:r w:rsidRPr="00507370">
        <w:rPr>
          <w:rStyle w:val="normaltextrun"/>
          <w:rFonts w:cs="Arial"/>
          <w:color w:val="000000"/>
          <w:sz w:val="24"/>
          <w:szCs w:val="24"/>
          <w:shd w:val="clear" w:color="auto" w:fill="FFFFFF"/>
        </w:rPr>
        <w:t>his disapplication will automatically apply to HPMAs (which are a category of MCZ)</w:t>
      </w:r>
      <w:r w:rsidR="00246ACD" w:rsidRPr="00507370">
        <w:rPr>
          <w:rStyle w:val="normaltextrun"/>
          <w:rFonts w:cs="Arial"/>
          <w:color w:val="000000"/>
          <w:sz w:val="24"/>
          <w:szCs w:val="24"/>
          <w:shd w:val="clear" w:color="auto" w:fill="FFFFFF"/>
        </w:rPr>
        <w:t>.</w:t>
      </w:r>
      <w:r w:rsidRPr="00507370">
        <w:rPr>
          <w:rStyle w:val="normaltextrun"/>
          <w:rFonts w:cs="Arial"/>
          <w:color w:val="000000"/>
          <w:sz w:val="24"/>
          <w:szCs w:val="24"/>
          <w:shd w:val="clear" w:color="auto" w:fill="FFFFFF"/>
        </w:rPr>
        <w:t xml:space="preserve"> Column 2 of the table below indicates whether a disapplication is a proposed new disapplication for HPMAs or an existing disapplication for MCZs.</w:t>
      </w:r>
      <w:r w:rsidRPr="00507370">
        <w:rPr>
          <w:rStyle w:val="eop"/>
          <w:rFonts w:cs="Arial"/>
          <w:color w:val="000000"/>
          <w:sz w:val="24"/>
          <w:szCs w:val="24"/>
          <w:shd w:val="clear" w:color="auto" w:fill="FFFFFF"/>
        </w:rPr>
        <w:t> </w:t>
      </w:r>
    </w:p>
    <w:p w14:paraId="5C07AA5A" w14:textId="164F3BB8" w:rsidR="637E75C3" w:rsidRDefault="637E75C3" w:rsidP="00F2685F">
      <w:pPr>
        <w:pStyle w:val="NoSpacing"/>
        <w:jc w:val="both"/>
        <w:rPr>
          <w:rFonts w:cs="Arial"/>
          <w:sz w:val="22"/>
        </w:rPr>
      </w:pPr>
      <w:r w:rsidRPr="64B201D6">
        <w:rPr>
          <w:rFonts w:cs="Arial"/>
          <w:sz w:val="22"/>
          <w:szCs w:val="22"/>
        </w:rPr>
        <w:t xml:space="preserve"> </w:t>
      </w:r>
    </w:p>
    <w:tbl>
      <w:tblPr>
        <w:tblStyle w:val="DefraGreen"/>
        <w:tblW w:w="9776" w:type="dxa"/>
        <w:tblLayout w:type="fixed"/>
        <w:tblLook w:val="06A0" w:firstRow="1" w:lastRow="0" w:firstColumn="1" w:lastColumn="0" w:noHBand="1" w:noVBand="1"/>
      </w:tblPr>
      <w:tblGrid>
        <w:gridCol w:w="5665"/>
        <w:gridCol w:w="4111"/>
      </w:tblGrid>
      <w:tr w:rsidR="64B201D6" w:rsidRPr="00507370" w14:paraId="09875CD3" w14:textId="77777777" w:rsidTr="002912F1">
        <w:trPr>
          <w:cnfStyle w:val="100000000000" w:firstRow="1" w:lastRow="0" w:firstColumn="0" w:lastColumn="0" w:oddVBand="0" w:evenVBand="0" w:oddHBand="0" w:evenHBand="0" w:firstRowFirstColumn="0" w:firstRowLastColumn="0" w:lastRowFirstColumn="0" w:lastRowLastColumn="0"/>
          <w:trHeight w:val="690"/>
          <w:tblHeader/>
        </w:trPr>
        <w:tc>
          <w:tcPr>
            <w:cnfStyle w:val="001000000000" w:firstRow="0" w:lastRow="0" w:firstColumn="1" w:lastColumn="0" w:oddVBand="0" w:evenVBand="0" w:oddHBand="0" w:evenHBand="0" w:firstRowFirstColumn="0" w:firstRowLastColumn="0" w:lastRowFirstColumn="0" w:lastRowLastColumn="0"/>
            <w:tcW w:w="5665" w:type="dxa"/>
          </w:tcPr>
          <w:p w14:paraId="6806A699" w14:textId="51A669CE" w:rsidR="64B201D6" w:rsidRPr="00507370" w:rsidRDefault="64B201D6" w:rsidP="00F2685F">
            <w:pPr>
              <w:spacing w:before="0" w:after="0"/>
              <w:rPr>
                <w:rFonts w:cs="Arial"/>
                <w:color w:val="FFFFFF" w:themeColor="background1"/>
                <w:szCs w:val="24"/>
              </w:rPr>
            </w:pPr>
            <w:r w:rsidRPr="00507370">
              <w:rPr>
                <w:rFonts w:cs="Arial"/>
                <w:b/>
                <w:bCs/>
                <w:color w:val="FFFFFF" w:themeColor="background1"/>
                <w:szCs w:val="24"/>
              </w:rPr>
              <w:t xml:space="preserve">Marine </w:t>
            </w:r>
            <w:r w:rsidR="00CE5ACA" w:rsidRPr="00507370">
              <w:rPr>
                <w:rFonts w:cs="Arial"/>
                <w:b/>
                <w:bCs/>
                <w:color w:val="FFFFFF" w:themeColor="background1"/>
                <w:szCs w:val="24"/>
              </w:rPr>
              <w:t>l</w:t>
            </w:r>
            <w:r w:rsidRPr="00507370">
              <w:rPr>
                <w:rFonts w:cs="Arial"/>
                <w:b/>
                <w:bCs/>
                <w:color w:val="FFFFFF" w:themeColor="background1"/>
                <w:szCs w:val="24"/>
              </w:rPr>
              <w:t>icensing exempt activities</w:t>
            </w:r>
            <w:r w:rsidRPr="00507370">
              <w:rPr>
                <w:rFonts w:cs="Arial"/>
                <w:color w:val="FFFFFF" w:themeColor="background1"/>
                <w:szCs w:val="24"/>
              </w:rPr>
              <w:t xml:space="preserve"> </w:t>
            </w:r>
          </w:p>
        </w:tc>
        <w:tc>
          <w:tcPr>
            <w:tcW w:w="4111" w:type="dxa"/>
          </w:tcPr>
          <w:p w14:paraId="5D1859C9" w14:textId="6DCCDEAD" w:rsidR="64B201D6" w:rsidRPr="00507370" w:rsidRDefault="00CE5ACA" w:rsidP="00F2685F">
            <w:pPr>
              <w:spacing w:before="0" w:after="0"/>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4"/>
              </w:rPr>
            </w:pPr>
            <w:r w:rsidRPr="00507370">
              <w:rPr>
                <w:rFonts w:cs="Arial"/>
                <w:b/>
                <w:bCs/>
                <w:color w:val="FFFFFF" w:themeColor="background1"/>
                <w:szCs w:val="24"/>
              </w:rPr>
              <w:t>Type of disapplication p</w:t>
            </w:r>
            <w:r w:rsidR="64B201D6" w:rsidRPr="00507370">
              <w:rPr>
                <w:rFonts w:cs="Arial"/>
                <w:b/>
                <w:bCs/>
                <w:color w:val="FFFFFF" w:themeColor="background1"/>
                <w:szCs w:val="24"/>
              </w:rPr>
              <w:t>roposed</w:t>
            </w:r>
            <w:r w:rsidR="00CC7CE2" w:rsidRPr="00507370">
              <w:rPr>
                <w:rFonts w:cs="Arial"/>
                <w:b/>
                <w:bCs/>
                <w:color w:val="FFFFFF" w:themeColor="background1"/>
                <w:szCs w:val="24"/>
              </w:rPr>
              <w:t>:</w:t>
            </w:r>
            <w:r w:rsidR="64B201D6" w:rsidRPr="00507370">
              <w:rPr>
                <w:rFonts w:cs="Arial"/>
                <w:b/>
                <w:bCs/>
                <w:color w:val="FFFFFF" w:themeColor="background1"/>
                <w:szCs w:val="24"/>
              </w:rPr>
              <w:t xml:space="preserve"> new or existing </w:t>
            </w:r>
          </w:p>
        </w:tc>
      </w:tr>
      <w:tr w:rsidR="64B201D6" w:rsidRPr="00507370" w14:paraId="2EA892D3" w14:textId="77777777" w:rsidTr="00454929">
        <w:trPr>
          <w:trHeight w:val="567"/>
        </w:trPr>
        <w:tc>
          <w:tcPr>
            <w:cnfStyle w:val="001000000000" w:firstRow="0" w:lastRow="0" w:firstColumn="1" w:lastColumn="0" w:oddVBand="0" w:evenVBand="0" w:oddHBand="0" w:evenHBand="0" w:firstRowFirstColumn="0" w:firstRowLastColumn="0" w:lastRowFirstColumn="0" w:lastRowLastColumn="0"/>
            <w:tcW w:w="5665" w:type="dxa"/>
          </w:tcPr>
          <w:p w14:paraId="056B5217" w14:textId="5343B98F" w:rsidR="64B201D6" w:rsidRPr="00507370" w:rsidRDefault="64B201D6" w:rsidP="00F2685F">
            <w:pPr>
              <w:spacing w:before="0" w:after="0"/>
              <w:rPr>
                <w:rFonts w:cs="Arial"/>
                <w:color w:val="000000" w:themeColor="text1"/>
                <w:szCs w:val="24"/>
              </w:rPr>
            </w:pPr>
            <w:r w:rsidRPr="00507370">
              <w:rPr>
                <w:rFonts w:cs="Arial"/>
                <w:color w:val="000000" w:themeColor="text1"/>
                <w:szCs w:val="24"/>
              </w:rPr>
              <w:t>Moorings and aids to navigation (</w:t>
            </w:r>
            <w:hyperlink r:id="rId49" w:history="1">
              <w:r w:rsidRPr="00507370">
                <w:rPr>
                  <w:rStyle w:val="Hyperlink"/>
                  <w:rFonts w:cs="Arial"/>
                  <w:szCs w:val="24"/>
                </w:rPr>
                <w:t>Article 25 of the 2011 Exempted Activities Order</w:t>
              </w:r>
            </w:hyperlink>
            <w:r w:rsidRPr="00507370">
              <w:rPr>
                <w:rFonts w:cs="Arial"/>
                <w:color w:val="000000" w:themeColor="text1"/>
                <w:szCs w:val="24"/>
              </w:rPr>
              <w:t xml:space="preserve">) </w:t>
            </w:r>
          </w:p>
        </w:tc>
        <w:tc>
          <w:tcPr>
            <w:tcW w:w="4111" w:type="dxa"/>
          </w:tcPr>
          <w:p w14:paraId="15053487" w14:textId="0D2509D5" w:rsidR="64B201D6" w:rsidRPr="00507370" w:rsidRDefault="64B201D6" w:rsidP="00F2685F">
            <w:pPr>
              <w:spacing w:before="0" w:after="0"/>
              <w:cnfStyle w:val="000000000000" w:firstRow="0" w:lastRow="0" w:firstColumn="0" w:lastColumn="0" w:oddVBand="0" w:evenVBand="0" w:oddHBand="0" w:evenHBand="0" w:firstRowFirstColumn="0" w:firstRowLastColumn="0" w:lastRowFirstColumn="0" w:lastRowLastColumn="0"/>
              <w:rPr>
                <w:rFonts w:cs="Arial"/>
                <w:color w:val="000000" w:themeColor="text1"/>
                <w:szCs w:val="24"/>
              </w:rPr>
            </w:pPr>
            <w:r w:rsidRPr="00507370">
              <w:rPr>
                <w:rFonts w:cs="Arial"/>
                <w:color w:val="000000" w:themeColor="text1"/>
                <w:szCs w:val="24"/>
              </w:rPr>
              <w:t xml:space="preserve">New </w:t>
            </w:r>
          </w:p>
        </w:tc>
      </w:tr>
      <w:tr w:rsidR="64B201D6" w:rsidRPr="00507370" w14:paraId="37763A21" w14:textId="77777777" w:rsidTr="002912F1">
        <w:trPr>
          <w:trHeight w:val="540"/>
        </w:trPr>
        <w:tc>
          <w:tcPr>
            <w:cnfStyle w:val="001000000000" w:firstRow="0" w:lastRow="0" w:firstColumn="1" w:lastColumn="0" w:oddVBand="0" w:evenVBand="0" w:oddHBand="0" w:evenHBand="0" w:firstRowFirstColumn="0" w:firstRowLastColumn="0" w:lastRowFirstColumn="0" w:lastRowLastColumn="0"/>
            <w:tcW w:w="5665" w:type="dxa"/>
          </w:tcPr>
          <w:p w14:paraId="0029DA21" w14:textId="3D00AD96" w:rsidR="64B201D6" w:rsidRPr="00507370" w:rsidRDefault="64B201D6" w:rsidP="00F2685F">
            <w:pPr>
              <w:spacing w:before="0" w:after="0"/>
              <w:rPr>
                <w:rFonts w:cs="Arial"/>
                <w:color w:val="000000" w:themeColor="text1"/>
                <w:szCs w:val="24"/>
              </w:rPr>
            </w:pPr>
            <w:r w:rsidRPr="00507370">
              <w:rPr>
                <w:rFonts w:cs="Arial"/>
                <w:color w:val="000000" w:themeColor="text1"/>
                <w:szCs w:val="24"/>
              </w:rPr>
              <w:lastRenderedPageBreak/>
              <w:t>Temporary markers (</w:t>
            </w:r>
            <w:hyperlink r:id="rId50" w:history="1">
              <w:r w:rsidRPr="00507370">
                <w:rPr>
                  <w:rStyle w:val="Hyperlink"/>
                  <w:rFonts w:cs="Arial"/>
                  <w:szCs w:val="24"/>
                </w:rPr>
                <w:t>Article 26A of the 2011 Exempted Activities Order</w:t>
              </w:r>
            </w:hyperlink>
            <w:r w:rsidRPr="00507370">
              <w:rPr>
                <w:rFonts w:cs="Arial"/>
                <w:color w:val="000000" w:themeColor="text1"/>
                <w:szCs w:val="24"/>
              </w:rPr>
              <w:t xml:space="preserve">) </w:t>
            </w:r>
          </w:p>
        </w:tc>
        <w:tc>
          <w:tcPr>
            <w:tcW w:w="4111" w:type="dxa"/>
          </w:tcPr>
          <w:p w14:paraId="0D9D933F" w14:textId="7B93B87F" w:rsidR="64B201D6" w:rsidRPr="00507370" w:rsidRDefault="64B201D6" w:rsidP="00F2685F">
            <w:pPr>
              <w:spacing w:before="0" w:after="0"/>
              <w:cnfStyle w:val="000000000000" w:firstRow="0" w:lastRow="0" w:firstColumn="0" w:lastColumn="0" w:oddVBand="0" w:evenVBand="0" w:oddHBand="0" w:evenHBand="0" w:firstRowFirstColumn="0" w:firstRowLastColumn="0" w:lastRowFirstColumn="0" w:lastRowLastColumn="0"/>
              <w:rPr>
                <w:rFonts w:cs="Arial"/>
                <w:color w:val="000000" w:themeColor="text1"/>
                <w:szCs w:val="24"/>
              </w:rPr>
            </w:pPr>
            <w:r w:rsidRPr="00507370">
              <w:rPr>
                <w:rFonts w:cs="Arial"/>
                <w:color w:val="000000" w:themeColor="text1"/>
                <w:szCs w:val="24"/>
              </w:rPr>
              <w:t xml:space="preserve">Existing </w:t>
            </w:r>
          </w:p>
        </w:tc>
      </w:tr>
      <w:tr w:rsidR="64B201D6" w:rsidRPr="00507370" w14:paraId="42CA4BB6" w14:textId="77777777" w:rsidTr="002912F1">
        <w:trPr>
          <w:trHeight w:val="555"/>
        </w:trPr>
        <w:tc>
          <w:tcPr>
            <w:cnfStyle w:val="001000000000" w:firstRow="0" w:lastRow="0" w:firstColumn="1" w:lastColumn="0" w:oddVBand="0" w:evenVBand="0" w:oddHBand="0" w:evenHBand="0" w:firstRowFirstColumn="0" w:firstRowLastColumn="0" w:lastRowFirstColumn="0" w:lastRowLastColumn="0"/>
            <w:tcW w:w="5665" w:type="dxa"/>
          </w:tcPr>
          <w:p w14:paraId="7B658D2C" w14:textId="725F39A2" w:rsidR="64B201D6" w:rsidRPr="00507370" w:rsidRDefault="64B201D6" w:rsidP="00F2685F">
            <w:pPr>
              <w:spacing w:before="0" w:after="0"/>
              <w:rPr>
                <w:rFonts w:cs="Arial"/>
                <w:color w:val="000000" w:themeColor="text1"/>
                <w:szCs w:val="24"/>
              </w:rPr>
            </w:pPr>
            <w:r w:rsidRPr="00507370">
              <w:rPr>
                <w:rFonts w:cs="Arial"/>
                <w:color w:val="000000" w:themeColor="text1"/>
                <w:szCs w:val="24"/>
              </w:rPr>
              <w:t>Pontoons (</w:t>
            </w:r>
            <w:hyperlink r:id="rId51" w:history="1">
              <w:r w:rsidRPr="00507370">
                <w:rPr>
                  <w:rStyle w:val="Hyperlink"/>
                  <w:rFonts w:cs="Arial"/>
                  <w:szCs w:val="24"/>
                </w:rPr>
                <w:t>Article 25A of the 2011 Exempted Activities Order</w:t>
              </w:r>
            </w:hyperlink>
            <w:r w:rsidRPr="00507370">
              <w:rPr>
                <w:rFonts w:cs="Arial"/>
                <w:color w:val="000000" w:themeColor="text1"/>
                <w:szCs w:val="24"/>
              </w:rPr>
              <w:t xml:space="preserve">) </w:t>
            </w:r>
          </w:p>
        </w:tc>
        <w:tc>
          <w:tcPr>
            <w:tcW w:w="4111" w:type="dxa"/>
          </w:tcPr>
          <w:p w14:paraId="718BF0E2" w14:textId="7DC6C689" w:rsidR="64B201D6" w:rsidRPr="00507370" w:rsidRDefault="64B201D6" w:rsidP="00F2685F">
            <w:pPr>
              <w:spacing w:before="0" w:after="0"/>
              <w:cnfStyle w:val="000000000000" w:firstRow="0" w:lastRow="0" w:firstColumn="0" w:lastColumn="0" w:oddVBand="0" w:evenVBand="0" w:oddHBand="0" w:evenHBand="0" w:firstRowFirstColumn="0" w:firstRowLastColumn="0" w:lastRowFirstColumn="0" w:lastRowLastColumn="0"/>
              <w:rPr>
                <w:rFonts w:cs="Arial"/>
                <w:color w:val="000000" w:themeColor="text1"/>
                <w:szCs w:val="24"/>
              </w:rPr>
            </w:pPr>
            <w:r w:rsidRPr="00507370">
              <w:rPr>
                <w:rFonts w:cs="Arial"/>
                <w:color w:val="000000" w:themeColor="text1"/>
                <w:szCs w:val="24"/>
              </w:rPr>
              <w:t xml:space="preserve">New </w:t>
            </w:r>
          </w:p>
        </w:tc>
      </w:tr>
      <w:tr w:rsidR="64B201D6" w:rsidRPr="00507370" w14:paraId="6E03FC37" w14:textId="77777777" w:rsidTr="002912F1">
        <w:trPr>
          <w:trHeight w:val="540"/>
        </w:trPr>
        <w:tc>
          <w:tcPr>
            <w:cnfStyle w:val="001000000000" w:firstRow="0" w:lastRow="0" w:firstColumn="1" w:lastColumn="0" w:oddVBand="0" w:evenVBand="0" w:oddHBand="0" w:evenHBand="0" w:firstRowFirstColumn="0" w:firstRowLastColumn="0" w:lastRowFirstColumn="0" w:lastRowLastColumn="0"/>
            <w:tcW w:w="5665" w:type="dxa"/>
          </w:tcPr>
          <w:p w14:paraId="7690927A" w14:textId="33F114DE" w:rsidR="64B201D6" w:rsidRPr="00507370" w:rsidRDefault="64B201D6" w:rsidP="00F2685F">
            <w:pPr>
              <w:spacing w:before="0" w:after="0"/>
              <w:rPr>
                <w:rFonts w:cs="Arial"/>
                <w:color w:val="000000" w:themeColor="text1"/>
                <w:szCs w:val="24"/>
              </w:rPr>
            </w:pPr>
            <w:r w:rsidRPr="00507370">
              <w:rPr>
                <w:rFonts w:cs="Arial"/>
                <w:color w:val="000000" w:themeColor="text1"/>
                <w:szCs w:val="24"/>
              </w:rPr>
              <w:t>Diver trails within restricted areas (</w:t>
            </w:r>
            <w:hyperlink r:id="rId52" w:history="1">
              <w:r w:rsidRPr="00507370">
                <w:rPr>
                  <w:rStyle w:val="Hyperlink"/>
                  <w:rFonts w:cs="Arial"/>
                  <w:szCs w:val="24"/>
                </w:rPr>
                <w:t>Article 31 of the 2011 Exempted Activities Order</w:t>
              </w:r>
            </w:hyperlink>
            <w:r w:rsidRPr="00507370">
              <w:rPr>
                <w:rFonts w:cs="Arial"/>
                <w:color w:val="000000" w:themeColor="text1"/>
                <w:szCs w:val="24"/>
              </w:rPr>
              <w:t xml:space="preserve">) </w:t>
            </w:r>
          </w:p>
        </w:tc>
        <w:tc>
          <w:tcPr>
            <w:tcW w:w="4111" w:type="dxa"/>
          </w:tcPr>
          <w:p w14:paraId="639C7ADD" w14:textId="50754661" w:rsidR="64B201D6" w:rsidRPr="00507370" w:rsidRDefault="64B201D6" w:rsidP="00F2685F">
            <w:pPr>
              <w:spacing w:before="0" w:after="0"/>
              <w:cnfStyle w:val="000000000000" w:firstRow="0" w:lastRow="0" w:firstColumn="0" w:lastColumn="0" w:oddVBand="0" w:evenVBand="0" w:oddHBand="0" w:evenHBand="0" w:firstRowFirstColumn="0" w:firstRowLastColumn="0" w:lastRowFirstColumn="0" w:lastRowLastColumn="0"/>
              <w:rPr>
                <w:rFonts w:cs="Arial"/>
                <w:color w:val="000000" w:themeColor="text1"/>
                <w:szCs w:val="24"/>
              </w:rPr>
            </w:pPr>
            <w:r w:rsidRPr="00507370">
              <w:rPr>
                <w:rFonts w:cs="Arial"/>
                <w:color w:val="000000" w:themeColor="text1"/>
                <w:szCs w:val="24"/>
              </w:rPr>
              <w:t xml:space="preserve">New </w:t>
            </w:r>
          </w:p>
        </w:tc>
      </w:tr>
      <w:tr w:rsidR="64B201D6" w:rsidRPr="00507370" w14:paraId="3484B931" w14:textId="77777777" w:rsidTr="00454929">
        <w:trPr>
          <w:trHeight w:val="487"/>
        </w:trPr>
        <w:tc>
          <w:tcPr>
            <w:cnfStyle w:val="001000000000" w:firstRow="0" w:lastRow="0" w:firstColumn="1" w:lastColumn="0" w:oddVBand="0" w:evenVBand="0" w:oddHBand="0" w:evenHBand="0" w:firstRowFirstColumn="0" w:firstRowLastColumn="0" w:lastRowFirstColumn="0" w:lastRowLastColumn="0"/>
            <w:tcW w:w="5665" w:type="dxa"/>
          </w:tcPr>
          <w:p w14:paraId="56C98010" w14:textId="28E21295" w:rsidR="64B201D6" w:rsidRPr="00507370" w:rsidRDefault="64B201D6" w:rsidP="00BE57D9">
            <w:pPr>
              <w:spacing w:before="0" w:after="0"/>
              <w:rPr>
                <w:rFonts w:cs="Arial"/>
                <w:color w:val="000000" w:themeColor="text1"/>
                <w:szCs w:val="24"/>
              </w:rPr>
            </w:pPr>
            <w:r w:rsidRPr="00507370">
              <w:rPr>
                <w:rFonts w:cs="Arial"/>
                <w:color w:val="000000" w:themeColor="text1"/>
                <w:szCs w:val="24"/>
              </w:rPr>
              <w:t>Removal of marine litter (</w:t>
            </w:r>
            <w:hyperlink r:id="rId53" w:history="1">
              <w:r w:rsidRPr="00507370">
                <w:rPr>
                  <w:rStyle w:val="Hyperlink"/>
                  <w:rFonts w:cs="Arial"/>
                  <w:szCs w:val="24"/>
                </w:rPr>
                <w:t>Article 21A of the 2011 Exempted Activities Order</w:t>
              </w:r>
            </w:hyperlink>
            <w:r w:rsidRPr="00507370">
              <w:rPr>
                <w:rFonts w:cs="Arial"/>
                <w:color w:val="000000" w:themeColor="text1"/>
                <w:szCs w:val="24"/>
              </w:rPr>
              <w:t xml:space="preserve">) </w:t>
            </w:r>
          </w:p>
        </w:tc>
        <w:tc>
          <w:tcPr>
            <w:tcW w:w="4111" w:type="dxa"/>
          </w:tcPr>
          <w:p w14:paraId="37032113" w14:textId="4B12E29C" w:rsidR="64B201D6" w:rsidRPr="00507370" w:rsidRDefault="64B201D6" w:rsidP="00BE57D9">
            <w:pPr>
              <w:spacing w:before="0" w:after="0"/>
              <w:cnfStyle w:val="000000000000" w:firstRow="0" w:lastRow="0" w:firstColumn="0" w:lastColumn="0" w:oddVBand="0" w:evenVBand="0" w:oddHBand="0" w:evenHBand="0" w:firstRowFirstColumn="0" w:firstRowLastColumn="0" w:lastRowFirstColumn="0" w:lastRowLastColumn="0"/>
              <w:rPr>
                <w:rFonts w:cs="Arial"/>
                <w:color w:val="000000" w:themeColor="text1"/>
                <w:szCs w:val="24"/>
              </w:rPr>
            </w:pPr>
            <w:r w:rsidRPr="00507370">
              <w:rPr>
                <w:rFonts w:cs="Arial"/>
                <w:color w:val="000000" w:themeColor="text1"/>
                <w:szCs w:val="24"/>
              </w:rPr>
              <w:t xml:space="preserve">Existing </w:t>
            </w:r>
          </w:p>
        </w:tc>
      </w:tr>
      <w:tr w:rsidR="64B201D6" w:rsidRPr="00507370" w14:paraId="13CB2293" w14:textId="77777777" w:rsidTr="00454929">
        <w:trPr>
          <w:trHeight w:val="878"/>
        </w:trPr>
        <w:tc>
          <w:tcPr>
            <w:cnfStyle w:val="001000000000" w:firstRow="0" w:lastRow="0" w:firstColumn="1" w:lastColumn="0" w:oddVBand="0" w:evenVBand="0" w:oddHBand="0" w:evenHBand="0" w:firstRowFirstColumn="0" w:firstRowLastColumn="0" w:lastRowFirstColumn="0" w:lastRowLastColumn="0"/>
            <w:tcW w:w="5665" w:type="dxa"/>
          </w:tcPr>
          <w:p w14:paraId="495F9D03" w14:textId="71804011" w:rsidR="64B201D6" w:rsidRPr="00507370" w:rsidRDefault="64B201D6" w:rsidP="00BE57D9">
            <w:pPr>
              <w:spacing w:before="0" w:after="0"/>
              <w:rPr>
                <w:rFonts w:cs="Arial"/>
                <w:color w:val="000000" w:themeColor="text1"/>
                <w:szCs w:val="24"/>
              </w:rPr>
            </w:pPr>
            <w:r w:rsidRPr="00507370">
              <w:rPr>
                <w:rFonts w:cs="Arial"/>
                <w:color w:val="000000" w:themeColor="text1"/>
                <w:szCs w:val="24"/>
              </w:rPr>
              <w:t>Use of vehicles or vessels by harbour authorities to remove marine litter and debris (</w:t>
            </w:r>
            <w:hyperlink r:id="rId54" w:history="1">
              <w:r w:rsidRPr="00507370">
                <w:rPr>
                  <w:rStyle w:val="Hyperlink"/>
                  <w:rFonts w:cs="Arial"/>
                  <w:szCs w:val="24"/>
                </w:rPr>
                <w:t>Article 24A of the 2011 Exempted Activities Order</w:t>
              </w:r>
            </w:hyperlink>
            <w:r w:rsidRPr="00507370">
              <w:rPr>
                <w:rFonts w:cs="Arial"/>
                <w:color w:val="000000" w:themeColor="text1"/>
                <w:szCs w:val="24"/>
              </w:rPr>
              <w:t xml:space="preserve">) </w:t>
            </w:r>
          </w:p>
        </w:tc>
        <w:tc>
          <w:tcPr>
            <w:tcW w:w="4111" w:type="dxa"/>
          </w:tcPr>
          <w:p w14:paraId="306947A2" w14:textId="5F567C1C" w:rsidR="64B201D6" w:rsidRPr="00507370" w:rsidRDefault="64B201D6" w:rsidP="00BE57D9">
            <w:pPr>
              <w:spacing w:before="0" w:after="0"/>
              <w:cnfStyle w:val="000000000000" w:firstRow="0" w:lastRow="0" w:firstColumn="0" w:lastColumn="0" w:oddVBand="0" w:evenVBand="0" w:oddHBand="0" w:evenHBand="0" w:firstRowFirstColumn="0" w:firstRowLastColumn="0" w:lastRowFirstColumn="0" w:lastRowLastColumn="0"/>
              <w:rPr>
                <w:rFonts w:cs="Arial"/>
                <w:color w:val="000000" w:themeColor="text1"/>
                <w:szCs w:val="24"/>
              </w:rPr>
            </w:pPr>
            <w:r w:rsidRPr="00507370">
              <w:rPr>
                <w:rFonts w:cs="Arial"/>
                <w:color w:val="000000" w:themeColor="text1"/>
                <w:szCs w:val="24"/>
              </w:rPr>
              <w:t xml:space="preserve">Existing </w:t>
            </w:r>
          </w:p>
        </w:tc>
      </w:tr>
      <w:tr w:rsidR="64B201D6" w:rsidRPr="00507370" w14:paraId="22CB9E0B" w14:textId="77777777" w:rsidTr="00454929">
        <w:trPr>
          <w:trHeight w:val="779"/>
        </w:trPr>
        <w:tc>
          <w:tcPr>
            <w:cnfStyle w:val="001000000000" w:firstRow="0" w:lastRow="0" w:firstColumn="1" w:lastColumn="0" w:oddVBand="0" w:evenVBand="0" w:oddHBand="0" w:evenHBand="0" w:firstRowFirstColumn="0" w:firstRowLastColumn="0" w:lastRowFirstColumn="0" w:lastRowLastColumn="0"/>
            <w:tcW w:w="5665" w:type="dxa"/>
          </w:tcPr>
          <w:p w14:paraId="67FB8B36" w14:textId="06A5E0ED" w:rsidR="64B201D6" w:rsidRPr="00507370" w:rsidRDefault="64B201D6" w:rsidP="00BE57D9">
            <w:pPr>
              <w:spacing w:before="0" w:after="0"/>
              <w:rPr>
                <w:rFonts w:cs="Arial"/>
                <w:color w:val="000000" w:themeColor="text1"/>
                <w:szCs w:val="24"/>
              </w:rPr>
            </w:pPr>
            <w:r w:rsidRPr="00507370">
              <w:rPr>
                <w:rFonts w:cs="Arial"/>
                <w:color w:val="000000" w:themeColor="text1"/>
                <w:szCs w:val="24"/>
              </w:rPr>
              <w:t>Use of vehicles to remove litter, seaweed or dead animals from beaches and inter</w:t>
            </w:r>
            <w:r w:rsidR="001049F5" w:rsidRPr="00507370">
              <w:rPr>
                <w:rFonts w:cs="Arial"/>
                <w:color w:val="000000" w:themeColor="text1"/>
                <w:szCs w:val="24"/>
              </w:rPr>
              <w:t>-</w:t>
            </w:r>
            <w:r w:rsidRPr="00507370">
              <w:rPr>
                <w:rFonts w:cs="Arial"/>
                <w:color w:val="000000" w:themeColor="text1"/>
                <w:szCs w:val="24"/>
              </w:rPr>
              <w:t>tidal areas (</w:t>
            </w:r>
            <w:hyperlink r:id="rId55" w:history="1">
              <w:r w:rsidRPr="00507370">
                <w:rPr>
                  <w:rStyle w:val="Hyperlink"/>
                  <w:rFonts w:cs="Arial"/>
                  <w:szCs w:val="24"/>
                </w:rPr>
                <w:t>Article 21 of the 2011 Exempted Activities Order</w:t>
              </w:r>
            </w:hyperlink>
            <w:r w:rsidRPr="00507370">
              <w:rPr>
                <w:rFonts w:cs="Arial"/>
                <w:color w:val="000000" w:themeColor="text1"/>
                <w:szCs w:val="24"/>
              </w:rPr>
              <w:t xml:space="preserve">) </w:t>
            </w:r>
          </w:p>
        </w:tc>
        <w:tc>
          <w:tcPr>
            <w:tcW w:w="4111" w:type="dxa"/>
          </w:tcPr>
          <w:p w14:paraId="31E6E7CF" w14:textId="6D539A17" w:rsidR="64B201D6" w:rsidRPr="00507370" w:rsidRDefault="64B201D6" w:rsidP="00BE57D9">
            <w:pPr>
              <w:spacing w:before="0" w:after="0"/>
              <w:cnfStyle w:val="000000000000" w:firstRow="0" w:lastRow="0" w:firstColumn="0" w:lastColumn="0" w:oddVBand="0" w:evenVBand="0" w:oddHBand="0" w:evenHBand="0" w:firstRowFirstColumn="0" w:firstRowLastColumn="0" w:lastRowFirstColumn="0" w:lastRowLastColumn="0"/>
              <w:rPr>
                <w:rFonts w:cs="Arial"/>
                <w:color w:val="000000" w:themeColor="text1"/>
                <w:szCs w:val="24"/>
              </w:rPr>
            </w:pPr>
            <w:r w:rsidRPr="00507370">
              <w:rPr>
                <w:rFonts w:cs="Arial"/>
                <w:color w:val="000000" w:themeColor="text1"/>
                <w:szCs w:val="24"/>
              </w:rPr>
              <w:t xml:space="preserve">Existing </w:t>
            </w:r>
          </w:p>
        </w:tc>
      </w:tr>
      <w:tr w:rsidR="64B201D6" w:rsidRPr="00507370" w14:paraId="1FE88F5E" w14:textId="77777777" w:rsidTr="00454929">
        <w:trPr>
          <w:trHeight w:val="521"/>
        </w:trPr>
        <w:tc>
          <w:tcPr>
            <w:cnfStyle w:val="001000000000" w:firstRow="0" w:lastRow="0" w:firstColumn="1" w:lastColumn="0" w:oddVBand="0" w:evenVBand="0" w:oddHBand="0" w:evenHBand="0" w:firstRowFirstColumn="0" w:firstRowLastColumn="0" w:lastRowFirstColumn="0" w:lastRowLastColumn="0"/>
            <w:tcW w:w="5665" w:type="dxa"/>
          </w:tcPr>
          <w:p w14:paraId="7FFBB813" w14:textId="5F585A75" w:rsidR="64B201D6" w:rsidRPr="00507370" w:rsidRDefault="64B201D6" w:rsidP="00BE57D9">
            <w:pPr>
              <w:spacing w:before="0" w:after="0"/>
              <w:rPr>
                <w:rFonts w:cs="Arial"/>
                <w:color w:val="000000" w:themeColor="text1"/>
                <w:szCs w:val="24"/>
              </w:rPr>
            </w:pPr>
            <w:r w:rsidRPr="00507370">
              <w:rPr>
                <w:rFonts w:cs="Arial"/>
                <w:color w:val="000000" w:themeColor="text1"/>
                <w:szCs w:val="24"/>
              </w:rPr>
              <w:t>Scientific instruments etc</w:t>
            </w:r>
            <w:r w:rsidR="00935040" w:rsidRPr="00507370">
              <w:rPr>
                <w:rFonts w:cs="Arial"/>
                <w:color w:val="000000" w:themeColor="text1"/>
                <w:szCs w:val="24"/>
              </w:rPr>
              <w:t xml:space="preserve"> </w:t>
            </w:r>
            <w:r w:rsidRPr="00507370">
              <w:rPr>
                <w:rFonts w:cs="Arial"/>
                <w:color w:val="000000" w:themeColor="text1"/>
                <w:szCs w:val="24"/>
              </w:rPr>
              <w:t>(</w:t>
            </w:r>
            <w:hyperlink r:id="rId56" w:history="1">
              <w:r w:rsidRPr="00507370">
                <w:rPr>
                  <w:rStyle w:val="Hyperlink"/>
                  <w:rFonts w:cs="Arial"/>
                  <w:szCs w:val="24"/>
                </w:rPr>
                <w:t>Article 17 of the 2011 Exempted Activities Order</w:t>
              </w:r>
            </w:hyperlink>
            <w:r w:rsidRPr="00507370">
              <w:rPr>
                <w:rFonts w:cs="Arial"/>
                <w:color w:val="000000" w:themeColor="text1"/>
                <w:szCs w:val="24"/>
              </w:rPr>
              <w:t xml:space="preserve">) </w:t>
            </w:r>
          </w:p>
        </w:tc>
        <w:tc>
          <w:tcPr>
            <w:tcW w:w="4111" w:type="dxa"/>
          </w:tcPr>
          <w:p w14:paraId="7AAEE34D" w14:textId="7DD338AB" w:rsidR="64B201D6" w:rsidRPr="00507370" w:rsidRDefault="64B201D6" w:rsidP="00BE57D9">
            <w:pPr>
              <w:spacing w:before="0" w:after="0"/>
              <w:cnfStyle w:val="000000000000" w:firstRow="0" w:lastRow="0" w:firstColumn="0" w:lastColumn="0" w:oddVBand="0" w:evenVBand="0" w:oddHBand="0" w:evenHBand="0" w:firstRowFirstColumn="0" w:firstRowLastColumn="0" w:lastRowFirstColumn="0" w:lastRowLastColumn="0"/>
              <w:rPr>
                <w:rFonts w:cs="Arial"/>
                <w:color w:val="000000" w:themeColor="text1"/>
                <w:szCs w:val="24"/>
              </w:rPr>
            </w:pPr>
            <w:r w:rsidRPr="00507370">
              <w:rPr>
                <w:rFonts w:cs="Arial"/>
                <w:color w:val="000000" w:themeColor="text1"/>
                <w:szCs w:val="24"/>
              </w:rPr>
              <w:t xml:space="preserve">Existing </w:t>
            </w:r>
          </w:p>
        </w:tc>
      </w:tr>
      <w:tr w:rsidR="64B201D6" w:rsidRPr="00507370" w14:paraId="1F55D345" w14:textId="77777777" w:rsidTr="002912F1">
        <w:trPr>
          <w:trHeight w:val="555"/>
        </w:trPr>
        <w:tc>
          <w:tcPr>
            <w:cnfStyle w:val="001000000000" w:firstRow="0" w:lastRow="0" w:firstColumn="1" w:lastColumn="0" w:oddVBand="0" w:evenVBand="0" w:oddHBand="0" w:evenHBand="0" w:firstRowFirstColumn="0" w:firstRowLastColumn="0" w:lastRowFirstColumn="0" w:lastRowLastColumn="0"/>
            <w:tcW w:w="5665" w:type="dxa"/>
          </w:tcPr>
          <w:p w14:paraId="1C27652A" w14:textId="3397CF75" w:rsidR="64B201D6" w:rsidRPr="00507370" w:rsidRDefault="64B201D6" w:rsidP="00BE57D9">
            <w:pPr>
              <w:spacing w:before="0" w:after="0"/>
              <w:rPr>
                <w:rFonts w:cs="Arial"/>
                <w:color w:val="000000" w:themeColor="text1"/>
                <w:szCs w:val="24"/>
              </w:rPr>
            </w:pPr>
            <w:r w:rsidRPr="00507370">
              <w:rPr>
                <w:rFonts w:cs="Arial"/>
                <w:color w:val="000000" w:themeColor="text1"/>
                <w:szCs w:val="24"/>
              </w:rPr>
              <w:t>Samples for testing and analysis (</w:t>
            </w:r>
            <w:hyperlink r:id="rId57" w:history="1">
              <w:r w:rsidRPr="00507370">
                <w:rPr>
                  <w:rStyle w:val="Hyperlink"/>
                  <w:rFonts w:cs="Arial"/>
                  <w:szCs w:val="24"/>
                </w:rPr>
                <w:t>Article 17A of the 2011 Exempted Activities Order</w:t>
              </w:r>
            </w:hyperlink>
            <w:r w:rsidRPr="00507370">
              <w:rPr>
                <w:rFonts w:cs="Arial"/>
                <w:color w:val="000000" w:themeColor="text1"/>
                <w:szCs w:val="24"/>
              </w:rPr>
              <w:t xml:space="preserve">) </w:t>
            </w:r>
          </w:p>
        </w:tc>
        <w:tc>
          <w:tcPr>
            <w:tcW w:w="4111" w:type="dxa"/>
          </w:tcPr>
          <w:p w14:paraId="4D9F2840" w14:textId="751FA5F9" w:rsidR="64B201D6" w:rsidRPr="00507370" w:rsidRDefault="64B201D6" w:rsidP="00BE57D9">
            <w:pPr>
              <w:spacing w:before="0" w:after="0"/>
              <w:cnfStyle w:val="000000000000" w:firstRow="0" w:lastRow="0" w:firstColumn="0" w:lastColumn="0" w:oddVBand="0" w:evenVBand="0" w:oddHBand="0" w:evenHBand="0" w:firstRowFirstColumn="0" w:firstRowLastColumn="0" w:lastRowFirstColumn="0" w:lastRowLastColumn="0"/>
              <w:rPr>
                <w:rFonts w:cs="Arial"/>
                <w:color w:val="000000" w:themeColor="text1"/>
                <w:szCs w:val="24"/>
              </w:rPr>
            </w:pPr>
            <w:r w:rsidRPr="00507370">
              <w:rPr>
                <w:rFonts w:cs="Arial"/>
                <w:color w:val="000000" w:themeColor="text1"/>
                <w:szCs w:val="24"/>
              </w:rPr>
              <w:t xml:space="preserve">Existing </w:t>
            </w:r>
          </w:p>
        </w:tc>
      </w:tr>
      <w:tr w:rsidR="64B201D6" w:rsidRPr="00507370" w14:paraId="7873A1F1" w14:textId="77777777" w:rsidTr="002912F1">
        <w:trPr>
          <w:trHeight w:val="585"/>
        </w:trPr>
        <w:tc>
          <w:tcPr>
            <w:cnfStyle w:val="001000000000" w:firstRow="0" w:lastRow="0" w:firstColumn="1" w:lastColumn="0" w:oddVBand="0" w:evenVBand="0" w:oddHBand="0" w:evenHBand="0" w:firstRowFirstColumn="0" w:firstRowLastColumn="0" w:lastRowFirstColumn="0" w:lastRowLastColumn="0"/>
            <w:tcW w:w="5665" w:type="dxa"/>
          </w:tcPr>
          <w:p w14:paraId="2F69543A" w14:textId="388E7653" w:rsidR="64B201D6" w:rsidRPr="00507370" w:rsidRDefault="64B201D6" w:rsidP="00BE57D9">
            <w:pPr>
              <w:spacing w:before="0" w:after="0"/>
              <w:rPr>
                <w:rFonts w:cs="Arial"/>
                <w:color w:val="000000" w:themeColor="text1"/>
                <w:szCs w:val="24"/>
              </w:rPr>
            </w:pPr>
            <w:r w:rsidRPr="00507370">
              <w:rPr>
                <w:rFonts w:cs="Arial"/>
                <w:color w:val="000000" w:themeColor="text1"/>
                <w:szCs w:val="24"/>
              </w:rPr>
              <w:t>Maintenance of harbour works (</w:t>
            </w:r>
            <w:hyperlink r:id="rId58" w:history="1">
              <w:r w:rsidRPr="00507370">
                <w:rPr>
                  <w:rStyle w:val="Hyperlink"/>
                  <w:rFonts w:cs="Arial"/>
                  <w:szCs w:val="24"/>
                </w:rPr>
                <w:t>Article 23 of the 2011 Exempted Activities Order</w:t>
              </w:r>
            </w:hyperlink>
            <w:r w:rsidRPr="00507370">
              <w:rPr>
                <w:rFonts w:cs="Arial"/>
                <w:color w:val="000000" w:themeColor="text1"/>
                <w:szCs w:val="24"/>
              </w:rPr>
              <w:t xml:space="preserve">) </w:t>
            </w:r>
          </w:p>
        </w:tc>
        <w:tc>
          <w:tcPr>
            <w:tcW w:w="4111" w:type="dxa"/>
          </w:tcPr>
          <w:p w14:paraId="20EDF4F0" w14:textId="2889D677" w:rsidR="64B201D6" w:rsidRPr="00507370" w:rsidRDefault="64B201D6" w:rsidP="00BE57D9">
            <w:pPr>
              <w:spacing w:before="0" w:after="0"/>
              <w:cnfStyle w:val="000000000000" w:firstRow="0" w:lastRow="0" w:firstColumn="0" w:lastColumn="0" w:oddVBand="0" w:evenVBand="0" w:oddHBand="0" w:evenHBand="0" w:firstRowFirstColumn="0" w:firstRowLastColumn="0" w:lastRowFirstColumn="0" w:lastRowLastColumn="0"/>
              <w:rPr>
                <w:rFonts w:cs="Arial"/>
                <w:color w:val="000000" w:themeColor="text1"/>
                <w:szCs w:val="24"/>
              </w:rPr>
            </w:pPr>
            <w:r w:rsidRPr="00507370">
              <w:rPr>
                <w:rFonts w:cs="Arial"/>
                <w:color w:val="000000" w:themeColor="text1"/>
                <w:szCs w:val="24"/>
              </w:rPr>
              <w:t xml:space="preserve">New </w:t>
            </w:r>
          </w:p>
        </w:tc>
      </w:tr>
      <w:tr w:rsidR="64B201D6" w:rsidRPr="00507370" w14:paraId="7756FA20" w14:textId="77777777" w:rsidTr="002912F1">
        <w:trPr>
          <w:trHeight w:val="900"/>
        </w:trPr>
        <w:tc>
          <w:tcPr>
            <w:cnfStyle w:val="001000000000" w:firstRow="0" w:lastRow="0" w:firstColumn="1" w:lastColumn="0" w:oddVBand="0" w:evenVBand="0" w:oddHBand="0" w:evenHBand="0" w:firstRowFirstColumn="0" w:firstRowLastColumn="0" w:lastRowFirstColumn="0" w:lastRowLastColumn="0"/>
            <w:tcW w:w="5665" w:type="dxa"/>
          </w:tcPr>
          <w:p w14:paraId="279ECEDF" w14:textId="3C89B4D7" w:rsidR="64B201D6" w:rsidRPr="00507370" w:rsidRDefault="64B201D6" w:rsidP="00BE57D9">
            <w:pPr>
              <w:spacing w:before="0" w:after="0"/>
              <w:rPr>
                <w:rFonts w:cs="Arial"/>
                <w:color w:val="000000" w:themeColor="text1"/>
                <w:szCs w:val="24"/>
              </w:rPr>
            </w:pPr>
            <w:r w:rsidRPr="00507370">
              <w:rPr>
                <w:rFonts w:cs="Arial"/>
                <w:color w:val="000000" w:themeColor="text1"/>
                <w:szCs w:val="24"/>
              </w:rPr>
              <w:t>Maintenance of coastal protection, drainage and flood defence works (</w:t>
            </w:r>
            <w:hyperlink r:id="rId59" w:history="1">
              <w:r w:rsidRPr="00507370">
                <w:rPr>
                  <w:rStyle w:val="Hyperlink"/>
                  <w:rFonts w:cs="Arial"/>
                  <w:szCs w:val="24"/>
                </w:rPr>
                <w:t>Article 19 of the 2011 Exempted Activities Order</w:t>
              </w:r>
            </w:hyperlink>
            <w:r w:rsidRPr="00507370">
              <w:rPr>
                <w:rFonts w:cs="Arial"/>
                <w:color w:val="000000" w:themeColor="text1"/>
                <w:szCs w:val="24"/>
              </w:rPr>
              <w:t xml:space="preserve">) </w:t>
            </w:r>
          </w:p>
        </w:tc>
        <w:tc>
          <w:tcPr>
            <w:tcW w:w="4111" w:type="dxa"/>
          </w:tcPr>
          <w:p w14:paraId="748E24E1" w14:textId="31B34072" w:rsidR="64B201D6" w:rsidRPr="00507370" w:rsidRDefault="64B201D6" w:rsidP="00BE57D9">
            <w:pPr>
              <w:spacing w:before="0" w:after="0"/>
              <w:cnfStyle w:val="000000000000" w:firstRow="0" w:lastRow="0" w:firstColumn="0" w:lastColumn="0" w:oddVBand="0" w:evenVBand="0" w:oddHBand="0" w:evenHBand="0" w:firstRowFirstColumn="0" w:firstRowLastColumn="0" w:lastRowFirstColumn="0" w:lastRowLastColumn="0"/>
              <w:rPr>
                <w:rFonts w:cs="Arial"/>
                <w:color w:val="000000" w:themeColor="text1"/>
                <w:szCs w:val="24"/>
              </w:rPr>
            </w:pPr>
            <w:r w:rsidRPr="00507370">
              <w:rPr>
                <w:rFonts w:cs="Arial"/>
                <w:color w:val="000000" w:themeColor="text1"/>
                <w:szCs w:val="24"/>
              </w:rPr>
              <w:t xml:space="preserve">New </w:t>
            </w:r>
          </w:p>
        </w:tc>
      </w:tr>
      <w:tr w:rsidR="64B201D6" w:rsidRPr="00507370" w14:paraId="16705233" w14:textId="77777777" w:rsidTr="00454929">
        <w:trPr>
          <w:trHeight w:val="531"/>
        </w:trPr>
        <w:tc>
          <w:tcPr>
            <w:cnfStyle w:val="001000000000" w:firstRow="0" w:lastRow="0" w:firstColumn="1" w:lastColumn="0" w:oddVBand="0" w:evenVBand="0" w:oddHBand="0" w:evenHBand="0" w:firstRowFirstColumn="0" w:firstRowLastColumn="0" w:lastRowFirstColumn="0" w:lastRowLastColumn="0"/>
            <w:tcW w:w="5665" w:type="dxa"/>
          </w:tcPr>
          <w:p w14:paraId="4730D57F" w14:textId="6EBF647B" w:rsidR="64B201D6" w:rsidRPr="00507370" w:rsidRDefault="64B201D6" w:rsidP="00BE57D9">
            <w:pPr>
              <w:spacing w:before="0" w:after="0"/>
              <w:rPr>
                <w:rFonts w:cs="Arial"/>
                <w:color w:val="000000" w:themeColor="text1"/>
                <w:szCs w:val="24"/>
              </w:rPr>
            </w:pPr>
            <w:r w:rsidRPr="00507370">
              <w:rPr>
                <w:rFonts w:cs="Arial"/>
                <w:color w:val="000000" w:themeColor="text1"/>
                <w:szCs w:val="24"/>
              </w:rPr>
              <w:t>Navigational Dredging (</w:t>
            </w:r>
            <w:hyperlink r:id="rId60" w:history="1">
              <w:r w:rsidRPr="00507370">
                <w:rPr>
                  <w:rStyle w:val="Hyperlink"/>
                  <w:rFonts w:cs="Arial"/>
                  <w:szCs w:val="24"/>
                </w:rPr>
                <w:t>Article 18A of the 2011 Exempted Activities Order</w:t>
              </w:r>
            </w:hyperlink>
            <w:r w:rsidRPr="00507370">
              <w:rPr>
                <w:rFonts w:cs="Arial"/>
                <w:color w:val="000000" w:themeColor="text1"/>
                <w:szCs w:val="24"/>
              </w:rPr>
              <w:t xml:space="preserve">) </w:t>
            </w:r>
          </w:p>
        </w:tc>
        <w:tc>
          <w:tcPr>
            <w:tcW w:w="4111" w:type="dxa"/>
          </w:tcPr>
          <w:p w14:paraId="2EB49C46" w14:textId="07B14E99" w:rsidR="64B201D6" w:rsidRPr="00507370" w:rsidRDefault="64B201D6" w:rsidP="00BE57D9">
            <w:pPr>
              <w:spacing w:before="0" w:after="0"/>
              <w:cnfStyle w:val="000000000000" w:firstRow="0" w:lastRow="0" w:firstColumn="0" w:lastColumn="0" w:oddVBand="0" w:evenVBand="0" w:oddHBand="0" w:evenHBand="0" w:firstRowFirstColumn="0" w:firstRowLastColumn="0" w:lastRowFirstColumn="0" w:lastRowLastColumn="0"/>
              <w:rPr>
                <w:rFonts w:cs="Arial"/>
                <w:color w:val="000000" w:themeColor="text1"/>
                <w:szCs w:val="24"/>
              </w:rPr>
            </w:pPr>
            <w:r w:rsidRPr="00507370">
              <w:rPr>
                <w:rFonts w:cs="Arial"/>
                <w:color w:val="000000" w:themeColor="text1"/>
                <w:szCs w:val="24"/>
              </w:rPr>
              <w:t xml:space="preserve">Existing </w:t>
            </w:r>
          </w:p>
        </w:tc>
      </w:tr>
      <w:tr w:rsidR="64B201D6" w:rsidRPr="00507370" w14:paraId="662CD187" w14:textId="77777777" w:rsidTr="002912F1">
        <w:trPr>
          <w:trHeight w:val="570"/>
        </w:trPr>
        <w:tc>
          <w:tcPr>
            <w:cnfStyle w:val="001000000000" w:firstRow="0" w:lastRow="0" w:firstColumn="1" w:lastColumn="0" w:oddVBand="0" w:evenVBand="0" w:oddHBand="0" w:evenHBand="0" w:firstRowFirstColumn="0" w:firstRowLastColumn="0" w:lastRowFirstColumn="0" w:lastRowLastColumn="0"/>
            <w:tcW w:w="5665" w:type="dxa"/>
          </w:tcPr>
          <w:p w14:paraId="1BF3ACE4" w14:textId="42993B48" w:rsidR="64B201D6" w:rsidRPr="00507370" w:rsidRDefault="64B201D6" w:rsidP="00BE57D9">
            <w:pPr>
              <w:spacing w:before="0" w:after="0"/>
              <w:rPr>
                <w:rFonts w:cs="Arial"/>
                <w:color w:val="000000" w:themeColor="text1"/>
                <w:szCs w:val="24"/>
              </w:rPr>
            </w:pPr>
            <w:r w:rsidRPr="00507370">
              <w:rPr>
                <w:rFonts w:cs="Arial"/>
                <w:color w:val="000000" w:themeColor="text1"/>
                <w:szCs w:val="24"/>
              </w:rPr>
              <w:t>Shellfish propagation and cultivation (</w:t>
            </w:r>
            <w:hyperlink r:id="rId61" w:history="1">
              <w:r w:rsidRPr="00507370">
                <w:rPr>
                  <w:rStyle w:val="Hyperlink"/>
                  <w:rFonts w:cs="Arial"/>
                  <w:szCs w:val="24"/>
                </w:rPr>
                <w:t>Article 13 of the 2011 Exempted Activities Order</w:t>
              </w:r>
            </w:hyperlink>
            <w:r w:rsidRPr="00507370">
              <w:rPr>
                <w:rFonts w:cs="Arial"/>
                <w:color w:val="000000" w:themeColor="text1"/>
                <w:szCs w:val="24"/>
              </w:rPr>
              <w:t xml:space="preserve">) </w:t>
            </w:r>
          </w:p>
        </w:tc>
        <w:tc>
          <w:tcPr>
            <w:tcW w:w="4111" w:type="dxa"/>
          </w:tcPr>
          <w:p w14:paraId="79F9A29C" w14:textId="2B2BE539" w:rsidR="64B201D6" w:rsidRPr="00507370" w:rsidRDefault="64B201D6" w:rsidP="00BE57D9">
            <w:pPr>
              <w:spacing w:before="0" w:after="0"/>
              <w:cnfStyle w:val="000000000000" w:firstRow="0" w:lastRow="0" w:firstColumn="0" w:lastColumn="0" w:oddVBand="0" w:evenVBand="0" w:oddHBand="0" w:evenHBand="0" w:firstRowFirstColumn="0" w:firstRowLastColumn="0" w:lastRowFirstColumn="0" w:lastRowLastColumn="0"/>
              <w:rPr>
                <w:rFonts w:cs="Arial"/>
                <w:color w:val="000000" w:themeColor="text1"/>
                <w:szCs w:val="24"/>
              </w:rPr>
            </w:pPr>
            <w:r w:rsidRPr="00507370">
              <w:rPr>
                <w:rFonts w:cs="Arial"/>
                <w:color w:val="000000" w:themeColor="text1"/>
                <w:szCs w:val="24"/>
              </w:rPr>
              <w:t xml:space="preserve">New </w:t>
            </w:r>
          </w:p>
        </w:tc>
      </w:tr>
      <w:tr w:rsidR="64B201D6" w:rsidRPr="00507370" w14:paraId="2F0052F4" w14:textId="77777777" w:rsidTr="002912F1">
        <w:trPr>
          <w:trHeight w:val="885"/>
        </w:trPr>
        <w:tc>
          <w:tcPr>
            <w:cnfStyle w:val="001000000000" w:firstRow="0" w:lastRow="0" w:firstColumn="1" w:lastColumn="0" w:oddVBand="0" w:evenVBand="0" w:oddHBand="0" w:evenHBand="0" w:firstRowFirstColumn="0" w:firstRowLastColumn="0" w:lastRowFirstColumn="0" w:lastRowLastColumn="0"/>
            <w:tcW w:w="5665" w:type="dxa"/>
          </w:tcPr>
          <w:p w14:paraId="7CA4404B" w14:textId="658A4D69" w:rsidR="64B201D6" w:rsidRPr="00507370" w:rsidRDefault="64B201D6" w:rsidP="0065755D">
            <w:pPr>
              <w:spacing w:before="0" w:after="0"/>
              <w:rPr>
                <w:rFonts w:cs="Arial"/>
                <w:color w:val="000000" w:themeColor="text1"/>
                <w:szCs w:val="24"/>
              </w:rPr>
            </w:pPr>
            <w:r w:rsidRPr="00507370">
              <w:rPr>
                <w:rFonts w:cs="Arial"/>
                <w:color w:val="000000" w:themeColor="text1"/>
                <w:szCs w:val="24"/>
              </w:rPr>
              <w:t>Deposits in the course of normal navigation or maintenance (</w:t>
            </w:r>
            <w:hyperlink r:id="rId62" w:history="1">
              <w:r w:rsidRPr="00507370">
                <w:rPr>
                  <w:rStyle w:val="Hyperlink"/>
                  <w:rFonts w:cs="Arial"/>
                  <w:szCs w:val="24"/>
                </w:rPr>
                <w:t>Article 22 the 2011 Exempted Activities Order</w:t>
              </w:r>
            </w:hyperlink>
            <w:r w:rsidRPr="00507370">
              <w:rPr>
                <w:rFonts w:cs="Arial"/>
                <w:color w:val="000000" w:themeColor="text1"/>
                <w:szCs w:val="24"/>
              </w:rPr>
              <w:t xml:space="preserve">) </w:t>
            </w:r>
          </w:p>
        </w:tc>
        <w:tc>
          <w:tcPr>
            <w:tcW w:w="4111" w:type="dxa"/>
          </w:tcPr>
          <w:p w14:paraId="62597DD5" w14:textId="69F54B32" w:rsidR="64B201D6" w:rsidRPr="00507370" w:rsidRDefault="64B201D6" w:rsidP="0065755D">
            <w:pPr>
              <w:spacing w:before="0" w:after="0"/>
              <w:cnfStyle w:val="000000000000" w:firstRow="0" w:lastRow="0" w:firstColumn="0" w:lastColumn="0" w:oddVBand="0" w:evenVBand="0" w:oddHBand="0" w:evenHBand="0" w:firstRowFirstColumn="0" w:firstRowLastColumn="0" w:lastRowFirstColumn="0" w:lastRowLastColumn="0"/>
              <w:rPr>
                <w:rFonts w:cs="Arial"/>
                <w:color w:val="000000" w:themeColor="text1"/>
                <w:szCs w:val="24"/>
              </w:rPr>
            </w:pPr>
            <w:r w:rsidRPr="00507370">
              <w:rPr>
                <w:rFonts w:cs="Arial"/>
                <w:color w:val="000000" w:themeColor="text1"/>
                <w:szCs w:val="24"/>
              </w:rPr>
              <w:t>New (</w:t>
            </w:r>
            <w:r w:rsidR="0091455A" w:rsidRPr="00507370">
              <w:rPr>
                <w:rFonts w:cs="Arial"/>
                <w:color w:val="000000" w:themeColor="text1"/>
                <w:szCs w:val="24"/>
              </w:rPr>
              <w:t>note:</w:t>
            </w:r>
            <w:r w:rsidRPr="00507370">
              <w:rPr>
                <w:rFonts w:cs="Arial"/>
                <w:color w:val="000000" w:themeColor="text1"/>
                <w:szCs w:val="24"/>
              </w:rPr>
              <w:t xml:space="preserve"> </w:t>
            </w:r>
            <w:r w:rsidR="0091455A" w:rsidRPr="00507370">
              <w:rPr>
                <w:rFonts w:cs="Arial"/>
                <w:color w:val="000000" w:themeColor="text1"/>
                <w:szCs w:val="24"/>
              </w:rPr>
              <w:t xml:space="preserve">the </w:t>
            </w:r>
            <w:r w:rsidRPr="00507370">
              <w:rPr>
                <w:rFonts w:cs="Arial"/>
                <w:color w:val="000000" w:themeColor="text1"/>
                <w:szCs w:val="24"/>
              </w:rPr>
              <w:t xml:space="preserve">proposal </w:t>
            </w:r>
            <w:r w:rsidR="0091455A" w:rsidRPr="00507370">
              <w:rPr>
                <w:rFonts w:cs="Arial"/>
                <w:color w:val="000000" w:themeColor="text1"/>
                <w:szCs w:val="24"/>
              </w:rPr>
              <w:t xml:space="preserve">is </w:t>
            </w:r>
            <w:r w:rsidRPr="00507370">
              <w:rPr>
                <w:rFonts w:cs="Arial"/>
                <w:color w:val="000000" w:themeColor="text1"/>
                <w:szCs w:val="24"/>
              </w:rPr>
              <w:t xml:space="preserve">to remain exempt, but to apply condition to specific activity related to spud legs. A spud leg is used as an anchor for securing floating work platforms in their watery bed to prevent general movement and drifting from their work area. The activity would be to support work or activities, not where they are used as an anchor for a </w:t>
            </w:r>
            <w:proofErr w:type="gramStart"/>
            <w:r w:rsidRPr="00507370">
              <w:rPr>
                <w:rFonts w:cs="Arial"/>
                <w:color w:val="000000" w:themeColor="text1"/>
                <w:szCs w:val="24"/>
              </w:rPr>
              <w:t>house boat</w:t>
            </w:r>
            <w:proofErr w:type="gramEnd"/>
            <w:r w:rsidRPr="00507370">
              <w:rPr>
                <w:rFonts w:cs="Arial"/>
                <w:color w:val="000000" w:themeColor="text1"/>
                <w:szCs w:val="24"/>
              </w:rPr>
              <w:t xml:space="preserve">.) </w:t>
            </w:r>
          </w:p>
        </w:tc>
      </w:tr>
      <w:tr w:rsidR="64B201D6" w:rsidRPr="00507370" w14:paraId="53E634CA" w14:textId="77777777" w:rsidTr="00454929">
        <w:trPr>
          <w:trHeight w:val="601"/>
        </w:trPr>
        <w:tc>
          <w:tcPr>
            <w:cnfStyle w:val="001000000000" w:firstRow="0" w:lastRow="0" w:firstColumn="1" w:lastColumn="0" w:oddVBand="0" w:evenVBand="0" w:oddHBand="0" w:evenHBand="0" w:firstRowFirstColumn="0" w:firstRowLastColumn="0" w:lastRowFirstColumn="0" w:lastRowLastColumn="0"/>
            <w:tcW w:w="5665" w:type="dxa"/>
          </w:tcPr>
          <w:p w14:paraId="0E7DFBFB" w14:textId="52007503" w:rsidR="64B201D6" w:rsidRPr="00507370" w:rsidRDefault="64B201D6" w:rsidP="0065755D">
            <w:pPr>
              <w:spacing w:before="0" w:after="0"/>
              <w:rPr>
                <w:rFonts w:cs="Arial"/>
                <w:color w:val="000000" w:themeColor="text1"/>
                <w:szCs w:val="24"/>
              </w:rPr>
            </w:pPr>
            <w:r w:rsidRPr="00507370">
              <w:rPr>
                <w:rFonts w:cs="Arial"/>
                <w:color w:val="000000" w:themeColor="text1"/>
                <w:szCs w:val="24"/>
              </w:rPr>
              <w:t>Deposits of a substance arising from hull cleaning (</w:t>
            </w:r>
            <w:hyperlink r:id="rId63" w:history="1">
              <w:r w:rsidRPr="00507370">
                <w:rPr>
                  <w:rStyle w:val="Hyperlink"/>
                  <w:rFonts w:cs="Arial"/>
                  <w:szCs w:val="24"/>
                </w:rPr>
                <w:t>Article 27A the 2011 Exempted Activities Order</w:t>
              </w:r>
            </w:hyperlink>
            <w:r w:rsidRPr="00507370">
              <w:rPr>
                <w:rFonts w:cs="Arial"/>
                <w:color w:val="000000" w:themeColor="text1"/>
                <w:szCs w:val="24"/>
              </w:rPr>
              <w:t xml:space="preserve">) </w:t>
            </w:r>
          </w:p>
        </w:tc>
        <w:tc>
          <w:tcPr>
            <w:tcW w:w="4111" w:type="dxa"/>
          </w:tcPr>
          <w:p w14:paraId="2AE011BE" w14:textId="6CD0417B" w:rsidR="64B201D6" w:rsidRPr="00507370" w:rsidRDefault="64B201D6" w:rsidP="0065755D">
            <w:pPr>
              <w:spacing w:before="0" w:after="0"/>
              <w:cnfStyle w:val="000000000000" w:firstRow="0" w:lastRow="0" w:firstColumn="0" w:lastColumn="0" w:oddVBand="0" w:evenVBand="0" w:oddHBand="0" w:evenHBand="0" w:firstRowFirstColumn="0" w:firstRowLastColumn="0" w:lastRowFirstColumn="0" w:lastRowLastColumn="0"/>
              <w:rPr>
                <w:rFonts w:cs="Arial"/>
                <w:color w:val="000000" w:themeColor="text1"/>
                <w:szCs w:val="24"/>
              </w:rPr>
            </w:pPr>
            <w:r w:rsidRPr="00507370">
              <w:rPr>
                <w:rFonts w:cs="Arial"/>
                <w:color w:val="000000" w:themeColor="text1"/>
                <w:szCs w:val="24"/>
              </w:rPr>
              <w:t xml:space="preserve">New </w:t>
            </w:r>
          </w:p>
        </w:tc>
      </w:tr>
      <w:tr w:rsidR="64B201D6" w:rsidRPr="00507370" w14:paraId="5D426543" w14:textId="77777777" w:rsidTr="002912F1">
        <w:trPr>
          <w:trHeight w:val="570"/>
        </w:trPr>
        <w:tc>
          <w:tcPr>
            <w:cnfStyle w:val="001000000000" w:firstRow="0" w:lastRow="0" w:firstColumn="1" w:lastColumn="0" w:oddVBand="0" w:evenVBand="0" w:oddHBand="0" w:evenHBand="0" w:firstRowFirstColumn="0" w:firstRowLastColumn="0" w:lastRowFirstColumn="0" w:lastRowLastColumn="0"/>
            <w:tcW w:w="5665" w:type="dxa"/>
          </w:tcPr>
          <w:p w14:paraId="41288F9F" w14:textId="72400376" w:rsidR="64B201D6" w:rsidRPr="00507370" w:rsidRDefault="64B201D6" w:rsidP="0065755D">
            <w:pPr>
              <w:spacing w:before="0" w:after="0"/>
              <w:rPr>
                <w:rFonts w:cs="Arial"/>
                <w:color w:val="000000" w:themeColor="text1"/>
                <w:szCs w:val="24"/>
              </w:rPr>
            </w:pPr>
            <w:r w:rsidRPr="00507370">
              <w:rPr>
                <w:rFonts w:cs="Arial"/>
                <w:color w:val="000000" w:themeColor="text1"/>
                <w:szCs w:val="24"/>
              </w:rPr>
              <w:lastRenderedPageBreak/>
              <w:t>Dismantling a ship (</w:t>
            </w:r>
            <w:hyperlink r:id="rId64" w:history="1">
              <w:r w:rsidRPr="00507370">
                <w:rPr>
                  <w:rStyle w:val="Hyperlink"/>
                  <w:rFonts w:cs="Arial"/>
                  <w:szCs w:val="24"/>
                </w:rPr>
                <w:t>Article 28 the 2011 Exempted Activities Order</w:t>
              </w:r>
            </w:hyperlink>
            <w:r w:rsidRPr="00507370">
              <w:rPr>
                <w:rFonts w:cs="Arial"/>
                <w:color w:val="000000" w:themeColor="text1"/>
                <w:szCs w:val="24"/>
              </w:rPr>
              <w:t xml:space="preserve">) </w:t>
            </w:r>
          </w:p>
        </w:tc>
        <w:tc>
          <w:tcPr>
            <w:tcW w:w="4111" w:type="dxa"/>
          </w:tcPr>
          <w:p w14:paraId="2461ACAC" w14:textId="325F8078" w:rsidR="64B201D6" w:rsidRPr="00507370" w:rsidRDefault="64B201D6" w:rsidP="0065755D">
            <w:pPr>
              <w:spacing w:before="0" w:after="0"/>
              <w:cnfStyle w:val="000000000000" w:firstRow="0" w:lastRow="0" w:firstColumn="0" w:lastColumn="0" w:oddVBand="0" w:evenVBand="0" w:oddHBand="0" w:evenHBand="0" w:firstRowFirstColumn="0" w:firstRowLastColumn="0" w:lastRowFirstColumn="0" w:lastRowLastColumn="0"/>
              <w:rPr>
                <w:rFonts w:cs="Arial"/>
                <w:color w:val="000000" w:themeColor="text1"/>
                <w:szCs w:val="24"/>
              </w:rPr>
            </w:pPr>
            <w:r w:rsidRPr="00507370">
              <w:rPr>
                <w:rFonts w:cs="Arial"/>
                <w:color w:val="000000" w:themeColor="text1"/>
                <w:szCs w:val="24"/>
              </w:rPr>
              <w:t xml:space="preserve">New </w:t>
            </w:r>
          </w:p>
        </w:tc>
      </w:tr>
      <w:tr w:rsidR="64B201D6" w:rsidRPr="00507370" w14:paraId="160CF0D6" w14:textId="77777777" w:rsidTr="00454929">
        <w:trPr>
          <w:trHeight w:val="411"/>
        </w:trPr>
        <w:tc>
          <w:tcPr>
            <w:cnfStyle w:val="001000000000" w:firstRow="0" w:lastRow="0" w:firstColumn="1" w:lastColumn="0" w:oddVBand="0" w:evenVBand="0" w:oddHBand="0" w:evenHBand="0" w:firstRowFirstColumn="0" w:firstRowLastColumn="0" w:lastRowFirstColumn="0" w:lastRowLastColumn="0"/>
            <w:tcW w:w="5665" w:type="dxa"/>
          </w:tcPr>
          <w:p w14:paraId="363F459B" w14:textId="57EE4BCD" w:rsidR="64B201D6" w:rsidRPr="00507370" w:rsidRDefault="64B201D6" w:rsidP="0065755D">
            <w:pPr>
              <w:spacing w:before="0" w:after="0"/>
              <w:rPr>
                <w:rFonts w:cs="Arial"/>
                <w:color w:val="000000" w:themeColor="text1"/>
                <w:szCs w:val="24"/>
              </w:rPr>
            </w:pPr>
            <w:r w:rsidRPr="00507370">
              <w:rPr>
                <w:rFonts w:cs="Arial"/>
                <w:color w:val="000000" w:themeColor="text1"/>
                <w:szCs w:val="24"/>
              </w:rPr>
              <w:t>Accidental deposits (</w:t>
            </w:r>
            <w:hyperlink r:id="rId65" w:history="1">
              <w:r w:rsidRPr="00507370">
                <w:rPr>
                  <w:rStyle w:val="Hyperlink"/>
                  <w:rFonts w:cs="Arial"/>
                  <w:szCs w:val="24"/>
                </w:rPr>
                <w:t>Article 17B the 2011 Exempted Activities Order</w:t>
              </w:r>
            </w:hyperlink>
            <w:r w:rsidRPr="00507370">
              <w:rPr>
                <w:rFonts w:cs="Arial"/>
                <w:color w:val="000000" w:themeColor="text1"/>
                <w:szCs w:val="24"/>
              </w:rPr>
              <w:t xml:space="preserve">) </w:t>
            </w:r>
          </w:p>
        </w:tc>
        <w:tc>
          <w:tcPr>
            <w:tcW w:w="4111" w:type="dxa"/>
          </w:tcPr>
          <w:p w14:paraId="4E3B751C" w14:textId="3902C1B8" w:rsidR="64B201D6" w:rsidRPr="00507370" w:rsidRDefault="00022D6A" w:rsidP="0065755D">
            <w:pPr>
              <w:spacing w:before="0" w:after="0"/>
              <w:cnfStyle w:val="000000000000" w:firstRow="0" w:lastRow="0" w:firstColumn="0" w:lastColumn="0" w:oddVBand="0" w:evenVBand="0" w:oddHBand="0" w:evenHBand="0" w:firstRowFirstColumn="0" w:firstRowLastColumn="0" w:lastRowFirstColumn="0" w:lastRowLastColumn="0"/>
              <w:rPr>
                <w:rFonts w:cs="Arial"/>
                <w:color w:val="000000" w:themeColor="text1"/>
                <w:szCs w:val="24"/>
              </w:rPr>
            </w:pPr>
            <w:r w:rsidRPr="00507370">
              <w:rPr>
                <w:rFonts w:cs="Arial"/>
                <w:color w:val="000000" w:themeColor="text1"/>
                <w:szCs w:val="24"/>
              </w:rPr>
              <w:t xml:space="preserve">Existing </w:t>
            </w:r>
          </w:p>
        </w:tc>
      </w:tr>
    </w:tbl>
    <w:p w14:paraId="22231F06" w14:textId="617A4AB2" w:rsidR="003321A9" w:rsidRPr="00507370" w:rsidRDefault="003321A9" w:rsidP="0065755D">
      <w:pPr>
        <w:spacing w:before="0" w:after="160" w:line="257" w:lineRule="auto"/>
        <w:jc w:val="both"/>
        <w:rPr>
          <w:rFonts w:ascii="Calibri" w:eastAsia="Calibri" w:hAnsi="Calibri" w:cs="Calibri"/>
          <w:szCs w:val="24"/>
        </w:rPr>
      </w:pPr>
    </w:p>
    <w:sectPr w:rsidR="003321A9" w:rsidRPr="00507370" w:rsidSect="001E7F1C">
      <w:footerReference w:type="default" r:id="rId66"/>
      <w:footerReference w:type="first" r:id="rId67"/>
      <w:pgSz w:w="11899" w:h="16838" w:code="9"/>
      <w:pgMar w:top="1134" w:right="1134" w:bottom="1134" w:left="1134" w:header="340" w:footer="34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30BD9" w14:textId="77777777" w:rsidR="00C27AE2" w:rsidRDefault="00C27AE2" w:rsidP="002F321C">
      <w:r>
        <w:separator/>
      </w:r>
    </w:p>
    <w:p w14:paraId="0D8A6731" w14:textId="77777777" w:rsidR="00C27AE2" w:rsidRDefault="00C27AE2"/>
  </w:endnote>
  <w:endnote w:type="continuationSeparator" w:id="0">
    <w:p w14:paraId="12E29D0A" w14:textId="77777777" w:rsidR="00C27AE2" w:rsidRDefault="00C27AE2" w:rsidP="002F321C">
      <w:r>
        <w:continuationSeparator/>
      </w:r>
    </w:p>
    <w:p w14:paraId="1AAF39B7" w14:textId="77777777" w:rsidR="00C27AE2" w:rsidRDefault="00C27AE2"/>
  </w:endnote>
  <w:endnote w:type="continuationNotice" w:id="1">
    <w:p w14:paraId="44E22E5B" w14:textId="77777777" w:rsidR="00C27AE2" w:rsidRDefault="00C27AE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B249" w14:textId="77777777" w:rsidR="001061F6" w:rsidRDefault="001061F6" w:rsidP="00A41809">
    <w:pPr>
      <w:pStyle w:val="Footer"/>
      <w:jc w:val="center"/>
    </w:pPr>
    <w:r>
      <w:t xml:space="preserve">Page </w:t>
    </w:r>
    <w:r>
      <w:rPr>
        <w:b/>
        <w:bCs/>
        <w:color w:val="2B579A"/>
        <w:szCs w:val="24"/>
        <w:shd w:val="clear" w:color="auto" w:fill="E6E6E6"/>
      </w:rPr>
      <w:fldChar w:fldCharType="begin"/>
    </w:r>
    <w:r>
      <w:rPr>
        <w:b/>
        <w:bCs/>
      </w:rPr>
      <w:instrText xml:space="preserve"> PAGE </w:instrText>
    </w:r>
    <w:r>
      <w:rPr>
        <w:b/>
        <w:bCs/>
        <w:color w:val="2B579A"/>
        <w:szCs w:val="24"/>
        <w:shd w:val="clear" w:color="auto" w:fill="E6E6E6"/>
      </w:rPr>
      <w:fldChar w:fldCharType="separate"/>
    </w:r>
    <w:r>
      <w:rPr>
        <w:b/>
        <w:bCs/>
        <w:noProof/>
      </w:rPr>
      <w:t>2</w:t>
    </w:r>
    <w:r>
      <w:rPr>
        <w:b/>
        <w:bCs/>
        <w:color w:val="2B579A"/>
        <w:szCs w:val="24"/>
        <w:shd w:val="clear" w:color="auto" w:fill="E6E6E6"/>
      </w:rPr>
      <w:fldChar w:fldCharType="end"/>
    </w:r>
    <w:r>
      <w:t xml:space="preserve"> of </w:t>
    </w:r>
    <w:r>
      <w:rPr>
        <w:b/>
        <w:bCs/>
        <w:color w:val="2B579A"/>
        <w:szCs w:val="24"/>
        <w:shd w:val="clear" w:color="auto" w:fill="E6E6E6"/>
      </w:rPr>
      <w:fldChar w:fldCharType="begin"/>
    </w:r>
    <w:r>
      <w:rPr>
        <w:b/>
        <w:bCs/>
      </w:rPr>
      <w:instrText xml:space="preserve"> NUMPAGES  </w:instrText>
    </w:r>
    <w:r>
      <w:rPr>
        <w:b/>
        <w:bCs/>
        <w:color w:val="2B579A"/>
        <w:szCs w:val="24"/>
        <w:shd w:val="clear" w:color="auto" w:fill="E6E6E6"/>
      </w:rPr>
      <w:fldChar w:fldCharType="separate"/>
    </w:r>
    <w:r>
      <w:rPr>
        <w:b/>
        <w:bCs/>
        <w:noProof/>
      </w:rPr>
      <w:t>2</w:t>
    </w:r>
    <w:r>
      <w:rPr>
        <w:b/>
        <w:bCs/>
        <w:color w:val="2B579A"/>
        <w:szCs w:val="24"/>
        <w:shd w:val="clear" w:color="auto" w:fill="E6E6E6"/>
      </w:rPr>
      <w:fldChar w:fldCharType="end"/>
    </w:r>
  </w:p>
  <w:p w14:paraId="7194DBDC" w14:textId="77777777" w:rsidR="001061F6" w:rsidRDefault="001061F6" w:rsidP="006A0B3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141C1" w14:textId="77777777" w:rsidR="001061F6" w:rsidRDefault="001061F6">
    <w:pPr>
      <w:pStyle w:val="Footer"/>
      <w:jc w:val="right"/>
    </w:pPr>
    <w:r>
      <w:t xml:space="preserve">Page </w:t>
    </w:r>
    <w:r>
      <w:rPr>
        <w:b/>
        <w:bCs/>
        <w:color w:val="2B579A"/>
        <w:szCs w:val="24"/>
        <w:shd w:val="clear" w:color="auto" w:fill="E6E6E6"/>
      </w:rPr>
      <w:fldChar w:fldCharType="begin"/>
    </w:r>
    <w:r>
      <w:rPr>
        <w:b/>
        <w:bCs/>
      </w:rPr>
      <w:instrText xml:space="preserve"> PAGE </w:instrText>
    </w:r>
    <w:r>
      <w:rPr>
        <w:b/>
        <w:bCs/>
        <w:color w:val="2B579A"/>
        <w:szCs w:val="24"/>
        <w:shd w:val="clear" w:color="auto" w:fill="E6E6E6"/>
      </w:rPr>
      <w:fldChar w:fldCharType="separate"/>
    </w:r>
    <w:r>
      <w:rPr>
        <w:b/>
        <w:bCs/>
        <w:noProof/>
      </w:rPr>
      <w:t>2</w:t>
    </w:r>
    <w:r>
      <w:rPr>
        <w:b/>
        <w:bCs/>
        <w:color w:val="2B579A"/>
        <w:szCs w:val="24"/>
        <w:shd w:val="clear" w:color="auto" w:fill="E6E6E6"/>
      </w:rPr>
      <w:fldChar w:fldCharType="end"/>
    </w:r>
    <w:r>
      <w:t xml:space="preserve"> of </w:t>
    </w:r>
    <w:r>
      <w:rPr>
        <w:b/>
        <w:bCs/>
        <w:color w:val="2B579A"/>
        <w:szCs w:val="24"/>
        <w:shd w:val="clear" w:color="auto" w:fill="E6E6E6"/>
      </w:rPr>
      <w:fldChar w:fldCharType="begin"/>
    </w:r>
    <w:r>
      <w:rPr>
        <w:b/>
        <w:bCs/>
      </w:rPr>
      <w:instrText xml:space="preserve"> NUMPAGES  </w:instrText>
    </w:r>
    <w:r>
      <w:rPr>
        <w:b/>
        <w:bCs/>
        <w:color w:val="2B579A"/>
        <w:szCs w:val="24"/>
        <w:shd w:val="clear" w:color="auto" w:fill="E6E6E6"/>
      </w:rPr>
      <w:fldChar w:fldCharType="separate"/>
    </w:r>
    <w:r>
      <w:rPr>
        <w:b/>
        <w:bCs/>
        <w:noProof/>
      </w:rPr>
      <w:t>2</w:t>
    </w:r>
    <w:r>
      <w:rPr>
        <w:b/>
        <w:bCs/>
        <w:color w:val="2B579A"/>
        <w:szCs w:val="24"/>
        <w:shd w:val="clear" w:color="auto" w:fill="E6E6E6"/>
      </w:rPr>
      <w:fldChar w:fldCharType="end"/>
    </w:r>
  </w:p>
  <w:p w14:paraId="2DBF0D7D" w14:textId="77777777" w:rsidR="001061F6" w:rsidRDefault="00106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81CA0" w14:textId="77777777" w:rsidR="00C27AE2" w:rsidRDefault="00C27AE2" w:rsidP="002F321C">
      <w:r>
        <w:separator/>
      </w:r>
    </w:p>
    <w:p w14:paraId="5A4ECEF6" w14:textId="77777777" w:rsidR="00C27AE2" w:rsidRDefault="00C27AE2"/>
  </w:footnote>
  <w:footnote w:type="continuationSeparator" w:id="0">
    <w:p w14:paraId="253B5C51" w14:textId="77777777" w:rsidR="00C27AE2" w:rsidRDefault="00C27AE2" w:rsidP="002F321C">
      <w:r>
        <w:continuationSeparator/>
      </w:r>
    </w:p>
    <w:p w14:paraId="71514ED0" w14:textId="77777777" w:rsidR="00C27AE2" w:rsidRDefault="00C27AE2"/>
  </w:footnote>
  <w:footnote w:type="continuationNotice" w:id="1">
    <w:p w14:paraId="381B63F0" w14:textId="77777777" w:rsidR="00C27AE2" w:rsidRDefault="00C27AE2">
      <w:pPr>
        <w:spacing w:before="0" w:after="0" w:line="240" w:lineRule="auto"/>
      </w:pPr>
    </w:p>
  </w:footnote>
  <w:footnote w:id="2">
    <w:p w14:paraId="3B40988D" w14:textId="77777777" w:rsidR="001061F6" w:rsidRPr="00FB4F6A" w:rsidRDefault="001061F6" w:rsidP="008B0715">
      <w:pPr>
        <w:pStyle w:val="FootnoteText"/>
        <w:rPr>
          <w:lang w:val="en-GB"/>
        </w:rPr>
      </w:pPr>
      <w:r>
        <w:rPr>
          <w:rStyle w:val="FootnoteReference"/>
        </w:rPr>
        <w:footnoteRef/>
      </w:r>
      <w:r>
        <w:t xml:space="preserve"> Marine licensable activities are described in section 66 of MCAA.</w:t>
      </w:r>
    </w:p>
  </w:footnote>
  <w:footnote w:id="3">
    <w:p w14:paraId="2D9A5D07" w14:textId="77777777" w:rsidR="00135701" w:rsidRPr="00135701" w:rsidRDefault="00135701">
      <w:pPr>
        <w:pStyle w:val="FootnoteText"/>
        <w:rPr>
          <w:lang w:val="en-GB"/>
        </w:rPr>
      </w:pPr>
      <w:r>
        <w:rPr>
          <w:rStyle w:val="FootnoteReference"/>
        </w:rPr>
        <w:footnoteRef/>
      </w:r>
      <w:r>
        <w:t xml:space="preserve"> </w:t>
      </w:r>
      <w:hyperlink r:id="rId1" w:history="1">
        <w:r w:rsidRPr="00666FD7">
          <w:rPr>
            <w:rStyle w:val="Hyperlink"/>
            <w:lang w:val="en-GB"/>
          </w:rPr>
          <w:t>Managing Public Money</w:t>
        </w:r>
      </w:hyperlink>
      <w:r w:rsidR="00666FD7">
        <w:rPr>
          <w:lang w:val="en-GB"/>
        </w:rPr>
        <w:t xml:space="preserve">: </w:t>
      </w:r>
      <w:r>
        <w:rPr>
          <w:lang w:val="en-GB"/>
        </w:rPr>
        <w:t>Fees</w:t>
      </w:r>
      <w:r w:rsidR="00666FD7">
        <w:rPr>
          <w:lang w:val="en-GB"/>
        </w:rPr>
        <w:t>, Charges and Levies,</w:t>
      </w:r>
      <w:r>
        <w:rPr>
          <w:lang w:val="en-GB"/>
        </w:rPr>
        <w:t xml:space="preserve"> 6.2</w:t>
      </w:r>
      <w:r w:rsidR="00666FD7">
        <w:rPr>
          <w:lang w:val="en-GB"/>
        </w:rPr>
        <w:t>, HM Treasury, pg. 49.</w:t>
      </w:r>
    </w:p>
  </w:footnote>
  <w:footnote w:id="4">
    <w:p w14:paraId="2AF60DE1" w14:textId="77777777" w:rsidR="006839C0" w:rsidRPr="006839C0" w:rsidRDefault="006839C0">
      <w:pPr>
        <w:pStyle w:val="FootnoteText"/>
        <w:rPr>
          <w:lang w:val="en-GB"/>
        </w:rPr>
      </w:pPr>
      <w:r>
        <w:rPr>
          <w:rStyle w:val="FootnoteReference"/>
        </w:rPr>
        <w:footnoteRef/>
      </w:r>
      <w:r>
        <w:t xml:space="preserve"> </w:t>
      </w:r>
      <w:hyperlink r:id="rId2" w:history="1">
        <w:r w:rsidRPr="006839C0">
          <w:rPr>
            <w:rStyle w:val="Hyperlink"/>
          </w:rPr>
          <w:t>See section 113 of MCAA</w:t>
        </w:r>
      </w:hyperlink>
      <w:r>
        <w:t xml:space="preserve"> for a definition of appropriate licensing authority.</w:t>
      </w:r>
    </w:p>
  </w:footnote>
  <w:footnote w:id="5">
    <w:p w14:paraId="0A958145" w14:textId="77777777" w:rsidR="001061F6" w:rsidRPr="000F0005" w:rsidRDefault="001061F6">
      <w:pPr>
        <w:pStyle w:val="FootnoteText"/>
        <w:rPr>
          <w:lang w:val="en-GB"/>
        </w:rPr>
      </w:pPr>
      <w:r>
        <w:rPr>
          <w:rStyle w:val="FootnoteReference"/>
        </w:rPr>
        <w:footnoteRef/>
      </w:r>
      <w:r>
        <w:t xml:space="preserve"> </w:t>
      </w:r>
      <w:hyperlink r:id="rId3" w:history="1">
        <w:r>
          <w:rPr>
            <w:rStyle w:val="Hyperlink"/>
          </w:rPr>
          <w:t>T</w:t>
        </w:r>
        <w:r w:rsidRPr="000F0005">
          <w:rPr>
            <w:rStyle w:val="Hyperlink"/>
          </w:rPr>
          <w:t>he Marine Licensing (Delegation of Functions) Order 2011/627</w:t>
        </w:r>
      </w:hyperlink>
    </w:p>
  </w:footnote>
  <w:footnote w:id="6">
    <w:p w14:paraId="210158A7" w14:textId="77777777" w:rsidR="00B34356" w:rsidRPr="00B34356" w:rsidRDefault="00B34356">
      <w:pPr>
        <w:pStyle w:val="FootnoteText"/>
        <w:rPr>
          <w:lang w:val="en-GB"/>
        </w:rPr>
      </w:pPr>
      <w:r>
        <w:rPr>
          <w:rStyle w:val="FootnoteReference"/>
        </w:rPr>
        <w:footnoteRef/>
      </w:r>
      <w:r>
        <w:t xml:space="preserve"> </w:t>
      </w:r>
      <w:hyperlink r:id="rId4" w:history="1">
        <w:r>
          <w:rPr>
            <w:rStyle w:val="Hyperlink"/>
          </w:rPr>
          <w:t>The Marine Licensing (Exempted Activities) Order 2011 (legislation.gov.uk)</w:t>
        </w:r>
      </w:hyperlink>
    </w:p>
  </w:footnote>
  <w:footnote w:id="7">
    <w:p w14:paraId="40CA4C56" w14:textId="77777777" w:rsidR="002A4EE3" w:rsidRPr="002A4EE3" w:rsidRDefault="002A4EE3">
      <w:pPr>
        <w:pStyle w:val="FootnoteText"/>
        <w:rPr>
          <w:lang w:val="en-GB"/>
        </w:rPr>
      </w:pPr>
      <w:r>
        <w:rPr>
          <w:rStyle w:val="FootnoteReference"/>
        </w:rPr>
        <w:footnoteRef/>
      </w:r>
      <w:r>
        <w:t xml:space="preserve"> </w:t>
      </w:r>
      <w:hyperlink r:id="rId5" w:history="1">
        <w:r w:rsidRPr="006E68A1">
          <w:rPr>
            <w:rStyle w:val="Hyperlink"/>
          </w:rPr>
          <w:t>The Marine Licensing (Exempted Activities) (Amendment) Order 2019 (legislation.gov.uk)</w:t>
        </w:r>
      </w:hyperlink>
    </w:p>
  </w:footnote>
  <w:footnote w:id="8">
    <w:p w14:paraId="011CD5EC" w14:textId="77777777" w:rsidR="001061F6" w:rsidRPr="00AE79AC" w:rsidRDefault="001061F6">
      <w:pPr>
        <w:pStyle w:val="FootnoteText"/>
        <w:rPr>
          <w:lang w:val="en-GB"/>
        </w:rPr>
      </w:pPr>
      <w:r>
        <w:rPr>
          <w:rStyle w:val="FootnoteReference"/>
        </w:rPr>
        <w:footnoteRef/>
      </w:r>
      <w:r>
        <w:t xml:space="preserve"> Section 115 of </w:t>
      </w:r>
      <w:hyperlink r:id="rId6" w:history="1">
        <w:r>
          <w:rPr>
            <w:rStyle w:val="Hyperlink"/>
          </w:rPr>
          <w:t>Marine and Coastal Access Act 2009 (legislation.gov.uk)</w:t>
        </w:r>
      </w:hyperlink>
    </w:p>
  </w:footnote>
  <w:footnote w:id="9">
    <w:p w14:paraId="7E709CE4" w14:textId="77777777" w:rsidR="001061F6" w:rsidRPr="00E12333" w:rsidRDefault="001061F6" w:rsidP="00C3461F">
      <w:pPr>
        <w:pStyle w:val="FootnoteText"/>
        <w:rPr>
          <w:lang w:val="en-GB"/>
        </w:rPr>
      </w:pPr>
      <w:r>
        <w:rPr>
          <w:rStyle w:val="FootnoteReference"/>
        </w:rPr>
        <w:footnoteRef/>
      </w:r>
      <w:r>
        <w:t xml:space="preserve"> S</w:t>
      </w:r>
      <w:r w:rsidRPr="00E12333">
        <w:t xml:space="preserve">ome exemptions apply to </w:t>
      </w:r>
      <w:r w:rsidR="0061739A">
        <w:t xml:space="preserve">deposits of, or </w:t>
      </w:r>
      <w:r w:rsidRPr="00E12333">
        <w:t xml:space="preserve">works </w:t>
      </w:r>
      <w:r w:rsidR="0061739A">
        <w:t xml:space="preserve">activity </w:t>
      </w:r>
      <w:r w:rsidRPr="00E12333">
        <w:t>on</w:t>
      </w:r>
      <w:r w:rsidR="0061739A">
        <w:t>,</w:t>
      </w:r>
      <w:r w:rsidRPr="00E12333">
        <w:t xml:space="preserve"> moorings by harbour and lighthouse authorities under Article 25 of the 2011 Order</w:t>
      </w:r>
    </w:p>
  </w:footnote>
  <w:footnote w:id="10">
    <w:p w14:paraId="3A7D512E" w14:textId="77777777" w:rsidR="00EA4A34" w:rsidRPr="00EA4A34" w:rsidRDefault="00EA4A34">
      <w:pPr>
        <w:pStyle w:val="FootnoteText"/>
        <w:rPr>
          <w:lang w:val="en-GB"/>
        </w:rPr>
      </w:pPr>
      <w:r>
        <w:rPr>
          <w:rStyle w:val="FootnoteReference"/>
        </w:rPr>
        <w:footnoteRef/>
      </w:r>
      <w:r>
        <w:t xml:space="preserve"> See </w:t>
      </w:r>
      <w:hyperlink r:id="rId7" w:history="1">
        <w:r>
          <w:rPr>
            <w:rStyle w:val="Hyperlink"/>
          </w:rPr>
          <w:t>t</w:t>
        </w:r>
        <w:r w:rsidRPr="00FE5C9E">
          <w:rPr>
            <w:rStyle w:val="Hyperlink"/>
          </w:rPr>
          <w:t>he Marine Noise Registry Service</w:t>
        </w:r>
      </w:hyperlink>
    </w:p>
  </w:footnote>
  <w:footnote w:id="11">
    <w:p w14:paraId="0E2C4CD0" w14:textId="632DA7DC" w:rsidR="001061F6" w:rsidRDefault="001061F6" w:rsidP="00FC75D2">
      <w:pPr>
        <w:pStyle w:val="FootnoteText"/>
      </w:pPr>
      <w:r>
        <w:rPr>
          <w:rStyle w:val="FootnoteReference"/>
        </w:rPr>
        <w:footnoteRef/>
      </w:r>
      <w:r>
        <w:t xml:space="preserve"> For example: Southall et al 2019 (and references within); Weir, 2008; Southall et al 2007; Stone </w:t>
      </w:r>
      <w:r w:rsidR="00F75742">
        <w:t xml:space="preserve">and </w:t>
      </w:r>
      <w:r>
        <w:t>Tasker 2006; Gordon et al 2004.</w:t>
      </w:r>
    </w:p>
  </w:footnote>
  <w:footnote w:id="12">
    <w:p w14:paraId="4F12DE27" w14:textId="77777777" w:rsidR="001061F6" w:rsidRDefault="001061F6" w:rsidP="00FC75D2">
      <w:pPr>
        <w:pStyle w:val="FootnoteText"/>
      </w:pPr>
      <w:r>
        <w:rPr>
          <w:rStyle w:val="FootnoteReference"/>
        </w:rPr>
        <w:footnoteRef/>
      </w:r>
      <w:r>
        <w:t xml:space="preserve"> For example: Southall et al 2021 (and references within)</w:t>
      </w:r>
      <w:r w:rsidR="00DE1FE7">
        <w:t>;</w:t>
      </w:r>
      <w:r>
        <w:t xml:space="preserve"> Sarnocińska et al 2020; Thompson et al 2013.</w:t>
      </w:r>
    </w:p>
  </w:footnote>
  <w:footnote w:id="13">
    <w:p w14:paraId="4BF76DEA" w14:textId="77777777" w:rsidR="001061F6" w:rsidRPr="0087678C" w:rsidRDefault="001061F6">
      <w:pPr>
        <w:pStyle w:val="FootnoteText"/>
        <w:rPr>
          <w:lang w:val="en-GB"/>
        </w:rPr>
      </w:pPr>
      <w:r>
        <w:rPr>
          <w:rStyle w:val="FootnoteReference"/>
        </w:rPr>
        <w:footnoteRef/>
      </w:r>
      <w:r>
        <w:t xml:space="preserve"> </w:t>
      </w:r>
      <w:r>
        <w:rPr>
          <w:lang w:val="en-GB"/>
        </w:rPr>
        <w:t xml:space="preserve">Section 27A of </w:t>
      </w:r>
      <w:hyperlink r:id="rId8" w:history="1">
        <w:r>
          <w:rPr>
            <w:rStyle w:val="Hyperlink"/>
          </w:rPr>
          <w:t>The Marine Licensing (Exempted Activities) Order 2011 (legislation.gov.uk)</w:t>
        </w:r>
      </w:hyperlink>
    </w:p>
  </w:footnote>
  <w:footnote w:id="14">
    <w:p w14:paraId="07BAF55B" w14:textId="77777777" w:rsidR="001061F6" w:rsidRPr="00E12333" w:rsidRDefault="001061F6" w:rsidP="00C3461F">
      <w:pPr>
        <w:pStyle w:val="FootnoteText"/>
        <w:rPr>
          <w:lang w:val="en-GB"/>
        </w:rPr>
      </w:pPr>
      <w:r>
        <w:rPr>
          <w:rStyle w:val="FootnoteReference"/>
        </w:rPr>
        <w:footnoteRef/>
      </w:r>
      <w:r>
        <w:t xml:space="preserve"> </w:t>
      </w:r>
      <w:r w:rsidRPr="00E12333">
        <w:t>The exemption is set out in Article 26 of the 2011 Order. It enables Natural England to place or remove markers indicating the existence and extent of specified MPAs (as defined in the Conservation of Habitats and Species Regulations 2017) and enables public authorities to place or remov</w:t>
      </w:r>
      <w:r w:rsidR="004327FC">
        <w:t>e</w:t>
      </w:r>
      <w:r w:rsidRPr="00E12333">
        <w:t xml:space="preserve"> markers indicating the existence and extent of an MCZ</w:t>
      </w:r>
      <w:r>
        <w:t>.</w:t>
      </w:r>
    </w:p>
  </w:footnote>
  <w:footnote w:id="15">
    <w:p w14:paraId="4DB7F205" w14:textId="77777777" w:rsidR="001061F6" w:rsidRDefault="001061F6" w:rsidP="734B6432">
      <w:pPr>
        <w:pStyle w:val="FootnoteText"/>
      </w:pPr>
      <w:r w:rsidRPr="734B6432">
        <w:rPr>
          <w:rStyle w:val="FootnoteReference"/>
        </w:rPr>
        <w:footnoteRef/>
      </w:r>
      <w:r w:rsidRPr="734B6432">
        <w:t xml:space="preserve"> See Article 25 of </w:t>
      </w:r>
      <w:hyperlink r:id="rId9">
        <w:r w:rsidRPr="734B6432">
          <w:rPr>
            <w:rStyle w:val="Hyperlink"/>
          </w:rPr>
          <w:t>The Marine Licensing (Exempted Activities) Order 2011 (legislation.gov.uk)</w:t>
        </w:r>
      </w:hyperlink>
    </w:p>
  </w:footnote>
  <w:footnote w:id="16">
    <w:p w14:paraId="0EC22068" w14:textId="30378083" w:rsidR="000079B7" w:rsidRPr="00D6351E" w:rsidRDefault="000079B7" w:rsidP="000079B7">
      <w:pPr>
        <w:pStyle w:val="FootnoteText"/>
        <w:rPr>
          <w:lang w:val="en-GB"/>
        </w:rPr>
      </w:pPr>
      <w:r>
        <w:rPr>
          <w:rStyle w:val="FootnoteReference"/>
        </w:rPr>
        <w:footnoteRef/>
      </w:r>
      <w:r>
        <w:t xml:space="preserve"> </w:t>
      </w:r>
      <w:hyperlink r:id="rId10" w:history="1">
        <w:r w:rsidRPr="00D94CAB">
          <w:rPr>
            <w:rStyle w:val="Hyperlink"/>
          </w:rPr>
          <w:t>The Marine Licensing (Application Fees) Regulations 2014</w:t>
        </w:r>
      </w:hyperlink>
    </w:p>
  </w:footnote>
  <w:footnote w:id="17">
    <w:p w14:paraId="6A9B1F5D" w14:textId="77777777" w:rsidR="000079B7" w:rsidRPr="00D6351E" w:rsidRDefault="000079B7" w:rsidP="000079B7">
      <w:pPr>
        <w:pStyle w:val="FootnoteText"/>
        <w:rPr>
          <w:lang w:val="en-GB"/>
        </w:rPr>
      </w:pPr>
      <w:r>
        <w:rPr>
          <w:rStyle w:val="FootnoteReference"/>
        </w:rPr>
        <w:footnoteRef/>
      </w:r>
      <w:r>
        <w:t xml:space="preserve"> </w:t>
      </w:r>
      <w:hyperlink r:id="rId11" w:history="1">
        <w:r>
          <w:rPr>
            <w:rStyle w:val="Hyperlink"/>
          </w:rPr>
          <w:t>The Public Bodies (Marine Management Organisation) (Fees) Order 2014 (legislation.gov.uk)</w:t>
        </w:r>
      </w:hyperlink>
    </w:p>
  </w:footnote>
  <w:footnote w:id="18">
    <w:p w14:paraId="30514F89" w14:textId="77777777" w:rsidR="000079B7" w:rsidRDefault="000079B7" w:rsidP="000079B7">
      <w:pPr>
        <w:pStyle w:val="FootnoteText"/>
      </w:pPr>
      <w:r>
        <w:rPr>
          <w:rStyle w:val="FootnoteReference"/>
        </w:rPr>
        <w:footnoteRef/>
      </w:r>
      <w:r>
        <w:t xml:space="preserve"> </w:t>
      </w:r>
      <w:hyperlink r:id="rId12" w:history="1">
        <w:r>
          <w:rPr>
            <w:rStyle w:val="Hyperlink"/>
          </w:rPr>
          <w:t>Marine licence fees - GOV.UK (www.gov.uk)</w:t>
        </w:r>
      </w:hyperlink>
    </w:p>
  </w:footnote>
  <w:footnote w:id="19">
    <w:p w14:paraId="6CE2E70F" w14:textId="77777777" w:rsidR="000079B7" w:rsidRDefault="000079B7" w:rsidP="000079B7">
      <w:pPr>
        <w:pStyle w:val="FootnoteText"/>
      </w:pPr>
      <w:r>
        <w:rPr>
          <w:rStyle w:val="FootnoteReference"/>
        </w:rPr>
        <w:footnoteRef/>
      </w:r>
      <w:r>
        <w:t xml:space="preserve"> </w:t>
      </w:r>
      <w:hyperlink r:id="rId13" w:anchor="complex-case-characteristics" w:history="1">
        <w:r>
          <w:rPr>
            <w:rStyle w:val="Hyperlink"/>
          </w:rPr>
          <w:t>Marine licence fees - GOV.UK (www.gov.uk)</w:t>
        </w:r>
      </w:hyperlink>
    </w:p>
  </w:footnote>
  <w:footnote w:id="20">
    <w:p w14:paraId="11F483A7" w14:textId="77777777" w:rsidR="000079B7" w:rsidRDefault="000079B7" w:rsidP="000079B7">
      <w:pPr>
        <w:pStyle w:val="FootnoteText"/>
      </w:pPr>
      <w:r>
        <w:rPr>
          <w:rStyle w:val="FootnoteReference"/>
        </w:rPr>
        <w:footnoteRef/>
      </w:r>
      <w:r>
        <w:t xml:space="preserve"> </w:t>
      </w:r>
      <w:hyperlink r:id="rId14" w:history="1">
        <w:r>
          <w:rPr>
            <w:rStyle w:val="Hyperlink"/>
          </w:rPr>
          <w:t>Marine licence fees - GOV.UK (www.gov.uk)</w:t>
        </w:r>
      </w:hyperlink>
    </w:p>
  </w:footnote>
  <w:footnote w:id="21">
    <w:p w14:paraId="338C1711" w14:textId="77777777" w:rsidR="000079B7" w:rsidRPr="00D97E69" w:rsidRDefault="000079B7" w:rsidP="000079B7">
      <w:pPr>
        <w:pStyle w:val="FootnoteText"/>
        <w:rPr>
          <w:lang w:val="en-GB"/>
        </w:rPr>
      </w:pPr>
      <w:r>
        <w:rPr>
          <w:rStyle w:val="FootnoteReference"/>
        </w:rPr>
        <w:footnoteRef/>
      </w:r>
      <w:r>
        <w:t xml:space="preserve"> </w:t>
      </w:r>
      <w:hyperlink r:id="rId15" w:history="1">
        <w:r w:rsidRPr="00D97E69">
          <w:rPr>
            <w:rStyle w:val="Hyperlink"/>
          </w:rPr>
          <w:t>Section 72 of the Marine and Coastal Access Act</w:t>
        </w:r>
      </w:hyperlink>
      <w:r w:rsidRPr="00D97E69">
        <w:t xml:space="preserve"> sets out the powers of a licensing authority to vary a marine licence.</w:t>
      </w:r>
    </w:p>
  </w:footnote>
  <w:footnote w:id="22">
    <w:p w14:paraId="7680BE7E" w14:textId="77777777" w:rsidR="000079B7" w:rsidRPr="000E3483" w:rsidRDefault="000079B7" w:rsidP="000079B7">
      <w:pPr>
        <w:pStyle w:val="NormalWeb"/>
        <w:shd w:val="clear" w:color="auto" w:fill="FFFFFF"/>
        <w:spacing w:before="300" w:after="300"/>
        <w:jc w:val="both"/>
        <w:rPr>
          <w:rFonts w:ascii="Arial" w:hAnsi="Arial" w:cs="Arial"/>
          <w:sz w:val="20"/>
          <w:szCs w:val="20"/>
        </w:rPr>
      </w:pPr>
      <w:r w:rsidRPr="000E3483">
        <w:rPr>
          <w:rStyle w:val="FootnoteReference"/>
          <w:rFonts w:ascii="Arial" w:hAnsi="Arial" w:cs="Arial"/>
          <w:sz w:val="20"/>
          <w:szCs w:val="20"/>
        </w:rPr>
        <w:footnoteRef/>
      </w:r>
      <w:r w:rsidRPr="000E3483">
        <w:rPr>
          <w:rFonts w:ascii="Arial" w:hAnsi="Arial" w:cs="Arial"/>
          <w:sz w:val="20"/>
          <w:szCs w:val="20"/>
        </w:rPr>
        <w:t xml:space="preserve"> </w:t>
      </w:r>
      <w:r w:rsidRPr="000E3483">
        <w:rPr>
          <w:rFonts w:ascii="Arial" w:hAnsi="Arial" w:cs="Arial"/>
          <w:color w:val="0B0C0C"/>
          <w:sz w:val="20"/>
          <w:szCs w:val="20"/>
        </w:rPr>
        <w:t>A change to a licence where the charge has been waived by the MMO.</w:t>
      </w:r>
    </w:p>
  </w:footnote>
  <w:footnote w:id="23">
    <w:p w14:paraId="4E3267AD" w14:textId="77777777" w:rsidR="000079B7" w:rsidRPr="00274CC9" w:rsidRDefault="000079B7" w:rsidP="005F4092">
      <w:pPr>
        <w:pStyle w:val="NormalWeb"/>
        <w:shd w:val="clear" w:color="auto" w:fill="FFFFFF"/>
        <w:spacing w:before="300" w:after="300"/>
        <w:jc w:val="both"/>
        <w:rPr>
          <w:rFonts w:cs="Arial"/>
          <w:color w:val="0B0C0C"/>
          <w:sz w:val="20"/>
          <w:szCs w:val="20"/>
        </w:rPr>
      </w:pPr>
      <w:r w:rsidRPr="000E3483">
        <w:rPr>
          <w:rStyle w:val="FootnoteReference"/>
          <w:rFonts w:ascii="Arial" w:hAnsi="Arial" w:cs="Arial"/>
          <w:sz w:val="20"/>
          <w:szCs w:val="20"/>
        </w:rPr>
        <w:footnoteRef/>
      </w:r>
      <w:r w:rsidRPr="000E3483">
        <w:rPr>
          <w:rFonts w:ascii="Arial" w:hAnsi="Arial" w:cs="Arial"/>
          <w:sz w:val="20"/>
          <w:szCs w:val="20"/>
        </w:rPr>
        <w:t xml:space="preserve"> </w:t>
      </w:r>
      <w:r w:rsidR="005F4092" w:rsidRPr="005F4092">
        <w:rPr>
          <w:rFonts w:ascii="Arial" w:hAnsi="Arial" w:cs="Arial"/>
          <w:color w:val="0B0C0C"/>
          <w:sz w:val="20"/>
          <w:szCs w:val="20"/>
        </w:rPr>
        <w:t>Any application for a minor change to a marine licence:  change of name of vessel, change of registration number of a vehicle or the name or address of an agent, contractor or sub-contractor</w:t>
      </w:r>
      <w:r w:rsidR="005F4092">
        <w:rPr>
          <w:rFonts w:cs="Arial"/>
          <w:color w:val="0B0C0C"/>
          <w:sz w:val="20"/>
          <w:szCs w:val="20"/>
        </w:rPr>
        <w:t>.</w:t>
      </w:r>
    </w:p>
  </w:footnote>
  <w:footnote w:id="24">
    <w:p w14:paraId="5A6FCB74" w14:textId="553E2551" w:rsidR="002C2061" w:rsidRPr="001A3A05" w:rsidRDefault="002C2061">
      <w:pPr>
        <w:pStyle w:val="FootnoteText"/>
        <w:rPr>
          <w:lang w:val="en-GB"/>
        </w:rPr>
      </w:pPr>
      <w:r>
        <w:rPr>
          <w:rStyle w:val="FootnoteReference"/>
        </w:rPr>
        <w:footnoteRef/>
      </w:r>
      <w:r>
        <w:t xml:space="preserve"> </w:t>
      </w:r>
      <w:r w:rsidR="007E69CB">
        <w:t xml:space="preserve">As </w:t>
      </w:r>
      <w:r w:rsidR="001A3A05">
        <w:t>calculated in</w:t>
      </w:r>
      <w:r w:rsidR="007E69CB">
        <w:t xml:space="preserve"> </w:t>
      </w:r>
      <w:r w:rsidR="001C35DC">
        <w:rPr>
          <w:lang w:val="en-GB"/>
        </w:rPr>
        <w:t xml:space="preserve">June </w:t>
      </w:r>
      <w:r w:rsidR="007E69CB">
        <w:rPr>
          <w:lang w:val="en-GB"/>
        </w:rPr>
        <w:t>2024</w:t>
      </w:r>
    </w:p>
  </w:footnote>
  <w:footnote w:id="25">
    <w:p w14:paraId="05C08A40" w14:textId="77777777" w:rsidR="005F4092" w:rsidRPr="00B903FB" w:rsidRDefault="005F4092">
      <w:pPr>
        <w:pStyle w:val="FootnoteText"/>
        <w:rPr>
          <w:lang w:val="en-GB"/>
        </w:rPr>
      </w:pPr>
      <w:r>
        <w:rPr>
          <w:rStyle w:val="FootnoteReference"/>
        </w:rPr>
        <w:footnoteRef/>
      </w:r>
      <w:r>
        <w:t xml:space="preserve"> T</w:t>
      </w:r>
      <w:r w:rsidRPr="005F4092">
        <w:t>he fees structure for marine licens</w:t>
      </w:r>
      <w:r>
        <w:t>ing</w:t>
      </w:r>
      <w:r w:rsidRPr="005F4092">
        <w:t xml:space="preserve"> service</w:t>
      </w:r>
      <w:r>
        <w:t>s</w:t>
      </w:r>
      <w:r w:rsidRPr="005F4092">
        <w:t xml:space="preserve">, including the fee structures for advice, applications, monitoring, and variations are set out in the </w:t>
      </w:r>
      <w:r>
        <w:t>following</w:t>
      </w:r>
      <w:r w:rsidRPr="005F4092">
        <w:t xml:space="preserve"> link</w:t>
      </w:r>
      <w:r>
        <w:t xml:space="preserve">: </w:t>
      </w:r>
      <w:hyperlink w:history="1">
        <w:r w:rsidRPr="005F4092">
          <w:rPr>
            <w:rStyle w:val="Hyperlink"/>
          </w:rPr>
          <w:t>Marine licence fees - GOV.UK (www.gov.uk)</w:t>
        </w:r>
      </w:hyperlink>
      <w:r>
        <w:t>.</w:t>
      </w:r>
    </w:p>
  </w:footnote>
  <w:footnote w:id="26">
    <w:p w14:paraId="32BE8F3F" w14:textId="77777777" w:rsidR="000079B7" w:rsidRPr="00D6351E" w:rsidRDefault="000079B7" w:rsidP="000079B7">
      <w:pPr>
        <w:pStyle w:val="FootnoteText"/>
        <w:rPr>
          <w:lang w:val="en-GB"/>
        </w:rPr>
      </w:pPr>
      <w:r>
        <w:rPr>
          <w:rStyle w:val="FootnoteReference"/>
        </w:rPr>
        <w:footnoteRef/>
      </w:r>
      <w:r>
        <w:t xml:space="preserve"> </w:t>
      </w:r>
      <w:hyperlink r:id="rId16" w:history="1">
        <w:r>
          <w:rPr>
            <w:rStyle w:val="Hyperlink"/>
          </w:rPr>
          <w:t>Sintra Statement Paper (ospar.org)</w:t>
        </w:r>
      </w:hyperlink>
    </w:p>
  </w:footnote>
</w:footnotes>
</file>

<file path=word/intelligence2.xml><?xml version="1.0" encoding="utf-8"?>
<int2:intelligence xmlns:int2="http://schemas.microsoft.com/office/intelligence/2020/intelligence" xmlns:oel="http://schemas.microsoft.com/office/2019/extlst">
  <int2:observations>
    <int2:textHash int2:hashCode="5sVeYETMh4HfB7" int2:id="MJbS8pKe">
      <int2:state int2:value="Rejected" int2:type="AugLoop_Text_Critique"/>
    </int2:textHash>
    <int2:textHash int2:hashCode="wpEpjdUAZybsXd" int2:id="pCq3FJvd">
      <int2:state int2:value="Rejected" int2:type="AugLoop_Text_Critique"/>
    </int2:textHash>
    <int2:textHash int2:hashCode="Stk924RxTUdonL" int2:id="uPBn1ePG">
      <int2:state int2:value="Rejected" int2:type="AugLoop_Text_Critique"/>
    </int2:textHash>
    <int2:bookmark int2:bookmarkName="_Int_Pq1Mmb75" int2:invalidationBookmarkName="" int2:hashCode="GjymWs+JLQLLK7" int2:id="0W9WJpfS">
      <int2:state int2:value="Rejected" int2:type="AugLoop_Text_Critique"/>
    </int2:bookmark>
    <int2:bookmark int2:bookmarkName="_Int_cJDD7RFJ" int2:invalidationBookmarkName="" int2:hashCode="KSAY0Y5tJz7yoR" int2:id="8G06Nh5P">
      <int2:state int2:value="Rejected" int2:type="AugLoop_Text_Critique"/>
    </int2:bookmark>
    <int2:bookmark int2:bookmarkName="_Int_SvkXEFAf" int2:invalidationBookmarkName="" int2:hashCode="Ev8QDwEizIhDbs" int2:id="8P2slBgx">
      <int2:state int2:value="Rejected" int2:type="AugLoop_Text_Critique"/>
    </int2:bookmark>
    <int2:bookmark int2:bookmarkName="_Int_HoRMZbkT" int2:invalidationBookmarkName="" int2:hashCode="rdmQDrl733UxdM" int2:id="BDb6KPwz">
      <int2:state int2:value="Rejected" int2:type="AugLoop_Text_Critique"/>
    </int2:bookmark>
    <int2:bookmark int2:bookmarkName="_Int_wEWkMpGO" int2:invalidationBookmarkName="" int2:hashCode="kbXAptRwH+Atw7" int2:id="GG0d7PjP">
      <int2:state int2:value="Rejected" int2:type="AugLoop_Text_Critique"/>
    </int2:bookmark>
    <int2:bookmark int2:bookmarkName="_Int_rAK4Kqkq" int2:invalidationBookmarkName="" int2:hashCode="rdmQDrl733UxdM" int2:id="GivQCCor">
      <int2:state int2:value="Rejected" int2:type="AugLoop_Text_Critique"/>
    </int2:bookmark>
    <int2:bookmark int2:bookmarkName="_Int_5oKSdhj5" int2:invalidationBookmarkName="" int2:hashCode="8akV08vbZ+bR83" int2:id="I2o7050y">
      <int2:state int2:value="Rejected" int2:type="AugLoop_Text_Critique"/>
    </int2:bookmark>
    <int2:bookmark int2:bookmarkName="_Int_WvEaYEbd" int2:invalidationBookmarkName="" int2:hashCode="LTCc6QxUmhKkdY" int2:id="LCAH8UgU">
      <int2:state int2:value="Rejected" int2:type="AugLoop_Text_Critique"/>
    </int2:bookmark>
    <int2:bookmark int2:bookmarkName="_Int_8sx735re" int2:invalidationBookmarkName="" int2:hashCode="T5RFQuBs1vKPpy" int2:id="MiuA1iZI">
      <int2:state int2:value="Rejected" int2:type="AugLoop_Text_Critique"/>
    </int2:bookmark>
    <int2:bookmark int2:bookmarkName="_Int_qlFTpmTE" int2:invalidationBookmarkName="" int2:hashCode="M37dTGGfLYVOwb" int2:id="RBbczgyl">
      <int2:state int2:value="Rejected" int2:type="AugLoop_Text_Critique"/>
    </int2:bookmark>
    <int2:bookmark int2:bookmarkName="_Int_P1C3gN5H" int2:invalidationBookmarkName="" int2:hashCode="Y+X9SRo9Nte31R" int2:id="Vqc6RnJ4">
      <int2:state int2:value="Rejected" int2:type="AugLoop_Text_Critique"/>
    </int2:bookmark>
    <int2:bookmark int2:bookmarkName="_Int_RSEo0KGS" int2:invalidationBookmarkName="" int2:hashCode="GjymWs+JLQLLK7" int2:id="gZpwhkyK">
      <int2:state int2:value="Rejected" int2:type="AugLoop_Text_Critique"/>
    </int2:bookmark>
    <int2:bookmark int2:bookmarkName="_Int_HqqcAAhK" int2:invalidationBookmarkName="" int2:hashCode="EaEQu+8bzAfua3" int2:id="z2uslKc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3DEC"/>
    <w:multiLevelType w:val="hybridMultilevel"/>
    <w:tmpl w:val="FEE679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2BC0758"/>
    <w:multiLevelType w:val="hybridMultilevel"/>
    <w:tmpl w:val="B12C9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612EA8"/>
    <w:multiLevelType w:val="hybridMultilevel"/>
    <w:tmpl w:val="4D9021F8"/>
    <w:lvl w:ilvl="0" w:tplc="80E8E108">
      <w:start w:val="1"/>
      <w:numFmt w:val="decimal"/>
      <w:lvlText w:val="%1."/>
      <w:lvlJc w:val="left"/>
      <w:pPr>
        <w:ind w:left="1440" w:hanging="360"/>
      </w:pPr>
    </w:lvl>
    <w:lvl w:ilvl="1" w:tplc="A4E68726">
      <w:start w:val="1"/>
      <w:numFmt w:val="decimal"/>
      <w:lvlText w:val="%2."/>
      <w:lvlJc w:val="left"/>
      <w:pPr>
        <w:ind w:left="1440" w:hanging="360"/>
      </w:pPr>
    </w:lvl>
    <w:lvl w:ilvl="2" w:tplc="442A600E">
      <w:start w:val="1"/>
      <w:numFmt w:val="decimal"/>
      <w:lvlText w:val="%3."/>
      <w:lvlJc w:val="left"/>
      <w:pPr>
        <w:ind w:left="1440" w:hanging="360"/>
      </w:pPr>
    </w:lvl>
    <w:lvl w:ilvl="3" w:tplc="64E40894">
      <w:start w:val="1"/>
      <w:numFmt w:val="decimal"/>
      <w:lvlText w:val="%4."/>
      <w:lvlJc w:val="left"/>
      <w:pPr>
        <w:ind w:left="1440" w:hanging="360"/>
      </w:pPr>
    </w:lvl>
    <w:lvl w:ilvl="4" w:tplc="54A25BC4">
      <w:start w:val="1"/>
      <w:numFmt w:val="decimal"/>
      <w:lvlText w:val="%5."/>
      <w:lvlJc w:val="left"/>
      <w:pPr>
        <w:ind w:left="1440" w:hanging="360"/>
      </w:pPr>
    </w:lvl>
    <w:lvl w:ilvl="5" w:tplc="D47E8050">
      <w:start w:val="1"/>
      <w:numFmt w:val="decimal"/>
      <w:lvlText w:val="%6."/>
      <w:lvlJc w:val="left"/>
      <w:pPr>
        <w:ind w:left="1440" w:hanging="360"/>
      </w:pPr>
    </w:lvl>
    <w:lvl w:ilvl="6" w:tplc="EFB6B72A">
      <w:start w:val="1"/>
      <w:numFmt w:val="decimal"/>
      <w:lvlText w:val="%7."/>
      <w:lvlJc w:val="left"/>
      <w:pPr>
        <w:ind w:left="1440" w:hanging="360"/>
      </w:pPr>
    </w:lvl>
    <w:lvl w:ilvl="7" w:tplc="4426DF72">
      <w:start w:val="1"/>
      <w:numFmt w:val="decimal"/>
      <w:lvlText w:val="%8."/>
      <w:lvlJc w:val="left"/>
      <w:pPr>
        <w:ind w:left="1440" w:hanging="360"/>
      </w:pPr>
    </w:lvl>
    <w:lvl w:ilvl="8" w:tplc="CED2C748">
      <w:start w:val="1"/>
      <w:numFmt w:val="decimal"/>
      <w:lvlText w:val="%9."/>
      <w:lvlJc w:val="left"/>
      <w:pPr>
        <w:ind w:left="1440" w:hanging="360"/>
      </w:pPr>
    </w:lvl>
  </w:abstractNum>
  <w:abstractNum w:abstractNumId="3" w15:restartNumberingAfterBreak="0">
    <w:nsid w:val="12F62C3C"/>
    <w:multiLevelType w:val="hybridMultilevel"/>
    <w:tmpl w:val="EBB651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553D36"/>
    <w:multiLevelType w:val="hybridMultilevel"/>
    <w:tmpl w:val="BEF4278E"/>
    <w:lvl w:ilvl="0" w:tplc="88B4C1F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1E5018A6"/>
    <w:multiLevelType w:val="hybridMultilevel"/>
    <w:tmpl w:val="7B722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54E49"/>
    <w:multiLevelType w:val="hybridMultilevel"/>
    <w:tmpl w:val="DD909F6A"/>
    <w:lvl w:ilvl="0" w:tplc="C690138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2223B"/>
    <w:multiLevelType w:val="hybridMultilevel"/>
    <w:tmpl w:val="ED9C0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490E0E"/>
    <w:multiLevelType w:val="hybridMultilevel"/>
    <w:tmpl w:val="1D70A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A96446"/>
    <w:multiLevelType w:val="hybridMultilevel"/>
    <w:tmpl w:val="4D9240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48732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DDF6F86"/>
    <w:multiLevelType w:val="hybridMultilevel"/>
    <w:tmpl w:val="5AA84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352920"/>
    <w:multiLevelType w:val="hybridMultilevel"/>
    <w:tmpl w:val="E9BEB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1C3663"/>
    <w:multiLevelType w:val="hybridMultilevel"/>
    <w:tmpl w:val="7F36B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3C36B2"/>
    <w:multiLevelType w:val="hybridMultilevel"/>
    <w:tmpl w:val="05A03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AE1097"/>
    <w:multiLevelType w:val="hybridMultilevel"/>
    <w:tmpl w:val="5036B7A4"/>
    <w:lvl w:ilvl="0" w:tplc="C1B4AA06">
      <w:start w:val="1"/>
      <w:numFmt w:val="bullet"/>
      <w:lvlText w:val="•"/>
      <w:lvlJc w:val="left"/>
      <w:pPr>
        <w:tabs>
          <w:tab w:val="num" w:pos="720"/>
        </w:tabs>
        <w:ind w:left="720" w:hanging="360"/>
      </w:pPr>
      <w:rPr>
        <w:rFonts w:ascii="Arial" w:hAnsi="Arial" w:hint="default"/>
      </w:rPr>
    </w:lvl>
    <w:lvl w:ilvl="1" w:tplc="36F234F6" w:tentative="1">
      <w:start w:val="1"/>
      <w:numFmt w:val="bullet"/>
      <w:lvlText w:val="•"/>
      <w:lvlJc w:val="left"/>
      <w:pPr>
        <w:tabs>
          <w:tab w:val="num" w:pos="1440"/>
        </w:tabs>
        <w:ind w:left="1440" w:hanging="360"/>
      </w:pPr>
      <w:rPr>
        <w:rFonts w:ascii="Arial" w:hAnsi="Arial" w:hint="default"/>
      </w:rPr>
    </w:lvl>
    <w:lvl w:ilvl="2" w:tplc="4EFC9906" w:tentative="1">
      <w:start w:val="1"/>
      <w:numFmt w:val="bullet"/>
      <w:lvlText w:val="•"/>
      <w:lvlJc w:val="left"/>
      <w:pPr>
        <w:tabs>
          <w:tab w:val="num" w:pos="2160"/>
        </w:tabs>
        <w:ind w:left="2160" w:hanging="360"/>
      </w:pPr>
      <w:rPr>
        <w:rFonts w:ascii="Arial" w:hAnsi="Arial" w:hint="default"/>
      </w:rPr>
    </w:lvl>
    <w:lvl w:ilvl="3" w:tplc="E048A3F4" w:tentative="1">
      <w:start w:val="1"/>
      <w:numFmt w:val="bullet"/>
      <w:lvlText w:val="•"/>
      <w:lvlJc w:val="left"/>
      <w:pPr>
        <w:tabs>
          <w:tab w:val="num" w:pos="2880"/>
        </w:tabs>
        <w:ind w:left="2880" w:hanging="360"/>
      </w:pPr>
      <w:rPr>
        <w:rFonts w:ascii="Arial" w:hAnsi="Arial" w:hint="default"/>
      </w:rPr>
    </w:lvl>
    <w:lvl w:ilvl="4" w:tplc="70FAA1B6" w:tentative="1">
      <w:start w:val="1"/>
      <w:numFmt w:val="bullet"/>
      <w:lvlText w:val="•"/>
      <w:lvlJc w:val="left"/>
      <w:pPr>
        <w:tabs>
          <w:tab w:val="num" w:pos="3600"/>
        </w:tabs>
        <w:ind w:left="3600" w:hanging="360"/>
      </w:pPr>
      <w:rPr>
        <w:rFonts w:ascii="Arial" w:hAnsi="Arial" w:hint="default"/>
      </w:rPr>
    </w:lvl>
    <w:lvl w:ilvl="5" w:tplc="5040FB5C" w:tentative="1">
      <w:start w:val="1"/>
      <w:numFmt w:val="bullet"/>
      <w:lvlText w:val="•"/>
      <w:lvlJc w:val="left"/>
      <w:pPr>
        <w:tabs>
          <w:tab w:val="num" w:pos="4320"/>
        </w:tabs>
        <w:ind w:left="4320" w:hanging="360"/>
      </w:pPr>
      <w:rPr>
        <w:rFonts w:ascii="Arial" w:hAnsi="Arial" w:hint="default"/>
      </w:rPr>
    </w:lvl>
    <w:lvl w:ilvl="6" w:tplc="A942D982" w:tentative="1">
      <w:start w:val="1"/>
      <w:numFmt w:val="bullet"/>
      <w:lvlText w:val="•"/>
      <w:lvlJc w:val="left"/>
      <w:pPr>
        <w:tabs>
          <w:tab w:val="num" w:pos="5040"/>
        </w:tabs>
        <w:ind w:left="5040" w:hanging="360"/>
      </w:pPr>
      <w:rPr>
        <w:rFonts w:ascii="Arial" w:hAnsi="Arial" w:hint="default"/>
      </w:rPr>
    </w:lvl>
    <w:lvl w:ilvl="7" w:tplc="E1CC0482" w:tentative="1">
      <w:start w:val="1"/>
      <w:numFmt w:val="bullet"/>
      <w:lvlText w:val="•"/>
      <w:lvlJc w:val="left"/>
      <w:pPr>
        <w:tabs>
          <w:tab w:val="num" w:pos="5760"/>
        </w:tabs>
        <w:ind w:left="5760" w:hanging="360"/>
      </w:pPr>
      <w:rPr>
        <w:rFonts w:ascii="Arial" w:hAnsi="Arial" w:hint="default"/>
      </w:rPr>
    </w:lvl>
    <w:lvl w:ilvl="8" w:tplc="6C08D73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0C76393"/>
    <w:multiLevelType w:val="hybridMultilevel"/>
    <w:tmpl w:val="8188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1003D5"/>
    <w:multiLevelType w:val="hybridMultilevel"/>
    <w:tmpl w:val="43EC3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C053D2"/>
    <w:multiLevelType w:val="hybridMultilevel"/>
    <w:tmpl w:val="B36E3554"/>
    <w:lvl w:ilvl="0" w:tplc="EB467C7E">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CB735E"/>
    <w:multiLevelType w:val="hybridMultilevel"/>
    <w:tmpl w:val="63984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155C53"/>
    <w:multiLevelType w:val="multilevel"/>
    <w:tmpl w:val="6722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6722C2"/>
    <w:multiLevelType w:val="hybridMultilevel"/>
    <w:tmpl w:val="FC8AF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4570B3"/>
    <w:multiLevelType w:val="hybridMultilevel"/>
    <w:tmpl w:val="9C2E36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9E4A3F"/>
    <w:multiLevelType w:val="hybridMultilevel"/>
    <w:tmpl w:val="0F4C5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5B4D80"/>
    <w:multiLevelType w:val="hybridMultilevel"/>
    <w:tmpl w:val="F90C0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201685"/>
    <w:multiLevelType w:val="hybridMultilevel"/>
    <w:tmpl w:val="515A6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4B13E3"/>
    <w:multiLevelType w:val="hybridMultilevel"/>
    <w:tmpl w:val="19B45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BF06C1"/>
    <w:multiLevelType w:val="hybridMultilevel"/>
    <w:tmpl w:val="8FAAEF6A"/>
    <w:lvl w:ilvl="0" w:tplc="7A3A5FA4">
      <w:start w:val="1"/>
      <w:numFmt w:val="decimal"/>
      <w:lvlText w:val="%1."/>
      <w:lvlJc w:val="left"/>
      <w:pPr>
        <w:tabs>
          <w:tab w:val="num" w:pos="720"/>
        </w:tabs>
        <w:ind w:left="720" w:hanging="360"/>
      </w:pPr>
    </w:lvl>
    <w:lvl w:ilvl="1" w:tplc="95CE7C46">
      <w:start w:val="1"/>
      <w:numFmt w:val="decimal"/>
      <w:lvlText w:val="%2."/>
      <w:lvlJc w:val="left"/>
      <w:pPr>
        <w:tabs>
          <w:tab w:val="num" w:pos="1440"/>
        </w:tabs>
        <w:ind w:left="1440" w:hanging="360"/>
      </w:pPr>
    </w:lvl>
    <w:lvl w:ilvl="2" w:tplc="131C56B4" w:tentative="1">
      <w:start w:val="1"/>
      <w:numFmt w:val="decimal"/>
      <w:lvlText w:val="%3."/>
      <w:lvlJc w:val="left"/>
      <w:pPr>
        <w:tabs>
          <w:tab w:val="num" w:pos="2160"/>
        </w:tabs>
        <w:ind w:left="2160" w:hanging="360"/>
      </w:pPr>
    </w:lvl>
    <w:lvl w:ilvl="3" w:tplc="B0728340" w:tentative="1">
      <w:start w:val="1"/>
      <w:numFmt w:val="decimal"/>
      <w:lvlText w:val="%4."/>
      <w:lvlJc w:val="left"/>
      <w:pPr>
        <w:tabs>
          <w:tab w:val="num" w:pos="2880"/>
        </w:tabs>
        <w:ind w:left="2880" w:hanging="360"/>
      </w:pPr>
    </w:lvl>
    <w:lvl w:ilvl="4" w:tplc="B84AA274" w:tentative="1">
      <w:start w:val="1"/>
      <w:numFmt w:val="decimal"/>
      <w:lvlText w:val="%5."/>
      <w:lvlJc w:val="left"/>
      <w:pPr>
        <w:tabs>
          <w:tab w:val="num" w:pos="3600"/>
        </w:tabs>
        <w:ind w:left="3600" w:hanging="360"/>
      </w:pPr>
    </w:lvl>
    <w:lvl w:ilvl="5" w:tplc="D7A0C5C4" w:tentative="1">
      <w:start w:val="1"/>
      <w:numFmt w:val="decimal"/>
      <w:lvlText w:val="%6."/>
      <w:lvlJc w:val="left"/>
      <w:pPr>
        <w:tabs>
          <w:tab w:val="num" w:pos="4320"/>
        </w:tabs>
        <w:ind w:left="4320" w:hanging="360"/>
      </w:pPr>
    </w:lvl>
    <w:lvl w:ilvl="6" w:tplc="724090F6" w:tentative="1">
      <w:start w:val="1"/>
      <w:numFmt w:val="decimal"/>
      <w:lvlText w:val="%7."/>
      <w:lvlJc w:val="left"/>
      <w:pPr>
        <w:tabs>
          <w:tab w:val="num" w:pos="5040"/>
        </w:tabs>
        <w:ind w:left="5040" w:hanging="360"/>
      </w:pPr>
    </w:lvl>
    <w:lvl w:ilvl="7" w:tplc="BF42CA4E" w:tentative="1">
      <w:start w:val="1"/>
      <w:numFmt w:val="decimal"/>
      <w:lvlText w:val="%8."/>
      <w:lvlJc w:val="left"/>
      <w:pPr>
        <w:tabs>
          <w:tab w:val="num" w:pos="5760"/>
        </w:tabs>
        <w:ind w:left="5760" w:hanging="360"/>
      </w:pPr>
    </w:lvl>
    <w:lvl w:ilvl="8" w:tplc="8DFC7C44" w:tentative="1">
      <w:start w:val="1"/>
      <w:numFmt w:val="decimal"/>
      <w:lvlText w:val="%9."/>
      <w:lvlJc w:val="left"/>
      <w:pPr>
        <w:tabs>
          <w:tab w:val="num" w:pos="6480"/>
        </w:tabs>
        <w:ind w:left="6480" w:hanging="360"/>
      </w:pPr>
    </w:lvl>
  </w:abstractNum>
  <w:abstractNum w:abstractNumId="32"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317112"/>
    <w:multiLevelType w:val="hybridMultilevel"/>
    <w:tmpl w:val="15ACB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7275239">
    <w:abstractNumId w:val="29"/>
  </w:num>
  <w:num w:numId="2" w16cid:durableId="935331807">
    <w:abstractNumId w:val="32"/>
  </w:num>
  <w:num w:numId="3" w16cid:durableId="778183120">
    <w:abstractNumId w:val="25"/>
  </w:num>
  <w:num w:numId="4" w16cid:durableId="1568764272">
    <w:abstractNumId w:val="14"/>
  </w:num>
  <w:num w:numId="5" w16cid:durableId="900870968">
    <w:abstractNumId w:val="33"/>
  </w:num>
  <w:num w:numId="6" w16cid:durableId="802426284">
    <w:abstractNumId w:val="34"/>
  </w:num>
  <w:num w:numId="7" w16cid:durableId="1029834854">
    <w:abstractNumId w:val="5"/>
  </w:num>
  <w:num w:numId="8" w16cid:durableId="1888295619">
    <w:abstractNumId w:val="12"/>
  </w:num>
  <w:num w:numId="9" w16cid:durableId="1565066277">
    <w:abstractNumId w:val="9"/>
  </w:num>
  <w:num w:numId="10" w16cid:durableId="918371928">
    <w:abstractNumId w:val="22"/>
  </w:num>
  <w:num w:numId="11" w16cid:durableId="1785659965">
    <w:abstractNumId w:val="16"/>
  </w:num>
  <w:num w:numId="12" w16cid:durableId="2052261497">
    <w:abstractNumId w:val="8"/>
  </w:num>
  <w:num w:numId="13" w16cid:durableId="2018843049">
    <w:abstractNumId w:val="35"/>
  </w:num>
  <w:num w:numId="14" w16cid:durableId="775490536">
    <w:abstractNumId w:val="23"/>
  </w:num>
  <w:num w:numId="15" w16cid:durableId="1950620468">
    <w:abstractNumId w:val="20"/>
  </w:num>
  <w:num w:numId="16" w16cid:durableId="1174077907">
    <w:abstractNumId w:val="4"/>
  </w:num>
  <w:num w:numId="17" w16cid:durableId="558050482">
    <w:abstractNumId w:val="17"/>
  </w:num>
  <w:num w:numId="18" w16cid:durableId="1479610489">
    <w:abstractNumId w:val="30"/>
  </w:num>
  <w:num w:numId="19" w16cid:durableId="461315661">
    <w:abstractNumId w:val="0"/>
  </w:num>
  <w:num w:numId="20" w16cid:durableId="691105407">
    <w:abstractNumId w:val="11"/>
  </w:num>
  <w:num w:numId="21" w16cid:durableId="1295914309">
    <w:abstractNumId w:val="1"/>
  </w:num>
  <w:num w:numId="22" w16cid:durableId="908541269">
    <w:abstractNumId w:val="31"/>
  </w:num>
  <w:num w:numId="23" w16cid:durableId="852917074">
    <w:abstractNumId w:val="7"/>
  </w:num>
  <w:num w:numId="24" w16cid:durableId="1316300628">
    <w:abstractNumId w:val="15"/>
  </w:num>
  <w:num w:numId="25" w16cid:durableId="2127845929">
    <w:abstractNumId w:val="10"/>
  </w:num>
  <w:num w:numId="26" w16cid:durableId="851188369">
    <w:abstractNumId w:val="13"/>
  </w:num>
  <w:num w:numId="27" w16cid:durableId="1943414191">
    <w:abstractNumId w:val="3"/>
  </w:num>
  <w:num w:numId="28" w16cid:durableId="1765959198">
    <w:abstractNumId w:val="28"/>
  </w:num>
  <w:num w:numId="29" w16cid:durableId="1384599144">
    <w:abstractNumId w:val="24"/>
  </w:num>
  <w:num w:numId="30" w16cid:durableId="1652783418">
    <w:abstractNumId w:val="2"/>
  </w:num>
  <w:num w:numId="31" w16cid:durableId="1994480377">
    <w:abstractNumId w:val="27"/>
  </w:num>
  <w:num w:numId="32" w16cid:durableId="1964265832">
    <w:abstractNumId w:val="21"/>
  </w:num>
  <w:num w:numId="33" w16cid:durableId="2010324530">
    <w:abstractNumId w:val="6"/>
  </w:num>
  <w:num w:numId="34" w16cid:durableId="1292789007">
    <w:abstractNumId w:val="19"/>
  </w:num>
  <w:num w:numId="35" w16cid:durableId="1566255144">
    <w:abstractNumId w:val="18"/>
  </w:num>
  <w:num w:numId="36" w16cid:durableId="1635140824">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trackRevisions/>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59F"/>
    <w:rsid w:val="00000951"/>
    <w:rsid w:val="00000B27"/>
    <w:rsid w:val="00001A94"/>
    <w:rsid w:val="000028C5"/>
    <w:rsid w:val="0000306A"/>
    <w:rsid w:val="000030C1"/>
    <w:rsid w:val="0000431C"/>
    <w:rsid w:val="00004893"/>
    <w:rsid w:val="00004ECB"/>
    <w:rsid w:val="00005752"/>
    <w:rsid w:val="0000580B"/>
    <w:rsid w:val="00005C05"/>
    <w:rsid w:val="00005DDA"/>
    <w:rsid w:val="00006420"/>
    <w:rsid w:val="00006E87"/>
    <w:rsid w:val="000079B7"/>
    <w:rsid w:val="00010386"/>
    <w:rsid w:val="000106F5"/>
    <w:rsid w:val="0001264B"/>
    <w:rsid w:val="0001321A"/>
    <w:rsid w:val="000139F9"/>
    <w:rsid w:val="00013D8F"/>
    <w:rsid w:val="000141C9"/>
    <w:rsid w:val="0001437A"/>
    <w:rsid w:val="000143A3"/>
    <w:rsid w:val="000148A9"/>
    <w:rsid w:val="00014A4D"/>
    <w:rsid w:val="00015623"/>
    <w:rsid w:val="00015AF2"/>
    <w:rsid w:val="000166C8"/>
    <w:rsid w:val="00017076"/>
    <w:rsid w:val="0001712D"/>
    <w:rsid w:val="000172A3"/>
    <w:rsid w:val="00017A20"/>
    <w:rsid w:val="00017EA6"/>
    <w:rsid w:val="0002076A"/>
    <w:rsid w:val="00020AFD"/>
    <w:rsid w:val="000219EA"/>
    <w:rsid w:val="00021B01"/>
    <w:rsid w:val="000220E4"/>
    <w:rsid w:val="00022765"/>
    <w:rsid w:val="000229CB"/>
    <w:rsid w:val="00022D6A"/>
    <w:rsid w:val="0002330C"/>
    <w:rsid w:val="00023358"/>
    <w:rsid w:val="00023883"/>
    <w:rsid w:val="000239B6"/>
    <w:rsid w:val="00024EC5"/>
    <w:rsid w:val="00025392"/>
    <w:rsid w:val="000259CD"/>
    <w:rsid w:val="000263CA"/>
    <w:rsid w:val="0002657A"/>
    <w:rsid w:val="00026975"/>
    <w:rsid w:val="0002775D"/>
    <w:rsid w:val="00027870"/>
    <w:rsid w:val="000278C7"/>
    <w:rsid w:val="00027E6B"/>
    <w:rsid w:val="00027EB4"/>
    <w:rsid w:val="00030A60"/>
    <w:rsid w:val="00030CE5"/>
    <w:rsid w:val="00031527"/>
    <w:rsid w:val="00031608"/>
    <w:rsid w:val="00031742"/>
    <w:rsid w:val="00031AFD"/>
    <w:rsid w:val="00031EEA"/>
    <w:rsid w:val="0003225A"/>
    <w:rsid w:val="00032862"/>
    <w:rsid w:val="000339E0"/>
    <w:rsid w:val="00034225"/>
    <w:rsid w:val="00034787"/>
    <w:rsid w:val="000350ED"/>
    <w:rsid w:val="00035466"/>
    <w:rsid w:val="0003556F"/>
    <w:rsid w:val="00035BA7"/>
    <w:rsid w:val="00036DA1"/>
    <w:rsid w:val="0003792A"/>
    <w:rsid w:val="00037E1D"/>
    <w:rsid w:val="000405DE"/>
    <w:rsid w:val="00040CCA"/>
    <w:rsid w:val="0004194C"/>
    <w:rsid w:val="00041DAB"/>
    <w:rsid w:val="000423D2"/>
    <w:rsid w:val="00042473"/>
    <w:rsid w:val="00042A9A"/>
    <w:rsid w:val="00042EA1"/>
    <w:rsid w:val="00043E6E"/>
    <w:rsid w:val="00043FA4"/>
    <w:rsid w:val="0004439C"/>
    <w:rsid w:val="000449DD"/>
    <w:rsid w:val="00045344"/>
    <w:rsid w:val="000455C2"/>
    <w:rsid w:val="00047AB1"/>
    <w:rsid w:val="00047E63"/>
    <w:rsid w:val="000500A9"/>
    <w:rsid w:val="00050169"/>
    <w:rsid w:val="00050795"/>
    <w:rsid w:val="000523B2"/>
    <w:rsid w:val="00052EF2"/>
    <w:rsid w:val="000535F5"/>
    <w:rsid w:val="0005366B"/>
    <w:rsid w:val="00053869"/>
    <w:rsid w:val="00053BC2"/>
    <w:rsid w:val="00053C0B"/>
    <w:rsid w:val="000548D4"/>
    <w:rsid w:val="00054AF6"/>
    <w:rsid w:val="00054E4A"/>
    <w:rsid w:val="00055C6D"/>
    <w:rsid w:val="00055FAE"/>
    <w:rsid w:val="00056772"/>
    <w:rsid w:val="00056EB2"/>
    <w:rsid w:val="000573F0"/>
    <w:rsid w:val="0005747C"/>
    <w:rsid w:val="00057683"/>
    <w:rsid w:val="0006012A"/>
    <w:rsid w:val="00060851"/>
    <w:rsid w:val="000610CF"/>
    <w:rsid w:val="000614B4"/>
    <w:rsid w:val="00061FC2"/>
    <w:rsid w:val="000624AA"/>
    <w:rsid w:val="00062BB4"/>
    <w:rsid w:val="000630DA"/>
    <w:rsid w:val="00063A7C"/>
    <w:rsid w:val="00064498"/>
    <w:rsid w:val="0006499C"/>
    <w:rsid w:val="000649AC"/>
    <w:rsid w:val="00064D05"/>
    <w:rsid w:val="00065101"/>
    <w:rsid w:val="0006542A"/>
    <w:rsid w:val="00065E89"/>
    <w:rsid w:val="0006603D"/>
    <w:rsid w:val="00066C0C"/>
    <w:rsid w:val="00066C3E"/>
    <w:rsid w:val="0006714B"/>
    <w:rsid w:val="00067B63"/>
    <w:rsid w:val="00067E76"/>
    <w:rsid w:val="00070BFD"/>
    <w:rsid w:val="00070C4F"/>
    <w:rsid w:val="00070C73"/>
    <w:rsid w:val="0007139D"/>
    <w:rsid w:val="0007163E"/>
    <w:rsid w:val="000723E9"/>
    <w:rsid w:val="00072BF8"/>
    <w:rsid w:val="00072EFF"/>
    <w:rsid w:val="00074A92"/>
    <w:rsid w:val="00075312"/>
    <w:rsid w:val="0007555A"/>
    <w:rsid w:val="000762DD"/>
    <w:rsid w:val="0007653D"/>
    <w:rsid w:val="00076540"/>
    <w:rsid w:val="00076729"/>
    <w:rsid w:val="00076AAE"/>
    <w:rsid w:val="00076CC9"/>
    <w:rsid w:val="0007721B"/>
    <w:rsid w:val="00077692"/>
    <w:rsid w:val="00080BF1"/>
    <w:rsid w:val="00080C65"/>
    <w:rsid w:val="00082859"/>
    <w:rsid w:val="00084679"/>
    <w:rsid w:val="00084707"/>
    <w:rsid w:val="00084743"/>
    <w:rsid w:val="000854FE"/>
    <w:rsid w:val="00085531"/>
    <w:rsid w:val="00085AD5"/>
    <w:rsid w:val="00085DC0"/>
    <w:rsid w:val="000864CD"/>
    <w:rsid w:val="000872AD"/>
    <w:rsid w:val="00087BD8"/>
    <w:rsid w:val="0009074E"/>
    <w:rsid w:val="000910A2"/>
    <w:rsid w:val="00091402"/>
    <w:rsid w:val="00091A98"/>
    <w:rsid w:val="000920A0"/>
    <w:rsid w:val="00093963"/>
    <w:rsid w:val="00094314"/>
    <w:rsid w:val="00094D6B"/>
    <w:rsid w:val="0009530F"/>
    <w:rsid w:val="000953CE"/>
    <w:rsid w:val="0009543F"/>
    <w:rsid w:val="00096D80"/>
    <w:rsid w:val="000A0407"/>
    <w:rsid w:val="000A04DF"/>
    <w:rsid w:val="000A0DBC"/>
    <w:rsid w:val="000A2519"/>
    <w:rsid w:val="000A2A99"/>
    <w:rsid w:val="000A368B"/>
    <w:rsid w:val="000A449D"/>
    <w:rsid w:val="000A4943"/>
    <w:rsid w:val="000A4D2E"/>
    <w:rsid w:val="000A57E8"/>
    <w:rsid w:val="000A59B2"/>
    <w:rsid w:val="000A6547"/>
    <w:rsid w:val="000A6607"/>
    <w:rsid w:val="000A7573"/>
    <w:rsid w:val="000A7D0D"/>
    <w:rsid w:val="000B1169"/>
    <w:rsid w:val="000B1899"/>
    <w:rsid w:val="000B18C3"/>
    <w:rsid w:val="000B3A16"/>
    <w:rsid w:val="000B45EB"/>
    <w:rsid w:val="000B4956"/>
    <w:rsid w:val="000B5C95"/>
    <w:rsid w:val="000B6979"/>
    <w:rsid w:val="000B6AD3"/>
    <w:rsid w:val="000B6C08"/>
    <w:rsid w:val="000B74D6"/>
    <w:rsid w:val="000B762B"/>
    <w:rsid w:val="000C05B4"/>
    <w:rsid w:val="000C0C1F"/>
    <w:rsid w:val="000C1B18"/>
    <w:rsid w:val="000C1C0B"/>
    <w:rsid w:val="000C2355"/>
    <w:rsid w:val="000C2A3F"/>
    <w:rsid w:val="000C3664"/>
    <w:rsid w:val="000C3AB3"/>
    <w:rsid w:val="000C46CD"/>
    <w:rsid w:val="000C4F5E"/>
    <w:rsid w:val="000C7F33"/>
    <w:rsid w:val="000C7F70"/>
    <w:rsid w:val="000D031D"/>
    <w:rsid w:val="000D0521"/>
    <w:rsid w:val="000D0701"/>
    <w:rsid w:val="000D0709"/>
    <w:rsid w:val="000D087C"/>
    <w:rsid w:val="000D306C"/>
    <w:rsid w:val="000D3164"/>
    <w:rsid w:val="000D3408"/>
    <w:rsid w:val="000D387C"/>
    <w:rsid w:val="000D3C49"/>
    <w:rsid w:val="000D3C65"/>
    <w:rsid w:val="000D4365"/>
    <w:rsid w:val="000D4490"/>
    <w:rsid w:val="000D49E0"/>
    <w:rsid w:val="000D58F5"/>
    <w:rsid w:val="000D5DAD"/>
    <w:rsid w:val="000D66B5"/>
    <w:rsid w:val="000D6B23"/>
    <w:rsid w:val="000D6F0B"/>
    <w:rsid w:val="000D7062"/>
    <w:rsid w:val="000D7AD0"/>
    <w:rsid w:val="000E0C48"/>
    <w:rsid w:val="000E2147"/>
    <w:rsid w:val="000E2D30"/>
    <w:rsid w:val="000E33FA"/>
    <w:rsid w:val="000E3483"/>
    <w:rsid w:val="000E353E"/>
    <w:rsid w:val="000E3DC8"/>
    <w:rsid w:val="000E419B"/>
    <w:rsid w:val="000E4265"/>
    <w:rsid w:val="000E46BD"/>
    <w:rsid w:val="000E47AA"/>
    <w:rsid w:val="000E577D"/>
    <w:rsid w:val="000E5F52"/>
    <w:rsid w:val="000E69A2"/>
    <w:rsid w:val="000E6D72"/>
    <w:rsid w:val="000E7264"/>
    <w:rsid w:val="000E7388"/>
    <w:rsid w:val="000E75E5"/>
    <w:rsid w:val="000E7891"/>
    <w:rsid w:val="000E78E7"/>
    <w:rsid w:val="000E7DD8"/>
    <w:rsid w:val="000F0005"/>
    <w:rsid w:val="000F0B46"/>
    <w:rsid w:val="000F0D7C"/>
    <w:rsid w:val="000F189B"/>
    <w:rsid w:val="000F19EB"/>
    <w:rsid w:val="000F1C1D"/>
    <w:rsid w:val="000F1F6E"/>
    <w:rsid w:val="000F2518"/>
    <w:rsid w:val="000F2ABD"/>
    <w:rsid w:val="000F2BDB"/>
    <w:rsid w:val="000F2D04"/>
    <w:rsid w:val="000F3113"/>
    <w:rsid w:val="000F382E"/>
    <w:rsid w:val="000F3F96"/>
    <w:rsid w:val="000F4C18"/>
    <w:rsid w:val="000F4ED2"/>
    <w:rsid w:val="000F533C"/>
    <w:rsid w:val="000F5C69"/>
    <w:rsid w:val="000F6024"/>
    <w:rsid w:val="000F66E4"/>
    <w:rsid w:val="000F77F1"/>
    <w:rsid w:val="00101FC3"/>
    <w:rsid w:val="00103384"/>
    <w:rsid w:val="00103992"/>
    <w:rsid w:val="00103EFD"/>
    <w:rsid w:val="001045C3"/>
    <w:rsid w:val="001045F1"/>
    <w:rsid w:val="001049F5"/>
    <w:rsid w:val="00104B96"/>
    <w:rsid w:val="00104F78"/>
    <w:rsid w:val="001055BE"/>
    <w:rsid w:val="001058C9"/>
    <w:rsid w:val="001061F6"/>
    <w:rsid w:val="00106CDC"/>
    <w:rsid w:val="001072C0"/>
    <w:rsid w:val="001073C9"/>
    <w:rsid w:val="00107A79"/>
    <w:rsid w:val="0011053E"/>
    <w:rsid w:val="00110C04"/>
    <w:rsid w:val="001110E4"/>
    <w:rsid w:val="001111BD"/>
    <w:rsid w:val="001112BC"/>
    <w:rsid w:val="001113D5"/>
    <w:rsid w:val="00111D6B"/>
    <w:rsid w:val="001125ED"/>
    <w:rsid w:val="00112754"/>
    <w:rsid w:val="00112B40"/>
    <w:rsid w:val="00113191"/>
    <w:rsid w:val="00113241"/>
    <w:rsid w:val="00113634"/>
    <w:rsid w:val="0011417B"/>
    <w:rsid w:val="00114C3A"/>
    <w:rsid w:val="00115AEB"/>
    <w:rsid w:val="00115EF7"/>
    <w:rsid w:val="00116237"/>
    <w:rsid w:val="00116947"/>
    <w:rsid w:val="0011779D"/>
    <w:rsid w:val="00117C4E"/>
    <w:rsid w:val="0012094B"/>
    <w:rsid w:val="00121143"/>
    <w:rsid w:val="00121543"/>
    <w:rsid w:val="00121659"/>
    <w:rsid w:val="00122559"/>
    <w:rsid w:val="001228C4"/>
    <w:rsid w:val="00122DE0"/>
    <w:rsid w:val="00122FA4"/>
    <w:rsid w:val="00123C0E"/>
    <w:rsid w:val="001258FC"/>
    <w:rsid w:val="00125C14"/>
    <w:rsid w:val="00126F03"/>
    <w:rsid w:val="001277A0"/>
    <w:rsid w:val="00127E8F"/>
    <w:rsid w:val="00130355"/>
    <w:rsid w:val="001303A9"/>
    <w:rsid w:val="00131448"/>
    <w:rsid w:val="001326BC"/>
    <w:rsid w:val="00133340"/>
    <w:rsid w:val="001338AC"/>
    <w:rsid w:val="00133F30"/>
    <w:rsid w:val="00133FB3"/>
    <w:rsid w:val="00134730"/>
    <w:rsid w:val="0013512C"/>
    <w:rsid w:val="00135701"/>
    <w:rsid w:val="00135751"/>
    <w:rsid w:val="00136538"/>
    <w:rsid w:val="0013716E"/>
    <w:rsid w:val="00137265"/>
    <w:rsid w:val="001372A2"/>
    <w:rsid w:val="00137E49"/>
    <w:rsid w:val="00141011"/>
    <w:rsid w:val="001412DD"/>
    <w:rsid w:val="00142863"/>
    <w:rsid w:val="001431C9"/>
    <w:rsid w:val="00143B55"/>
    <w:rsid w:val="0014531C"/>
    <w:rsid w:val="00145AA1"/>
    <w:rsid w:val="00146096"/>
    <w:rsid w:val="00146C64"/>
    <w:rsid w:val="0014735F"/>
    <w:rsid w:val="00151BF4"/>
    <w:rsid w:val="0015288F"/>
    <w:rsid w:val="00152CA7"/>
    <w:rsid w:val="00153181"/>
    <w:rsid w:val="001537B0"/>
    <w:rsid w:val="00153FC6"/>
    <w:rsid w:val="00154125"/>
    <w:rsid w:val="00154FB3"/>
    <w:rsid w:val="00154FF4"/>
    <w:rsid w:val="00155B20"/>
    <w:rsid w:val="00155D6B"/>
    <w:rsid w:val="00155F5E"/>
    <w:rsid w:val="001560C9"/>
    <w:rsid w:val="001561D1"/>
    <w:rsid w:val="00156409"/>
    <w:rsid w:val="001564B7"/>
    <w:rsid w:val="001567EC"/>
    <w:rsid w:val="00156B54"/>
    <w:rsid w:val="00156E0F"/>
    <w:rsid w:val="00157CCE"/>
    <w:rsid w:val="00160269"/>
    <w:rsid w:val="0016148A"/>
    <w:rsid w:val="00161834"/>
    <w:rsid w:val="001632EF"/>
    <w:rsid w:val="00165048"/>
    <w:rsid w:val="00165487"/>
    <w:rsid w:val="00166972"/>
    <w:rsid w:val="001672A6"/>
    <w:rsid w:val="001674EB"/>
    <w:rsid w:val="00167C8C"/>
    <w:rsid w:val="00170E44"/>
    <w:rsid w:val="00171774"/>
    <w:rsid w:val="001728CC"/>
    <w:rsid w:val="00173EC3"/>
    <w:rsid w:val="00173F5B"/>
    <w:rsid w:val="00174967"/>
    <w:rsid w:val="00174DA4"/>
    <w:rsid w:val="0017532D"/>
    <w:rsid w:val="00175675"/>
    <w:rsid w:val="00175CF2"/>
    <w:rsid w:val="00176F57"/>
    <w:rsid w:val="001771A6"/>
    <w:rsid w:val="00177567"/>
    <w:rsid w:val="0018047E"/>
    <w:rsid w:val="0018127A"/>
    <w:rsid w:val="00181490"/>
    <w:rsid w:val="00181A10"/>
    <w:rsid w:val="00182339"/>
    <w:rsid w:val="001832BE"/>
    <w:rsid w:val="00183A1A"/>
    <w:rsid w:val="00184344"/>
    <w:rsid w:val="00184780"/>
    <w:rsid w:val="0018561C"/>
    <w:rsid w:val="00185C07"/>
    <w:rsid w:val="00185F7B"/>
    <w:rsid w:val="00186297"/>
    <w:rsid w:val="00186524"/>
    <w:rsid w:val="00186797"/>
    <w:rsid w:val="001869AB"/>
    <w:rsid w:val="00186C4E"/>
    <w:rsid w:val="00186DE8"/>
    <w:rsid w:val="00186EA0"/>
    <w:rsid w:val="0018781D"/>
    <w:rsid w:val="001879F1"/>
    <w:rsid w:val="00187DD8"/>
    <w:rsid w:val="00190B3C"/>
    <w:rsid w:val="0019171C"/>
    <w:rsid w:val="00192773"/>
    <w:rsid w:val="00194559"/>
    <w:rsid w:val="001946FA"/>
    <w:rsid w:val="001957AF"/>
    <w:rsid w:val="001960A1"/>
    <w:rsid w:val="001979F9"/>
    <w:rsid w:val="00197CFD"/>
    <w:rsid w:val="001A13FA"/>
    <w:rsid w:val="001A1B60"/>
    <w:rsid w:val="001A2A43"/>
    <w:rsid w:val="001A2A70"/>
    <w:rsid w:val="001A305E"/>
    <w:rsid w:val="001A360C"/>
    <w:rsid w:val="001A3A05"/>
    <w:rsid w:val="001A45D8"/>
    <w:rsid w:val="001A56F5"/>
    <w:rsid w:val="001A588B"/>
    <w:rsid w:val="001A6259"/>
    <w:rsid w:val="001A7195"/>
    <w:rsid w:val="001A76A9"/>
    <w:rsid w:val="001A7A7A"/>
    <w:rsid w:val="001A7B8D"/>
    <w:rsid w:val="001A7CD9"/>
    <w:rsid w:val="001B0655"/>
    <w:rsid w:val="001B0B02"/>
    <w:rsid w:val="001B0D9E"/>
    <w:rsid w:val="001B18A8"/>
    <w:rsid w:val="001B1E4F"/>
    <w:rsid w:val="001B2EB2"/>
    <w:rsid w:val="001B486D"/>
    <w:rsid w:val="001B5139"/>
    <w:rsid w:val="001B5482"/>
    <w:rsid w:val="001B56CD"/>
    <w:rsid w:val="001B5DE1"/>
    <w:rsid w:val="001B7D97"/>
    <w:rsid w:val="001C05DC"/>
    <w:rsid w:val="001C0BD5"/>
    <w:rsid w:val="001C0FD1"/>
    <w:rsid w:val="001C2E6A"/>
    <w:rsid w:val="001C35DC"/>
    <w:rsid w:val="001C4430"/>
    <w:rsid w:val="001C4B99"/>
    <w:rsid w:val="001C4F7D"/>
    <w:rsid w:val="001C5071"/>
    <w:rsid w:val="001C518B"/>
    <w:rsid w:val="001C576F"/>
    <w:rsid w:val="001C5FB3"/>
    <w:rsid w:val="001C624E"/>
    <w:rsid w:val="001C758D"/>
    <w:rsid w:val="001D012B"/>
    <w:rsid w:val="001D06EC"/>
    <w:rsid w:val="001D0DC9"/>
    <w:rsid w:val="001D1CE8"/>
    <w:rsid w:val="001D212A"/>
    <w:rsid w:val="001D3701"/>
    <w:rsid w:val="001D3D33"/>
    <w:rsid w:val="001D48EA"/>
    <w:rsid w:val="001D57E7"/>
    <w:rsid w:val="001D7245"/>
    <w:rsid w:val="001E0172"/>
    <w:rsid w:val="001E1057"/>
    <w:rsid w:val="001E1775"/>
    <w:rsid w:val="001E25CC"/>
    <w:rsid w:val="001E27A3"/>
    <w:rsid w:val="001E27D9"/>
    <w:rsid w:val="001E299F"/>
    <w:rsid w:val="001E2FC4"/>
    <w:rsid w:val="001E3CC5"/>
    <w:rsid w:val="001E3D5C"/>
    <w:rsid w:val="001E3E07"/>
    <w:rsid w:val="001E4F7F"/>
    <w:rsid w:val="001E5254"/>
    <w:rsid w:val="001E5528"/>
    <w:rsid w:val="001E652B"/>
    <w:rsid w:val="001E7808"/>
    <w:rsid w:val="001E7948"/>
    <w:rsid w:val="001E7B8B"/>
    <w:rsid w:val="001E7F1C"/>
    <w:rsid w:val="001F1CD2"/>
    <w:rsid w:val="001F1D3A"/>
    <w:rsid w:val="001F4808"/>
    <w:rsid w:val="001F5754"/>
    <w:rsid w:val="001F5E55"/>
    <w:rsid w:val="001F6617"/>
    <w:rsid w:val="001F6C5D"/>
    <w:rsid w:val="001F7571"/>
    <w:rsid w:val="001F7D28"/>
    <w:rsid w:val="002001DC"/>
    <w:rsid w:val="0020075D"/>
    <w:rsid w:val="00200F08"/>
    <w:rsid w:val="002014BE"/>
    <w:rsid w:val="00201FA2"/>
    <w:rsid w:val="00202074"/>
    <w:rsid w:val="0020270B"/>
    <w:rsid w:val="00202F96"/>
    <w:rsid w:val="00203873"/>
    <w:rsid w:val="0020455D"/>
    <w:rsid w:val="00204E7D"/>
    <w:rsid w:val="00206BCF"/>
    <w:rsid w:val="00206E90"/>
    <w:rsid w:val="002077E0"/>
    <w:rsid w:val="0020794C"/>
    <w:rsid w:val="0021092A"/>
    <w:rsid w:val="002118CA"/>
    <w:rsid w:val="002122AD"/>
    <w:rsid w:val="00212F20"/>
    <w:rsid w:val="00214559"/>
    <w:rsid w:val="00214A90"/>
    <w:rsid w:val="0021600E"/>
    <w:rsid w:val="00217226"/>
    <w:rsid w:val="002179FF"/>
    <w:rsid w:val="00217E12"/>
    <w:rsid w:val="00220101"/>
    <w:rsid w:val="00220C44"/>
    <w:rsid w:val="0022158C"/>
    <w:rsid w:val="00221C81"/>
    <w:rsid w:val="002226D2"/>
    <w:rsid w:val="00223E07"/>
    <w:rsid w:val="00225255"/>
    <w:rsid w:val="00225D4E"/>
    <w:rsid w:val="002262C4"/>
    <w:rsid w:val="00226442"/>
    <w:rsid w:val="00226504"/>
    <w:rsid w:val="00226922"/>
    <w:rsid w:val="002275AA"/>
    <w:rsid w:val="00227618"/>
    <w:rsid w:val="002277AA"/>
    <w:rsid w:val="00227951"/>
    <w:rsid w:val="00227BC2"/>
    <w:rsid w:val="00227FF1"/>
    <w:rsid w:val="00231840"/>
    <w:rsid w:val="00232405"/>
    <w:rsid w:val="00232926"/>
    <w:rsid w:val="00232D8C"/>
    <w:rsid w:val="00232F02"/>
    <w:rsid w:val="00234080"/>
    <w:rsid w:val="00234AC8"/>
    <w:rsid w:val="00234C9A"/>
    <w:rsid w:val="0023594F"/>
    <w:rsid w:val="002361D1"/>
    <w:rsid w:val="00236283"/>
    <w:rsid w:val="0023632C"/>
    <w:rsid w:val="00236DE2"/>
    <w:rsid w:val="002371BC"/>
    <w:rsid w:val="0023788D"/>
    <w:rsid w:val="00237EDF"/>
    <w:rsid w:val="00241A7B"/>
    <w:rsid w:val="00242428"/>
    <w:rsid w:val="00242FAD"/>
    <w:rsid w:val="00244889"/>
    <w:rsid w:val="0024499F"/>
    <w:rsid w:val="00244DC1"/>
    <w:rsid w:val="0024677A"/>
    <w:rsid w:val="00246ACD"/>
    <w:rsid w:val="002472E1"/>
    <w:rsid w:val="00247803"/>
    <w:rsid w:val="00247FDD"/>
    <w:rsid w:val="00250B01"/>
    <w:rsid w:val="00251398"/>
    <w:rsid w:val="00251647"/>
    <w:rsid w:val="00251A2A"/>
    <w:rsid w:val="00252237"/>
    <w:rsid w:val="0025312D"/>
    <w:rsid w:val="00253B6D"/>
    <w:rsid w:val="00253D50"/>
    <w:rsid w:val="00253EC1"/>
    <w:rsid w:val="00254118"/>
    <w:rsid w:val="0025507D"/>
    <w:rsid w:val="00255794"/>
    <w:rsid w:val="00255E18"/>
    <w:rsid w:val="002561B0"/>
    <w:rsid w:val="002563F5"/>
    <w:rsid w:val="00256C06"/>
    <w:rsid w:val="00257032"/>
    <w:rsid w:val="00257719"/>
    <w:rsid w:val="00257748"/>
    <w:rsid w:val="00257A28"/>
    <w:rsid w:val="00257A8D"/>
    <w:rsid w:val="00257C63"/>
    <w:rsid w:val="00257FAC"/>
    <w:rsid w:val="00260BCF"/>
    <w:rsid w:val="00261613"/>
    <w:rsid w:val="0026190C"/>
    <w:rsid w:val="00261CCA"/>
    <w:rsid w:val="00261E53"/>
    <w:rsid w:val="002621D5"/>
    <w:rsid w:val="00262DB2"/>
    <w:rsid w:val="002637D8"/>
    <w:rsid w:val="00263A11"/>
    <w:rsid w:val="00263C7A"/>
    <w:rsid w:val="00264681"/>
    <w:rsid w:val="002648B9"/>
    <w:rsid w:val="0026589A"/>
    <w:rsid w:val="00265A69"/>
    <w:rsid w:val="00267106"/>
    <w:rsid w:val="00270807"/>
    <w:rsid w:val="00271672"/>
    <w:rsid w:val="002716A7"/>
    <w:rsid w:val="00271CAD"/>
    <w:rsid w:val="00272EF7"/>
    <w:rsid w:val="00273F30"/>
    <w:rsid w:val="00273FB2"/>
    <w:rsid w:val="002745B1"/>
    <w:rsid w:val="0027462B"/>
    <w:rsid w:val="00274896"/>
    <w:rsid w:val="00274CC9"/>
    <w:rsid w:val="00274F58"/>
    <w:rsid w:val="002752E2"/>
    <w:rsid w:val="00275A54"/>
    <w:rsid w:val="00275D20"/>
    <w:rsid w:val="00276465"/>
    <w:rsid w:val="002764C2"/>
    <w:rsid w:val="00276BF4"/>
    <w:rsid w:val="00276CA9"/>
    <w:rsid w:val="00277019"/>
    <w:rsid w:val="0027724A"/>
    <w:rsid w:val="00277EE7"/>
    <w:rsid w:val="0028074E"/>
    <w:rsid w:val="00280921"/>
    <w:rsid w:val="00280F27"/>
    <w:rsid w:val="0028203C"/>
    <w:rsid w:val="00283871"/>
    <w:rsid w:val="002856C1"/>
    <w:rsid w:val="00285721"/>
    <w:rsid w:val="00285E7A"/>
    <w:rsid w:val="0028699A"/>
    <w:rsid w:val="0028727D"/>
    <w:rsid w:val="00287656"/>
    <w:rsid w:val="00287AE2"/>
    <w:rsid w:val="00287E37"/>
    <w:rsid w:val="002912F1"/>
    <w:rsid w:val="002921B5"/>
    <w:rsid w:val="002931B7"/>
    <w:rsid w:val="00293B38"/>
    <w:rsid w:val="00293D6C"/>
    <w:rsid w:val="00293F1F"/>
    <w:rsid w:val="0029414F"/>
    <w:rsid w:val="002953FA"/>
    <w:rsid w:val="00295BDB"/>
    <w:rsid w:val="00296432"/>
    <w:rsid w:val="002966F8"/>
    <w:rsid w:val="002975F7"/>
    <w:rsid w:val="002978BC"/>
    <w:rsid w:val="00297928"/>
    <w:rsid w:val="00297C00"/>
    <w:rsid w:val="002A0276"/>
    <w:rsid w:val="002A0739"/>
    <w:rsid w:val="002A0CDE"/>
    <w:rsid w:val="002A0CF4"/>
    <w:rsid w:val="002A0F3B"/>
    <w:rsid w:val="002A368F"/>
    <w:rsid w:val="002A3C60"/>
    <w:rsid w:val="002A4099"/>
    <w:rsid w:val="002A4CA1"/>
    <w:rsid w:val="002A4EE3"/>
    <w:rsid w:val="002A6464"/>
    <w:rsid w:val="002A66D2"/>
    <w:rsid w:val="002A67C9"/>
    <w:rsid w:val="002A69D0"/>
    <w:rsid w:val="002A6C9A"/>
    <w:rsid w:val="002A70C1"/>
    <w:rsid w:val="002A70E3"/>
    <w:rsid w:val="002A78DA"/>
    <w:rsid w:val="002A7A75"/>
    <w:rsid w:val="002A7B4F"/>
    <w:rsid w:val="002A7CF6"/>
    <w:rsid w:val="002B0467"/>
    <w:rsid w:val="002B0A62"/>
    <w:rsid w:val="002B1101"/>
    <w:rsid w:val="002B278C"/>
    <w:rsid w:val="002B338D"/>
    <w:rsid w:val="002B4993"/>
    <w:rsid w:val="002B5E40"/>
    <w:rsid w:val="002B68F3"/>
    <w:rsid w:val="002B6AD9"/>
    <w:rsid w:val="002B711C"/>
    <w:rsid w:val="002B73B9"/>
    <w:rsid w:val="002C06B1"/>
    <w:rsid w:val="002C0AD4"/>
    <w:rsid w:val="002C0BB7"/>
    <w:rsid w:val="002C0CE1"/>
    <w:rsid w:val="002C0DE6"/>
    <w:rsid w:val="002C0E21"/>
    <w:rsid w:val="002C11F7"/>
    <w:rsid w:val="002C1A98"/>
    <w:rsid w:val="002C2061"/>
    <w:rsid w:val="002C36FE"/>
    <w:rsid w:val="002C397D"/>
    <w:rsid w:val="002C63F9"/>
    <w:rsid w:val="002C659D"/>
    <w:rsid w:val="002C6787"/>
    <w:rsid w:val="002C70E8"/>
    <w:rsid w:val="002C7102"/>
    <w:rsid w:val="002C714C"/>
    <w:rsid w:val="002C776F"/>
    <w:rsid w:val="002C78D7"/>
    <w:rsid w:val="002D165C"/>
    <w:rsid w:val="002D1B51"/>
    <w:rsid w:val="002D1B5F"/>
    <w:rsid w:val="002D2206"/>
    <w:rsid w:val="002D35C6"/>
    <w:rsid w:val="002D4504"/>
    <w:rsid w:val="002D48A9"/>
    <w:rsid w:val="002D5295"/>
    <w:rsid w:val="002D725D"/>
    <w:rsid w:val="002D74B4"/>
    <w:rsid w:val="002E0C28"/>
    <w:rsid w:val="002E19B4"/>
    <w:rsid w:val="002E1A43"/>
    <w:rsid w:val="002E1B14"/>
    <w:rsid w:val="002E1DB6"/>
    <w:rsid w:val="002E1DF0"/>
    <w:rsid w:val="002E2475"/>
    <w:rsid w:val="002E2477"/>
    <w:rsid w:val="002E4745"/>
    <w:rsid w:val="002E4840"/>
    <w:rsid w:val="002E4FF0"/>
    <w:rsid w:val="002E52A4"/>
    <w:rsid w:val="002E53C5"/>
    <w:rsid w:val="002E5622"/>
    <w:rsid w:val="002E5728"/>
    <w:rsid w:val="002E5C1F"/>
    <w:rsid w:val="002E7112"/>
    <w:rsid w:val="002E795E"/>
    <w:rsid w:val="002F0A51"/>
    <w:rsid w:val="002F25B7"/>
    <w:rsid w:val="002F2654"/>
    <w:rsid w:val="002F27A1"/>
    <w:rsid w:val="002F321C"/>
    <w:rsid w:val="002F3E9A"/>
    <w:rsid w:val="002F5286"/>
    <w:rsid w:val="002F5C3D"/>
    <w:rsid w:val="002F68E6"/>
    <w:rsid w:val="002F7CAD"/>
    <w:rsid w:val="00300313"/>
    <w:rsid w:val="00301383"/>
    <w:rsid w:val="00301AD5"/>
    <w:rsid w:val="00302574"/>
    <w:rsid w:val="00302843"/>
    <w:rsid w:val="003028B8"/>
    <w:rsid w:val="00302D24"/>
    <w:rsid w:val="0030377E"/>
    <w:rsid w:val="00303DBC"/>
    <w:rsid w:val="003051ED"/>
    <w:rsid w:val="00305B21"/>
    <w:rsid w:val="00305CEB"/>
    <w:rsid w:val="00306095"/>
    <w:rsid w:val="003067C0"/>
    <w:rsid w:val="0030684C"/>
    <w:rsid w:val="00306A7D"/>
    <w:rsid w:val="00306F56"/>
    <w:rsid w:val="003070FF"/>
    <w:rsid w:val="0030794B"/>
    <w:rsid w:val="00311835"/>
    <w:rsid w:val="00311B07"/>
    <w:rsid w:val="0031228F"/>
    <w:rsid w:val="00312355"/>
    <w:rsid w:val="003124F8"/>
    <w:rsid w:val="00312B83"/>
    <w:rsid w:val="00313586"/>
    <w:rsid w:val="003140D5"/>
    <w:rsid w:val="00314737"/>
    <w:rsid w:val="0031506E"/>
    <w:rsid w:val="00315837"/>
    <w:rsid w:val="003158CE"/>
    <w:rsid w:val="003159E3"/>
    <w:rsid w:val="00315A39"/>
    <w:rsid w:val="00315F62"/>
    <w:rsid w:val="003166B6"/>
    <w:rsid w:val="0031675A"/>
    <w:rsid w:val="00316970"/>
    <w:rsid w:val="00316FD5"/>
    <w:rsid w:val="00317CAA"/>
    <w:rsid w:val="0032067D"/>
    <w:rsid w:val="0032174D"/>
    <w:rsid w:val="00321826"/>
    <w:rsid w:val="00322BD3"/>
    <w:rsid w:val="00323CD7"/>
    <w:rsid w:val="0032410F"/>
    <w:rsid w:val="0032426F"/>
    <w:rsid w:val="003243C0"/>
    <w:rsid w:val="00324800"/>
    <w:rsid w:val="00324D74"/>
    <w:rsid w:val="00326217"/>
    <w:rsid w:val="003264A0"/>
    <w:rsid w:val="00326DAA"/>
    <w:rsid w:val="0032759F"/>
    <w:rsid w:val="00327EE7"/>
    <w:rsid w:val="003305F3"/>
    <w:rsid w:val="00330AF0"/>
    <w:rsid w:val="00330FCA"/>
    <w:rsid w:val="003317DF"/>
    <w:rsid w:val="00331D64"/>
    <w:rsid w:val="003321A9"/>
    <w:rsid w:val="003322E6"/>
    <w:rsid w:val="00332753"/>
    <w:rsid w:val="003327E2"/>
    <w:rsid w:val="00332911"/>
    <w:rsid w:val="00333693"/>
    <w:rsid w:val="00333ACF"/>
    <w:rsid w:val="00333CC6"/>
    <w:rsid w:val="00333E4D"/>
    <w:rsid w:val="003345D4"/>
    <w:rsid w:val="00334FAD"/>
    <w:rsid w:val="00335F6A"/>
    <w:rsid w:val="00336243"/>
    <w:rsid w:val="003369F2"/>
    <w:rsid w:val="00336C1C"/>
    <w:rsid w:val="00336CFF"/>
    <w:rsid w:val="00337E3D"/>
    <w:rsid w:val="00340034"/>
    <w:rsid w:val="00340AA3"/>
    <w:rsid w:val="00340F88"/>
    <w:rsid w:val="00341264"/>
    <w:rsid w:val="003423CF"/>
    <w:rsid w:val="00343341"/>
    <w:rsid w:val="0034396F"/>
    <w:rsid w:val="00343AED"/>
    <w:rsid w:val="00344038"/>
    <w:rsid w:val="00344E95"/>
    <w:rsid w:val="00345A31"/>
    <w:rsid w:val="00345CB1"/>
    <w:rsid w:val="0034693C"/>
    <w:rsid w:val="00347652"/>
    <w:rsid w:val="00347AD3"/>
    <w:rsid w:val="0035096A"/>
    <w:rsid w:val="003510B1"/>
    <w:rsid w:val="00351200"/>
    <w:rsid w:val="0035197D"/>
    <w:rsid w:val="003520EA"/>
    <w:rsid w:val="00352406"/>
    <w:rsid w:val="003526B9"/>
    <w:rsid w:val="003529F6"/>
    <w:rsid w:val="003531BC"/>
    <w:rsid w:val="00354029"/>
    <w:rsid w:val="00354808"/>
    <w:rsid w:val="00354E5D"/>
    <w:rsid w:val="00356440"/>
    <w:rsid w:val="0035655B"/>
    <w:rsid w:val="0036131E"/>
    <w:rsid w:val="00361736"/>
    <w:rsid w:val="0036279A"/>
    <w:rsid w:val="00364189"/>
    <w:rsid w:val="00364496"/>
    <w:rsid w:val="0036559F"/>
    <w:rsid w:val="00365BFA"/>
    <w:rsid w:val="00366577"/>
    <w:rsid w:val="00367054"/>
    <w:rsid w:val="00367279"/>
    <w:rsid w:val="003676A0"/>
    <w:rsid w:val="00367BFF"/>
    <w:rsid w:val="00367E78"/>
    <w:rsid w:val="00370F57"/>
    <w:rsid w:val="00371037"/>
    <w:rsid w:val="003723F8"/>
    <w:rsid w:val="003728EA"/>
    <w:rsid w:val="00372E60"/>
    <w:rsid w:val="00373628"/>
    <w:rsid w:val="003754F9"/>
    <w:rsid w:val="00375E3B"/>
    <w:rsid w:val="00375FCF"/>
    <w:rsid w:val="0037648D"/>
    <w:rsid w:val="00377108"/>
    <w:rsid w:val="00382233"/>
    <w:rsid w:val="00382782"/>
    <w:rsid w:val="00383C4C"/>
    <w:rsid w:val="003850C6"/>
    <w:rsid w:val="003860B9"/>
    <w:rsid w:val="00386663"/>
    <w:rsid w:val="00387653"/>
    <w:rsid w:val="003878F7"/>
    <w:rsid w:val="00387DA1"/>
    <w:rsid w:val="0039060B"/>
    <w:rsid w:val="00390A15"/>
    <w:rsid w:val="00390B13"/>
    <w:rsid w:val="00390C09"/>
    <w:rsid w:val="003912FD"/>
    <w:rsid w:val="003931F5"/>
    <w:rsid w:val="003932E3"/>
    <w:rsid w:val="0039403A"/>
    <w:rsid w:val="0039507A"/>
    <w:rsid w:val="0039545A"/>
    <w:rsid w:val="003965EC"/>
    <w:rsid w:val="00396A78"/>
    <w:rsid w:val="00397C61"/>
    <w:rsid w:val="003A0344"/>
    <w:rsid w:val="003A05B3"/>
    <w:rsid w:val="003A1339"/>
    <w:rsid w:val="003A15DD"/>
    <w:rsid w:val="003A1783"/>
    <w:rsid w:val="003A1C04"/>
    <w:rsid w:val="003A208E"/>
    <w:rsid w:val="003A2362"/>
    <w:rsid w:val="003A27EF"/>
    <w:rsid w:val="003A281F"/>
    <w:rsid w:val="003A2FEC"/>
    <w:rsid w:val="003A4349"/>
    <w:rsid w:val="003A47A6"/>
    <w:rsid w:val="003A4A13"/>
    <w:rsid w:val="003A4B61"/>
    <w:rsid w:val="003A51AB"/>
    <w:rsid w:val="003A5E94"/>
    <w:rsid w:val="003A6259"/>
    <w:rsid w:val="003A686D"/>
    <w:rsid w:val="003A6F4F"/>
    <w:rsid w:val="003A72D0"/>
    <w:rsid w:val="003B0386"/>
    <w:rsid w:val="003B0CC3"/>
    <w:rsid w:val="003B1111"/>
    <w:rsid w:val="003B26D1"/>
    <w:rsid w:val="003B33E3"/>
    <w:rsid w:val="003B4382"/>
    <w:rsid w:val="003B43A6"/>
    <w:rsid w:val="003B4427"/>
    <w:rsid w:val="003B46F1"/>
    <w:rsid w:val="003B4937"/>
    <w:rsid w:val="003B49DE"/>
    <w:rsid w:val="003B4B6F"/>
    <w:rsid w:val="003B4C88"/>
    <w:rsid w:val="003B4F28"/>
    <w:rsid w:val="003B512F"/>
    <w:rsid w:val="003B5131"/>
    <w:rsid w:val="003B51BD"/>
    <w:rsid w:val="003B678D"/>
    <w:rsid w:val="003B67DE"/>
    <w:rsid w:val="003B7F54"/>
    <w:rsid w:val="003C1564"/>
    <w:rsid w:val="003C1ACB"/>
    <w:rsid w:val="003C246E"/>
    <w:rsid w:val="003C2E93"/>
    <w:rsid w:val="003C2F6C"/>
    <w:rsid w:val="003C39D9"/>
    <w:rsid w:val="003C3E48"/>
    <w:rsid w:val="003C47EE"/>
    <w:rsid w:val="003C4EDD"/>
    <w:rsid w:val="003C5084"/>
    <w:rsid w:val="003C59DB"/>
    <w:rsid w:val="003C5CF0"/>
    <w:rsid w:val="003C66E8"/>
    <w:rsid w:val="003C673C"/>
    <w:rsid w:val="003C70BD"/>
    <w:rsid w:val="003C7A0F"/>
    <w:rsid w:val="003C7F29"/>
    <w:rsid w:val="003D0017"/>
    <w:rsid w:val="003D058F"/>
    <w:rsid w:val="003D1C75"/>
    <w:rsid w:val="003D1E2A"/>
    <w:rsid w:val="003D26F6"/>
    <w:rsid w:val="003D31B0"/>
    <w:rsid w:val="003D31DF"/>
    <w:rsid w:val="003D4285"/>
    <w:rsid w:val="003D4F43"/>
    <w:rsid w:val="003D57C6"/>
    <w:rsid w:val="003D68DA"/>
    <w:rsid w:val="003D6CB2"/>
    <w:rsid w:val="003D7ABD"/>
    <w:rsid w:val="003E013A"/>
    <w:rsid w:val="003E08AC"/>
    <w:rsid w:val="003E186F"/>
    <w:rsid w:val="003E1D89"/>
    <w:rsid w:val="003E22E3"/>
    <w:rsid w:val="003E295C"/>
    <w:rsid w:val="003E3C78"/>
    <w:rsid w:val="003E4000"/>
    <w:rsid w:val="003E45A8"/>
    <w:rsid w:val="003E52DA"/>
    <w:rsid w:val="003E5758"/>
    <w:rsid w:val="003E59D3"/>
    <w:rsid w:val="003E5B2E"/>
    <w:rsid w:val="003E5E65"/>
    <w:rsid w:val="003E6224"/>
    <w:rsid w:val="003E7191"/>
    <w:rsid w:val="003E7B94"/>
    <w:rsid w:val="003F04BF"/>
    <w:rsid w:val="003F06DD"/>
    <w:rsid w:val="003F12DA"/>
    <w:rsid w:val="003F1303"/>
    <w:rsid w:val="003F17E1"/>
    <w:rsid w:val="003F1D95"/>
    <w:rsid w:val="003F1DA2"/>
    <w:rsid w:val="003F2781"/>
    <w:rsid w:val="003F29D2"/>
    <w:rsid w:val="003F35F9"/>
    <w:rsid w:val="003F36D6"/>
    <w:rsid w:val="003F421F"/>
    <w:rsid w:val="003F43A7"/>
    <w:rsid w:val="003F4577"/>
    <w:rsid w:val="003F49E2"/>
    <w:rsid w:val="003F4D14"/>
    <w:rsid w:val="003F5DD4"/>
    <w:rsid w:val="003F5F67"/>
    <w:rsid w:val="003F6BCD"/>
    <w:rsid w:val="003F7EB3"/>
    <w:rsid w:val="004004E6"/>
    <w:rsid w:val="0040121A"/>
    <w:rsid w:val="00402C96"/>
    <w:rsid w:val="00402E01"/>
    <w:rsid w:val="0040381A"/>
    <w:rsid w:val="00403D5D"/>
    <w:rsid w:val="004050F9"/>
    <w:rsid w:val="004064DB"/>
    <w:rsid w:val="00406823"/>
    <w:rsid w:val="00406881"/>
    <w:rsid w:val="00406B27"/>
    <w:rsid w:val="00410008"/>
    <w:rsid w:val="004109F9"/>
    <w:rsid w:val="00410C69"/>
    <w:rsid w:val="00410EC9"/>
    <w:rsid w:val="004116E0"/>
    <w:rsid w:val="00412136"/>
    <w:rsid w:val="0041259C"/>
    <w:rsid w:val="00412674"/>
    <w:rsid w:val="0041314D"/>
    <w:rsid w:val="004133D3"/>
    <w:rsid w:val="004133F9"/>
    <w:rsid w:val="00413840"/>
    <w:rsid w:val="00415AC6"/>
    <w:rsid w:val="00415F4A"/>
    <w:rsid w:val="004161A5"/>
    <w:rsid w:val="004168B1"/>
    <w:rsid w:val="004169A2"/>
    <w:rsid w:val="00417B81"/>
    <w:rsid w:val="00417D2E"/>
    <w:rsid w:val="0042018D"/>
    <w:rsid w:val="00420269"/>
    <w:rsid w:val="00421A16"/>
    <w:rsid w:val="00421E60"/>
    <w:rsid w:val="00422205"/>
    <w:rsid w:val="0042287B"/>
    <w:rsid w:val="00422C4D"/>
    <w:rsid w:val="00422DA6"/>
    <w:rsid w:val="004233E0"/>
    <w:rsid w:val="00423C5A"/>
    <w:rsid w:val="00424494"/>
    <w:rsid w:val="004244B2"/>
    <w:rsid w:val="00424D10"/>
    <w:rsid w:val="004265A6"/>
    <w:rsid w:val="004266DE"/>
    <w:rsid w:val="00426882"/>
    <w:rsid w:val="004268DD"/>
    <w:rsid w:val="00427FFD"/>
    <w:rsid w:val="00430126"/>
    <w:rsid w:val="00430165"/>
    <w:rsid w:val="0043035A"/>
    <w:rsid w:val="00431715"/>
    <w:rsid w:val="00431A02"/>
    <w:rsid w:val="0043206A"/>
    <w:rsid w:val="00432327"/>
    <w:rsid w:val="004323A0"/>
    <w:rsid w:val="00432534"/>
    <w:rsid w:val="004327FC"/>
    <w:rsid w:val="004335CE"/>
    <w:rsid w:val="004349DC"/>
    <w:rsid w:val="00435381"/>
    <w:rsid w:val="004357CC"/>
    <w:rsid w:val="00435CBE"/>
    <w:rsid w:val="00435E48"/>
    <w:rsid w:val="00436BB8"/>
    <w:rsid w:val="00436F93"/>
    <w:rsid w:val="00437BC5"/>
    <w:rsid w:val="00437E62"/>
    <w:rsid w:val="0044020F"/>
    <w:rsid w:val="00440B6F"/>
    <w:rsid w:val="00440FED"/>
    <w:rsid w:val="00441990"/>
    <w:rsid w:val="004425FD"/>
    <w:rsid w:val="00442BC1"/>
    <w:rsid w:val="00442FE3"/>
    <w:rsid w:val="00443B24"/>
    <w:rsid w:val="00443EA8"/>
    <w:rsid w:val="00444266"/>
    <w:rsid w:val="00444349"/>
    <w:rsid w:val="004453B9"/>
    <w:rsid w:val="004453EA"/>
    <w:rsid w:val="0044576A"/>
    <w:rsid w:val="004458AE"/>
    <w:rsid w:val="00445BD6"/>
    <w:rsid w:val="00446C89"/>
    <w:rsid w:val="004474E9"/>
    <w:rsid w:val="0045011C"/>
    <w:rsid w:val="00450C1B"/>
    <w:rsid w:val="00451513"/>
    <w:rsid w:val="0045201B"/>
    <w:rsid w:val="004528DE"/>
    <w:rsid w:val="00452AB9"/>
    <w:rsid w:val="00452E70"/>
    <w:rsid w:val="00453254"/>
    <w:rsid w:val="004534E7"/>
    <w:rsid w:val="00453EA9"/>
    <w:rsid w:val="00454447"/>
    <w:rsid w:val="00454929"/>
    <w:rsid w:val="00454EED"/>
    <w:rsid w:val="004554A5"/>
    <w:rsid w:val="00455EC1"/>
    <w:rsid w:val="00456857"/>
    <w:rsid w:val="004571EE"/>
    <w:rsid w:val="004576BC"/>
    <w:rsid w:val="00457753"/>
    <w:rsid w:val="004602A6"/>
    <w:rsid w:val="00461DB3"/>
    <w:rsid w:val="0046215F"/>
    <w:rsid w:val="00462EF5"/>
    <w:rsid w:val="004632A3"/>
    <w:rsid w:val="00463414"/>
    <w:rsid w:val="00463919"/>
    <w:rsid w:val="00463E40"/>
    <w:rsid w:val="0046445D"/>
    <w:rsid w:val="004647DE"/>
    <w:rsid w:val="00464E30"/>
    <w:rsid w:val="004655CB"/>
    <w:rsid w:val="004657BA"/>
    <w:rsid w:val="00465FDE"/>
    <w:rsid w:val="00466161"/>
    <w:rsid w:val="004667C6"/>
    <w:rsid w:val="00466ABA"/>
    <w:rsid w:val="00466F3E"/>
    <w:rsid w:val="004674A0"/>
    <w:rsid w:val="00467A25"/>
    <w:rsid w:val="00467BD8"/>
    <w:rsid w:val="0047000D"/>
    <w:rsid w:val="00470AD3"/>
    <w:rsid w:val="00470DC0"/>
    <w:rsid w:val="00471437"/>
    <w:rsid w:val="00471B5C"/>
    <w:rsid w:val="0047295D"/>
    <w:rsid w:val="00472D85"/>
    <w:rsid w:val="00472FF2"/>
    <w:rsid w:val="004730F3"/>
    <w:rsid w:val="004735F9"/>
    <w:rsid w:val="00475596"/>
    <w:rsid w:val="00475925"/>
    <w:rsid w:val="00475B6C"/>
    <w:rsid w:val="00476565"/>
    <w:rsid w:val="00476D03"/>
    <w:rsid w:val="00477B9A"/>
    <w:rsid w:val="00477D88"/>
    <w:rsid w:val="00480C5B"/>
    <w:rsid w:val="00480E02"/>
    <w:rsid w:val="00481269"/>
    <w:rsid w:val="00482975"/>
    <w:rsid w:val="00482C18"/>
    <w:rsid w:val="00482CA4"/>
    <w:rsid w:val="004839D9"/>
    <w:rsid w:val="00483D57"/>
    <w:rsid w:val="00485DB0"/>
    <w:rsid w:val="00486A79"/>
    <w:rsid w:val="00487D13"/>
    <w:rsid w:val="00487E58"/>
    <w:rsid w:val="00487F88"/>
    <w:rsid w:val="00490081"/>
    <w:rsid w:val="004904DB"/>
    <w:rsid w:val="0049166E"/>
    <w:rsid w:val="004924BB"/>
    <w:rsid w:val="00492FF8"/>
    <w:rsid w:val="00493109"/>
    <w:rsid w:val="00493166"/>
    <w:rsid w:val="00494439"/>
    <w:rsid w:val="00496517"/>
    <w:rsid w:val="0049661C"/>
    <w:rsid w:val="004A01C4"/>
    <w:rsid w:val="004A0808"/>
    <w:rsid w:val="004A0D72"/>
    <w:rsid w:val="004A0F8B"/>
    <w:rsid w:val="004A1E0A"/>
    <w:rsid w:val="004A27D0"/>
    <w:rsid w:val="004A31B5"/>
    <w:rsid w:val="004A34C8"/>
    <w:rsid w:val="004A3793"/>
    <w:rsid w:val="004A43AD"/>
    <w:rsid w:val="004A501C"/>
    <w:rsid w:val="004A61E0"/>
    <w:rsid w:val="004A6D42"/>
    <w:rsid w:val="004A7572"/>
    <w:rsid w:val="004B178A"/>
    <w:rsid w:val="004B1884"/>
    <w:rsid w:val="004B1FD0"/>
    <w:rsid w:val="004B2680"/>
    <w:rsid w:val="004B2C25"/>
    <w:rsid w:val="004B339C"/>
    <w:rsid w:val="004B3D19"/>
    <w:rsid w:val="004B5084"/>
    <w:rsid w:val="004B61D1"/>
    <w:rsid w:val="004B6AFF"/>
    <w:rsid w:val="004B6B12"/>
    <w:rsid w:val="004B7373"/>
    <w:rsid w:val="004C020C"/>
    <w:rsid w:val="004C075F"/>
    <w:rsid w:val="004C0E12"/>
    <w:rsid w:val="004C1571"/>
    <w:rsid w:val="004C1A51"/>
    <w:rsid w:val="004C1AC9"/>
    <w:rsid w:val="004C1DF5"/>
    <w:rsid w:val="004C1EA1"/>
    <w:rsid w:val="004C1F8A"/>
    <w:rsid w:val="004C1FCB"/>
    <w:rsid w:val="004C20FE"/>
    <w:rsid w:val="004C2373"/>
    <w:rsid w:val="004C237F"/>
    <w:rsid w:val="004C2849"/>
    <w:rsid w:val="004C3B9D"/>
    <w:rsid w:val="004C43E4"/>
    <w:rsid w:val="004C43FD"/>
    <w:rsid w:val="004C4970"/>
    <w:rsid w:val="004C4A19"/>
    <w:rsid w:val="004C4EEE"/>
    <w:rsid w:val="004C537D"/>
    <w:rsid w:val="004C5BF3"/>
    <w:rsid w:val="004C5C9E"/>
    <w:rsid w:val="004C64BF"/>
    <w:rsid w:val="004C741D"/>
    <w:rsid w:val="004C7DB3"/>
    <w:rsid w:val="004D00E3"/>
    <w:rsid w:val="004D0867"/>
    <w:rsid w:val="004D0984"/>
    <w:rsid w:val="004D0A6D"/>
    <w:rsid w:val="004D0C15"/>
    <w:rsid w:val="004D106F"/>
    <w:rsid w:val="004D119D"/>
    <w:rsid w:val="004D1E4A"/>
    <w:rsid w:val="004D1F34"/>
    <w:rsid w:val="004D21F4"/>
    <w:rsid w:val="004D3732"/>
    <w:rsid w:val="004D3F6E"/>
    <w:rsid w:val="004D4AF8"/>
    <w:rsid w:val="004D549F"/>
    <w:rsid w:val="004D6307"/>
    <w:rsid w:val="004D6F18"/>
    <w:rsid w:val="004D75B2"/>
    <w:rsid w:val="004E0172"/>
    <w:rsid w:val="004E0325"/>
    <w:rsid w:val="004E058E"/>
    <w:rsid w:val="004E1E83"/>
    <w:rsid w:val="004E23D4"/>
    <w:rsid w:val="004E271D"/>
    <w:rsid w:val="004E3197"/>
    <w:rsid w:val="004E31BC"/>
    <w:rsid w:val="004E3842"/>
    <w:rsid w:val="004E3A8A"/>
    <w:rsid w:val="004E3FAA"/>
    <w:rsid w:val="004E4933"/>
    <w:rsid w:val="004E4F0D"/>
    <w:rsid w:val="004E723D"/>
    <w:rsid w:val="004E77AC"/>
    <w:rsid w:val="004E7CA4"/>
    <w:rsid w:val="004F078D"/>
    <w:rsid w:val="004F1654"/>
    <w:rsid w:val="004F1F41"/>
    <w:rsid w:val="004F200A"/>
    <w:rsid w:val="004F2544"/>
    <w:rsid w:val="004F29AE"/>
    <w:rsid w:val="004F2ADB"/>
    <w:rsid w:val="004F34FA"/>
    <w:rsid w:val="004F3ED0"/>
    <w:rsid w:val="004F40CC"/>
    <w:rsid w:val="004F43C3"/>
    <w:rsid w:val="004F45A0"/>
    <w:rsid w:val="004F4A75"/>
    <w:rsid w:val="004F568D"/>
    <w:rsid w:val="004F5F06"/>
    <w:rsid w:val="004F6C6A"/>
    <w:rsid w:val="004F70D7"/>
    <w:rsid w:val="004F7D76"/>
    <w:rsid w:val="004F7E71"/>
    <w:rsid w:val="005010F0"/>
    <w:rsid w:val="005019EF"/>
    <w:rsid w:val="00502EEB"/>
    <w:rsid w:val="00503BFC"/>
    <w:rsid w:val="00504238"/>
    <w:rsid w:val="0050452D"/>
    <w:rsid w:val="00504BB6"/>
    <w:rsid w:val="00505F3C"/>
    <w:rsid w:val="00506011"/>
    <w:rsid w:val="00506832"/>
    <w:rsid w:val="00507370"/>
    <w:rsid w:val="005077E1"/>
    <w:rsid w:val="00507A9A"/>
    <w:rsid w:val="005100DD"/>
    <w:rsid w:val="00510303"/>
    <w:rsid w:val="00510D70"/>
    <w:rsid w:val="00511429"/>
    <w:rsid w:val="0051161A"/>
    <w:rsid w:val="00512102"/>
    <w:rsid w:val="00512502"/>
    <w:rsid w:val="00512E24"/>
    <w:rsid w:val="00513072"/>
    <w:rsid w:val="00513E33"/>
    <w:rsid w:val="0051501B"/>
    <w:rsid w:val="005151C2"/>
    <w:rsid w:val="005151D4"/>
    <w:rsid w:val="005153E5"/>
    <w:rsid w:val="00515474"/>
    <w:rsid w:val="005168CA"/>
    <w:rsid w:val="00516975"/>
    <w:rsid w:val="00516F27"/>
    <w:rsid w:val="005172A2"/>
    <w:rsid w:val="00521C84"/>
    <w:rsid w:val="00522054"/>
    <w:rsid w:val="005227E1"/>
    <w:rsid w:val="005228FF"/>
    <w:rsid w:val="00522CB0"/>
    <w:rsid w:val="005230A1"/>
    <w:rsid w:val="00523BCB"/>
    <w:rsid w:val="0052523C"/>
    <w:rsid w:val="00525803"/>
    <w:rsid w:val="00525A26"/>
    <w:rsid w:val="0052770F"/>
    <w:rsid w:val="00530FD2"/>
    <w:rsid w:val="0053216E"/>
    <w:rsid w:val="00532369"/>
    <w:rsid w:val="005331EA"/>
    <w:rsid w:val="00534228"/>
    <w:rsid w:val="00534E94"/>
    <w:rsid w:val="0053569D"/>
    <w:rsid w:val="00536329"/>
    <w:rsid w:val="00540537"/>
    <w:rsid w:val="00540729"/>
    <w:rsid w:val="00540A93"/>
    <w:rsid w:val="00540D9D"/>
    <w:rsid w:val="00541FE4"/>
    <w:rsid w:val="00542584"/>
    <w:rsid w:val="00542F1F"/>
    <w:rsid w:val="005445A8"/>
    <w:rsid w:val="00544638"/>
    <w:rsid w:val="005450C2"/>
    <w:rsid w:val="005462D2"/>
    <w:rsid w:val="005468F5"/>
    <w:rsid w:val="005469F0"/>
    <w:rsid w:val="005472BF"/>
    <w:rsid w:val="0055033C"/>
    <w:rsid w:val="005508CF"/>
    <w:rsid w:val="0055199F"/>
    <w:rsid w:val="00551AA9"/>
    <w:rsid w:val="00551F26"/>
    <w:rsid w:val="00551F71"/>
    <w:rsid w:val="00551FC2"/>
    <w:rsid w:val="0055275D"/>
    <w:rsid w:val="00552BB3"/>
    <w:rsid w:val="005540FA"/>
    <w:rsid w:val="00554566"/>
    <w:rsid w:val="00554696"/>
    <w:rsid w:val="00555276"/>
    <w:rsid w:val="005555B5"/>
    <w:rsid w:val="0055573E"/>
    <w:rsid w:val="00556A23"/>
    <w:rsid w:val="00556F5B"/>
    <w:rsid w:val="005600B8"/>
    <w:rsid w:val="00560249"/>
    <w:rsid w:val="0056030D"/>
    <w:rsid w:val="00561010"/>
    <w:rsid w:val="005611E8"/>
    <w:rsid w:val="0056130D"/>
    <w:rsid w:val="00561377"/>
    <w:rsid w:val="00561F29"/>
    <w:rsid w:val="0056242F"/>
    <w:rsid w:val="0056262C"/>
    <w:rsid w:val="00563645"/>
    <w:rsid w:val="00564947"/>
    <w:rsid w:val="00564C5F"/>
    <w:rsid w:val="00564CC7"/>
    <w:rsid w:val="00564D12"/>
    <w:rsid w:val="00564DFF"/>
    <w:rsid w:val="005663EE"/>
    <w:rsid w:val="00566C04"/>
    <w:rsid w:val="00566F6F"/>
    <w:rsid w:val="00567002"/>
    <w:rsid w:val="005672E5"/>
    <w:rsid w:val="005676BA"/>
    <w:rsid w:val="00567701"/>
    <w:rsid w:val="00567F6B"/>
    <w:rsid w:val="00570034"/>
    <w:rsid w:val="005705DA"/>
    <w:rsid w:val="00571237"/>
    <w:rsid w:val="005713A7"/>
    <w:rsid w:val="00571A7D"/>
    <w:rsid w:val="005721AC"/>
    <w:rsid w:val="00573207"/>
    <w:rsid w:val="005744C5"/>
    <w:rsid w:val="005745C1"/>
    <w:rsid w:val="00574655"/>
    <w:rsid w:val="00574D7A"/>
    <w:rsid w:val="005753E5"/>
    <w:rsid w:val="005758F4"/>
    <w:rsid w:val="005759CA"/>
    <w:rsid w:val="005760EA"/>
    <w:rsid w:val="00576E99"/>
    <w:rsid w:val="00577FBA"/>
    <w:rsid w:val="005805E6"/>
    <w:rsid w:val="005812DC"/>
    <w:rsid w:val="00581B61"/>
    <w:rsid w:val="0058255A"/>
    <w:rsid w:val="00582C4F"/>
    <w:rsid w:val="00583C8F"/>
    <w:rsid w:val="00584845"/>
    <w:rsid w:val="005848CC"/>
    <w:rsid w:val="00585171"/>
    <w:rsid w:val="00585710"/>
    <w:rsid w:val="005857BD"/>
    <w:rsid w:val="00585C62"/>
    <w:rsid w:val="0058614A"/>
    <w:rsid w:val="00586F45"/>
    <w:rsid w:val="005876E6"/>
    <w:rsid w:val="00590CEC"/>
    <w:rsid w:val="005921B8"/>
    <w:rsid w:val="00592B80"/>
    <w:rsid w:val="005931DE"/>
    <w:rsid w:val="00593645"/>
    <w:rsid w:val="0059372C"/>
    <w:rsid w:val="00593C4B"/>
    <w:rsid w:val="00595255"/>
    <w:rsid w:val="0059614C"/>
    <w:rsid w:val="00596152"/>
    <w:rsid w:val="005970DB"/>
    <w:rsid w:val="005A1084"/>
    <w:rsid w:val="005A1FB4"/>
    <w:rsid w:val="005A25A5"/>
    <w:rsid w:val="005A3448"/>
    <w:rsid w:val="005A389F"/>
    <w:rsid w:val="005A3B97"/>
    <w:rsid w:val="005A3DFE"/>
    <w:rsid w:val="005A49FB"/>
    <w:rsid w:val="005A552D"/>
    <w:rsid w:val="005A63F3"/>
    <w:rsid w:val="005A6A16"/>
    <w:rsid w:val="005A6DA9"/>
    <w:rsid w:val="005A6F3A"/>
    <w:rsid w:val="005B0EB5"/>
    <w:rsid w:val="005B1427"/>
    <w:rsid w:val="005B1D97"/>
    <w:rsid w:val="005B2374"/>
    <w:rsid w:val="005B4C5E"/>
    <w:rsid w:val="005B5658"/>
    <w:rsid w:val="005B679A"/>
    <w:rsid w:val="005C077A"/>
    <w:rsid w:val="005C0B61"/>
    <w:rsid w:val="005C0DFB"/>
    <w:rsid w:val="005C1237"/>
    <w:rsid w:val="005C20A6"/>
    <w:rsid w:val="005C29A4"/>
    <w:rsid w:val="005C34D3"/>
    <w:rsid w:val="005C3B50"/>
    <w:rsid w:val="005C524B"/>
    <w:rsid w:val="005C5261"/>
    <w:rsid w:val="005C681B"/>
    <w:rsid w:val="005C6C1F"/>
    <w:rsid w:val="005CB7A8"/>
    <w:rsid w:val="005D018C"/>
    <w:rsid w:val="005D068F"/>
    <w:rsid w:val="005D0EA0"/>
    <w:rsid w:val="005D0F67"/>
    <w:rsid w:val="005D20C8"/>
    <w:rsid w:val="005D213E"/>
    <w:rsid w:val="005D26B8"/>
    <w:rsid w:val="005D2AA9"/>
    <w:rsid w:val="005D3549"/>
    <w:rsid w:val="005D36AF"/>
    <w:rsid w:val="005D3B2B"/>
    <w:rsid w:val="005D3CBE"/>
    <w:rsid w:val="005D4BE0"/>
    <w:rsid w:val="005D5199"/>
    <w:rsid w:val="005D55CA"/>
    <w:rsid w:val="005D59E9"/>
    <w:rsid w:val="005D6580"/>
    <w:rsid w:val="005D6A28"/>
    <w:rsid w:val="005D6BD7"/>
    <w:rsid w:val="005D6EAA"/>
    <w:rsid w:val="005E0422"/>
    <w:rsid w:val="005E0A3E"/>
    <w:rsid w:val="005E13E0"/>
    <w:rsid w:val="005E1A3A"/>
    <w:rsid w:val="005E1DB9"/>
    <w:rsid w:val="005E2DCC"/>
    <w:rsid w:val="005E31FE"/>
    <w:rsid w:val="005E3469"/>
    <w:rsid w:val="005E43C1"/>
    <w:rsid w:val="005E44B5"/>
    <w:rsid w:val="005E55CD"/>
    <w:rsid w:val="005E63E0"/>
    <w:rsid w:val="005E701E"/>
    <w:rsid w:val="005E791A"/>
    <w:rsid w:val="005F0452"/>
    <w:rsid w:val="005F0620"/>
    <w:rsid w:val="005F0690"/>
    <w:rsid w:val="005F1597"/>
    <w:rsid w:val="005F161B"/>
    <w:rsid w:val="005F1DFC"/>
    <w:rsid w:val="005F4092"/>
    <w:rsid w:val="005F4120"/>
    <w:rsid w:val="005F4180"/>
    <w:rsid w:val="005F42FF"/>
    <w:rsid w:val="005F4F4E"/>
    <w:rsid w:val="005F6293"/>
    <w:rsid w:val="005F6624"/>
    <w:rsid w:val="005F6C5C"/>
    <w:rsid w:val="0060008C"/>
    <w:rsid w:val="00600256"/>
    <w:rsid w:val="0060075F"/>
    <w:rsid w:val="00600ECF"/>
    <w:rsid w:val="006011F1"/>
    <w:rsid w:val="006013D3"/>
    <w:rsid w:val="00602D45"/>
    <w:rsid w:val="00603AC6"/>
    <w:rsid w:val="00604556"/>
    <w:rsid w:val="0060500B"/>
    <w:rsid w:val="00606C0B"/>
    <w:rsid w:val="006076A9"/>
    <w:rsid w:val="00607E6E"/>
    <w:rsid w:val="006102B1"/>
    <w:rsid w:val="00611CD7"/>
    <w:rsid w:val="006129FF"/>
    <w:rsid w:val="00613866"/>
    <w:rsid w:val="00615604"/>
    <w:rsid w:val="00615B6A"/>
    <w:rsid w:val="00615FAA"/>
    <w:rsid w:val="0061739A"/>
    <w:rsid w:val="006175A7"/>
    <w:rsid w:val="006178EA"/>
    <w:rsid w:val="00617A9F"/>
    <w:rsid w:val="00617E9E"/>
    <w:rsid w:val="0062022C"/>
    <w:rsid w:val="006204EE"/>
    <w:rsid w:val="0062116A"/>
    <w:rsid w:val="006225D3"/>
    <w:rsid w:val="00622A59"/>
    <w:rsid w:val="00624575"/>
    <w:rsid w:val="00625037"/>
    <w:rsid w:val="006251D3"/>
    <w:rsid w:val="00625411"/>
    <w:rsid w:val="00625A9F"/>
    <w:rsid w:val="00625F21"/>
    <w:rsid w:val="0062600F"/>
    <w:rsid w:val="00626414"/>
    <w:rsid w:val="0062688D"/>
    <w:rsid w:val="00626A37"/>
    <w:rsid w:val="00627E4E"/>
    <w:rsid w:val="00627F2F"/>
    <w:rsid w:val="0063049D"/>
    <w:rsid w:val="006311B9"/>
    <w:rsid w:val="00632084"/>
    <w:rsid w:val="00632288"/>
    <w:rsid w:val="0063281A"/>
    <w:rsid w:val="006354FA"/>
    <w:rsid w:val="00635AFC"/>
    <w:rsid w:val="00635B6A"/>
    <w:rsid w:val="006368BC"/>
    <w:rsid w:val="00636C12"/>
    <w:rsid w:val="00636C19"/>
    <w:rsid w:val="00637AF9"/>
    <w:rsid w:val="00637C1A"/>
    <w:rsid w:val="006402AA"/>
    <w:rsid w:val="0064034E"/>
    <w:rsid w:val="00640631"/>
    <w:rsid w:val="00640A2C"/>
    <w:rsid w:val="00640EF5"/>
    <w:rsid w:val="00641541"/>
    <w:rsid w:val="00641F34"/>
    <w:rsid w:val="006428DD"/>
    <w:rsid w:val="00642E9F"/>
    <w:rsid w:val="00644AC4"/>
    <w:rsid w:val="006452CF"/>
    <w:rsid w:val="00645856"/>
    <w:rsid w:val="00646096"/>
    <w:rsid w:val="00646B20"/>
    <w:rsid w:val="006507F7"/>
    <w:rsid w:val="0065097A"/>
    <w:rsid w:val="00651442"/>
    <w:rsid w:val="00651737"/>
    <w:rsid w:val="00652C8C"/>
    <w:rsid w:val="00653254"/>
    <w:rsid w:val="0065338F"/>
    <w:rsid w:val="00653685"/>
    <w:rsid w:val="00653AE5"/>
    <w:rsid w:val="00653DEB"/>
    <w:rsid w:val="00654B31"/>
    <w:rsid w:val="00654C24"/>
    <w:rsid w:val="0065529B"/>
    <w:rsid w:val="00655836"/>
    <w:rsid w:val="00655A09"/>
    <w:rsid w:val="00656525"/>
    <w:rsid w:val="0065653B"/>
    <w:rsid w:val="0065668D"/>
    <w:rsid w:val="00656A35"/>
    <w:rsid w:val="00657006"/>
    <w:rsid w:val="00657393"/>
    <w:rsid w:val="006574FB"/>
    <w:rsid w:val="0065755D"/>
    <w:rsid w:val="006578E1"/>
    <w:rsid w:val="00657E3A"/>
    <w:rsid w:val="00661153"/>
    <w:rsid w:val="00661333"/>
    <w:rsid w:val="0066196A"/>
    <w:rsid w:val="006622F7"/>
    <w:rsid w:val="00662372"/>
    <w:rsid w:val="006638F7"/>
    <w:rsid w:val="0066397F"/>
    <w:rsid w:val="00663B65"/>
    <w:rsid w:val="00663D33"/>
    <w:rsid w:val="00664459"/>
    <w:rsid w:val="006655C2"/>
    <w:rsid w:val="00665A3C"/>
    <w:rsid w:val="00665C60"/>
    <w:rsid w:val="0066626C"/>
    <w:rsid w:val="00666813"/>
    <w:rsid w:val="00666C6C"/>
    <w:rsid w:val="00666FD7"/>
    <w:rsid w:val="00667744"/>
    <w:rsid w:val="00670D0A"/>
    <w:rsid w:val="00671000"/>
    <w:rsid w:val="006711B6"/>
    <w:rsid w:val="006711D6"/>
    <w:rsid w:val="00671437"/>
    <w:rsid w:val="00671752"/>
    <w:rsid w:val="00671C90"/>
    <w:rsid w:val="00672921"/>
    <w:rsid w:val="006731B3"/>
    <w:rsid w:val="0067393D"/>
    <w:rsid w:val="00673D3E"/>
    <w:rsid w:val="00673EAD"/>
    <w:rsid w:val="00673F6C"/>
    <w:rsid w:val="00674769"/>
    <w:rsid w:val="00675232"/>
    <w:rsid w:val="006755EE"/>
    <w:rsid w:val="00675BC2"/>
    <w:rsid w:val="00676944"/>
    <w:rsid w:val="006776F6"/>
    <w:rsid w:val="0068023D"/>
    <w:rsid w:val="00680491"/>
    <w:rsid w:val="00680562"/>
    <w:rsid w:val="00681059"/>
    <w:rsid w:val="006811CA"/>
    <w:rsid w:val="0068165A"/>
    <w:rsid w:val="00681830"/>
    <w:rsid w:val="00681DE2"/>
    <w:rsid w:val="00683448"/>
    <w:rsid w:val="0068384A"/>
    <w:rsid w:val="006839C0"/>
    <w:rsid w:val="00685E15"/>
    <w:rsid w:val="00686459"/>
    <w:rsid w:val="0068758B"/>
    <w:rsid w:val="00687B10"/>
    <w:rsid w:val="00687F0B"/>
    <w:rsid w:val="00687F38"/>
    <w:rsid w:val="0069001F"/>
    <w:rsid w:val="0069019F"/>
    <w:rsid w:val="00690270"/>
    <w:rsid w:val="00690726"/>
    <w:rsid w:val="006908C9"/>
    <w:rsid w:val="00690B1B"/>
    <w:rsid w:val="00690FDB"/>
    <w:rsid w:val="006912BB"/>
    <w:rsid w:val="00691A3F"/>
    <w:rsid w:val="00691B02"/>
    <w:rsid w:val="006921B1"/>
    <w:rsid w:val="00692DAA"/>
    <w:rsid w:val="00694855"/>
    <w:rsid w:val="00694DDB"/>
    <w:rsid w:val="0069517E"/>
    <w:rsid w:val="00696E7B"/>
    <w:rsid w:val="006A01A2"/>
    <w:rsid w:val="006A0B36"/>
    <w:rsid w:val="006A1483"/>
    <w:rsid w:val="006A204B"/>
    <w:rsid w:val="006A2667"/>
    <w:rsid w:val="006A2EF0"/>
    <w:rsid w:val="006A3528"/>
    <w:rsid w:val="006A373A"/>
    <w:rsid w:val="006A3777"/>
    <w:rsid w:val="006A40A8"/>
    <w:rsid w:val="006A5425"/>
    <w:rsid w:val="006A542E"/>
    <w:rsid w:val="006A56B0"/>
    <w:rsid w:val="006A5905"/>
    <w:rsid w:val="006A5976"/>
    <w:rsid w:val="006A5F0C"/>
    <w:rsid w:val="006A6FD3"/>
    <w:rsid w:val="006A7884"/>
    <w:rsid w:val="006B0DBC"/>
    <w:rsid w:val="006B1078"/>
    <w:rsid w:val="006B110E"/>
    <w:rsid w:val="006B1B90"/>
    <w:rsid w:val="006B1F68"/>
    <w:rsid w:val="006B2A9F"/>
    <w:rsid w:val="006B2FD2"/>
    <w:rsid w:val="006B3C95"/>
    <w:rsid w:val="006B467D"/>
    <w:rsid w:val="006B49C5"/>
    <w:rsid w:val="006B4F59"/>
    <w:rsid w:val="006B4FC9"/>
    <w:rsid w:val="006B5864"/>
    <w:rsid w:val="006B684D"/>
    <w:rsid w:val="006B68EE"/>
    <w:rsid w:val="006B6CAB"/>
    <w:rsid w:val="006B701C"/>
    <w:rsid w:val="006B7C5D"/>
    <w:rsid w:val="006BEAF7"/>
    <w:rsid w:val="006C0B5E"/>
    <w:rsid w:val="006C0F20"/>
    <w:rsid w:val="006C1A69"/>
    <w:rsid w:val="006C1E38"/>
    <w:rsid w:val="006C2286"/>
    <w:rsid w:val="006C32B6"/>
    <w:rsid w:val="006C3852"/>
    <w:rsid w:val="006C3C2E"/>
    <w:rsid w:val="006C475D"/>
    <w:rsid w:val="006C4844"/>
    <w:rsid w:val="006C4B97"/>
    <w:rsid w:val="006C4EA3"/>
    <w:rsid w:val="006C50ED"/>
    <w:rsid w:val="006C5D53"/>
    <w:rsid w:val="006C66D0"/>
    <w:rsid w:val="006C69A2"/>
    <w:rsid w:val="006C69BE"/>
    <w:rsid w:val="006D0682"/>
    <w:rsid w:val="006D0A61"/>
    <w:rsid w:val="006D0CCC"/>
    <w:rsid w:val="006D1DCF"/>
    <w:rsid w:val="006D22BE"/>
    <w:rsid w:val="006D34F0"/>
    <w:rsid w:val="006D3690"/>
    <w:rsid w:val="006D383F"/>
    <w:rsid w:val="006D399D"/>
    <w:rsid w:val="006D4524"/>
    <w:rsid w:val="006D458D"/>
    <w:rsid w:val="006D504C"/>
    <w:rsid w:val="006D58F5"/>
    <w:rsid w:val="006D681F"/>
    <w:rsid w:val="006D6A0D"/>
    <w:rsid w:val="006D6A8E"/>
    <w:rsid w:val="006D6D16"/>
    <w:rsid w:val="006D6DDA"/>
    <w:rsid w:val="006D7832"/>
    <w:rsid w:val="006E0EF3"/>
    <w:rsid w:val="006E19ED"/>
    <w:rsid w:val="006E1A1C"/>
    <w:rsid w:val="006E1E8F"/>
    <w:rsid w:val="006E1EE3"/>
    <w:rsid w:val="006E2716"/>
    <w:rsid w:val="006E3DFD"/>
    <w:rsid w:val="006E3F60"/>
    <w:rsid w:val="006E4F4C"/>
    <w:rsid w:val="006E4F4F"/>
    <w:rsid w:val="006E4FDF"/>
    <w:rsid w:val="006E5554"/>
    <w:rsid w:val="006E626B"/>
    <w:rsid w:val="006E6823"/>
    <w:rsid w:val="006E68A1"/>
    <w:rsid w:val="006E6DA3"/>
    <w:rsid w:val="006E6ED5"/>
    <w:rsid w:val="006E70C9"/>
    <w:rsid w:val="006E7F6F"/>
    <w:rsid w:val="006F0205"/>
    <w:rsid w:val="006F0571"/>
    <w:rsid w:val="006F1522"/>
    <w:rsid w:val="006F1531"/>
    <w:rsid w:val="006F2675"/>
    <w:rsid w:val="006F3386"/>
    <w:rsid w:val="006F39A5"/>
    <w:rsid w:val="006F4195"/>
    <w:rsid w:val="006F4ED7"/>
    <w:rsid w:val="006F5386"/>
    <w:rsid w:val="006F5730"/>
    <w:rsid w:val="006F6077"/>
    <w:rsid w:val="006F677F"/>
    <w:rsid w:val="006F70F3"/>
    <w:rsid w:val="006F7A6B"/>
    <w:rsid w:val="00700D58"/>
    <w:rsid w:val="00701800"/>
    <w:rsid w:val="00701AF6"/>
    <w:rsid w:val="00701BCB"/>
    <w:rsid w:val="00701F0D"/>
    <w:rsid w:val="00703241"/>
    <w:rsid w:val="00704150"/>
    <w:rsid w:val="00704257"/>
    <w:rsid w:val="0070457E"/>
    <w:rsid w:val="00704FD3"/>
    <w:rsid w:val="00704FEF"/>
    <w:rsid w:val="0070528D"/>
    <w:rsid w:val="00705D40"/>
    <w:rsid w:val="007063C6"/>
    <w:rsid w:val="00706BBA"/>
    <w:rsid w:val="00707173"/>
    <w:rsid w:val="007074C6"/>
    <w:rsid w:val="007079D9"/>
    <w:rsid w:val="00707F38"/>
    <w:rsid w:val="00707F46"/>
    <w:rsid w:val="00710787"/>
    <w:rsid w:val="00710E6C"/>
    <w:rsid w:val="007116C7"/>
    <w:rsid w:val="00711D9A"/>
    <w:rsid w:val="00712B6D"/>
    <w:rsid w:val="00714101"/>
    <w:rsid w:val="00714253"/>
    <w:rsid w:val="00714C01"/>
    <w:rsid w:val="00714D29"/>
    <w:rsid w:val="00715F27"/>
    <w:rsid w:val="00716249"/>
    <w:rsid w:val="0071652B"/>
    <w:rsid w:val="00717E40"/>
    <w:rsid w:val="00720B03"/>
    <w:rsid w:val="00721203"/>
    <w:rsid w:val="0072171A"/>
    <w:rsid w:val="00722AC1"/>
    <w:rsid w:val="00722EBE"/>
    <w:rsid w:val="00723101"/>
    <w:rsid w:val="007232F0"/>
    <w:rsid w:val="00724803"/>
    <w:rsid w:val="007249F7"/>
    <w:rsid w:val="00724ED1"/>
    <w:rsid w:val="00725563"/>
    <w:rsid w:val="00725F1A"/>
    <w:rsid w:val="00726A6E"/>
    <w:rsid w:val="00726A85"/>
    <w:rsid w:val="00727C87"/>
    <w:rsid w:val="00727CE8"/>
    <w:rsid w:val="00727E8F"/>
    <w:rsid w:val="007304E0"/>
    <w:rsid w:val="00731BE6"/>
    <w:rsid w:val="00733541"/>
    <w:rsid w:val="0073355E"/>
    <w:rsid w:val="00734500"/>
    <w:rsid w:val="00734691"/>
    <w:rsid w:val="00735330"/>
    <w:rsid w:val="007376DD"/>
    <w:rsid w:val="00737803"/>
    <w:rsid w:val="00737A77"/>
    <w:rsid w:val="00740BAC"/>
    <w:rsid w:val="00741208"/>
    <w:rsid w:val="00741777"/>
    <w:rsid w:val="00741878"/>
    <w:rsid w:val="00741DAE"/>
    <w:rsid w:val="0074273E"/>
    <w:rsid w:val="00742965"/>
    <w:rsid w:val="007450ED"/>
    <w:rsid w:val="00745C2B"/>
    <w:rsid w:val="00745E7C"/>
    <w:rsid w:val="007477B1"/>
    <w:rsid w:val="00747F87"/>
    <w:rsid w:val="007501A1"/>
    <w:rsid w:val="007506D6"/>
    <w:rsid w:val="007519F7"/>
    <w:rsid w:val="00751BD3"/>
    <w:rsid w:val="007543E3"/>
    <w:rsid w:val="0075456B"/>
    <w:rsid w:val="007546A4"/>
    <w:rsid w:val="00755756"/>
    <w:rsid w:val="00755ED6"/>
    <w:rsid w:val="00756125"/>
    <w:rsid w:val="00756DAF"/>
    <w:rsid w:val="00757308"/>
    <w:rsid w:val="00760456"/>
    <w:rsid w:val="007616D4"/>
    <w:rsid w:val="0076195A"/>
    <w:rsid w:val="007620E3"/>
    <w:rsid w:val="007626DC"/>
    <w:rsid w:val="00762E31"/>
    <w:rsid w:val="00763B11"/>
    <w:rsid w:val="00764615"/>
    <w:rsid w:val="00764FFA"/>
    <w:rsid w:val="0076545A"/>
    <w:rsid w:val="007655BE"/>
    <w:rsid w:val="00765EF5"/>
    <w:rsid w:val="007665E7"/>
    <w:rsid w:val="00766A4F"/>
    <w:rsid w:val="00766FFA"/>
    <w:rsid w:val="00767751"/>
    <w:rsid w:val="00767A9E"/>
    <w:rsid w:val="00767D4F"/>
    <w:rsid w:val="00770B12"/>
    <w:rsid w:val="00771E18"/>
    <w:rsid w:val="00773640"/>
    <w:rsid w:val="00773BA1"/>
    <w:rsid w:val="00773D1B"/>
    <w:rsid w:val="007741B6"/>
    <w:rsid w:val="007752DF"/>
    <w:rsid w:val="0077554C"/>
    <w:rsid w:val="00776196"/>
    <w:rsid w:val="00777036"/>
    <w:rsid w:val="00777351"/>
    <w:rsid w:val="00777473"/>
    <w:rsid w:val="00777F4B"/>
    <w:rsid w:val="00781BCD"/>
    <w:rsid w:val="00782573"/>
    <w:rsid w:val="00782A10"/>
    <w:rsid w:val="007839C0"/>
    <w:rsid w:val="00783D75"/>
    <w:rsid w:val="00784644"/>
    <w:rsid w:val="00784A2D"/>
    <w:rsid w:val="00784AEE"/>
    <w:rsid w:val="00784B11"/>
    <w:rsid w:val="007855B7"/>
    <w:rsid w:val="007858C8"/>
    <w:rsid w:val="007879C2"/>
    <w:rsid w:val="0079075F"/>
    <w:rsid w:val="007915D0"/>
    <w:rsid w:val="00791FC6"/>
    <w:rsid w:val="00792076"/>
    <w:rsid w:val="007924EE"/>
    <w:rsid w:val="00792BFE"/>
    <w:rsid w:val="0079300C"/>
    <w:rsid w:val="007950B9"/>
    <w:rsid w:val="0079531E"/>
    <w:rsid w:val="0079557C"/>
    <w:rsid w:val="0079568A"/>
    <w:rsid w:val="00795ABA"/>
    <w:rsid w:val="00796A2B"/>
    <w:rsid w:val="00796F86"/>
    <w:rsid w:val="00797031"/>
    <w:rsid w:val="007A03B0"/>
    <w:rsid w:val="007A08F4"/>
    <w:rsid w:val="007A19A8"/>
    <w:rsid w:val="007A1B36"/>
    <w:rsid w:val="007A42ED"/>
    <w:rsid w:val="007A4358"/>
    <w:rsid w:val="007A4AE9"/>
    <w:rsid w:val="007A4E2D"/>
    <w:rsid w:val="007A6BA5"/>
    <w:rsid w:val="007B04C3"/>
    <w:rsid w:val="007B0647"/>
    <w:rsid w:val="007B2260"/>
    <w:rsid w:val="007B2889"/>
    <w:rsid w:val="007B2A09"/>
    <w:rsid w:val="007B3000"/>
    <w:rsid w:val="007B34F0"/>
    <w:rsid w:val="007B3802"/>
    <w:rsid w:val="007B43E6"/>
    <w:rsid w:val="007B581E"/>
    <w:rsid w:val="007B5C14"/>
    <w:rsid w:val="007B5ECA"/>
    <w:rsid w:val="007B5F61"/>
    <w:rsid w:val="007B6895"/>
    <w:rsid w:val="007C032A"/>
    <w:rsid w:val="007C06C7"/>
    <w:rsid w:val="007C3E3E"/>
    <w:rsid w:val="007C3ED8"/>
    <w:rsid w:val="007C3F4D"/>
    <w:rsid w:val="007C4A23"/>
    <w:rsid w:val="007C4E05"/>
    <w:rsid w:val="007C4E84"/>
    <w:rsid w:val="007C5656"/>
    <w:rsid w:val="007C5D7F"/>
    <w:rsid w:val="007C5DC8"/>
    <w:rsid w:val="007C62FD"/>
    <w:rsid w:val="007C6EAE"/>
    <w:rsid w:val="007C6FD8"/>
    <w:rsid w:val="007C7435"/>
    <w:rsid w:val="007C7B75"/>
    <w:rsid w:val="007D1E79"/>
    <w:rsid w:val="007D2AC7"/>
    <w:rsid w:val="007D2B82"/>
    <w:rsid w:val="007D2F84"/>
    <w:rsid w:val="007D36DC"/>
    <w:rsid w:val="007D3787"/>
    <w:rsid w:val="007D3AC5"/>
    <w:rsid w:val="007D4682"/>
    <w:rsid w:val="007D54CE"/>
    <w:rsid w:val="007D55F8"/>
    <w:rsid w:val="007D5936"/>
    <w:rsid w:val="007D6175"/>
    <w:rsid w:val="007D6DBD"/>
    <w:rsid w:val="007D7CDF"/>
    <w:rsid w:val="007E0286"/>
    <w:rsid w:val="007E0FF9"/>
    <w:rsid w:val="007E16CC"/>
    <w:rsid w:val="007E1E43"/>
    <w:rsid w:val="007E2803"/>
    <w:rsid w:val="007E291B"/>
    <w:rsid w:val="007E3B1E"/>
    <w:rsid w:val="007E45AC"/>
    <w:rsid w:val="007E45CD"/>
    <w:rsid w:val="007E4D96"/>
    <w:rsid w:val="007E4E83"/>
    <w:rsid w:val="007E58D8"/>
    <w:rsid w:val="007E688C"/>
    <w:rsid w:val="007E69CB"/>
    <w:rsid w:val="007E6A81"/>
    <w:rsid w:val="007E6B85"/>
    <w:rsid w:val="007E6CD5"/>
    <w:rsid w:val="007E71B4"/>
    <w:rsid w:val="007E762F"/>
    <w:rsid w:val="007E7D0B"/>
    <w:rsid w:val="007F044E"/>
    <w:rsid w:val="007F075F"/>
    <w:rsid w:val="007F1365"/>
    <w:rsid w:val="007F13D6"/>
    <w:rsid w:val="007F3769"/>
    <w:rsid w:val="007F3F9D"/>
    <w:rsid w:val="007F456B"/>
    <w:rsid w:val="007F5E11"/>
    <w:rsid w:val="007F658C"/>
    <w:rsid w:val="007F6885"/>
    <w:rsid w:val="007F6C03"/>
    <w:rsid w:val="007F774D"/>
    <w:rsid w:val="007F77B9"/>
    <w:rsid w:val="007F77DE"/>
    <w:rsid w:val="0080013D"/>
    <w:rsid w:val="008009BC"/>
    <w:rsid w:val="00801EFE"/>
    <w:rsid w:val="008027ED"/>
    <w:rsid w:val="00803194"/>
    <w:rsid w:val="008036C3"/>
    <w:rsid w:val="00803EBF"/>
    <w:rsid w:val="0080455F"/>
    <w:rsid w:val="00805558"/>
    <w:rsid w:val="0080723F"/>
    <w:rsid w:val="0081010C"/>
    <w:rsid w:val="0081053F"/>
    <w:rsid w:val="008117B3"/>
    <w:rsid w:val="00812F8F"/>
    <w:rsid w:val="00815B94"/>
    <w:rsid w:val="008167AE"/>
    <w:rsid w:val="00816CE1"/>
    <w:rsid w:val="00816FFB"/>
    <w:rsid w:val="00817E66"/>
    <w:rsid w:val="00817F05"/>
    <w:rsid w:val="008203B7"/>
    <w:rsid w:val="00820468"/>
    <w:rsid w:val="008207C3"/>
    <w:rsid w:val="00820B08"/>
    <w:rsid w:val="00820B13"/>
    <w:rsid w:val="00821D54"/>
    <w:rsid w:val="00822133"/>
    <w:rsid w:val="0082257B"/>
    <w:rsid w:val="008225F2"/>
    <w:rsid w:val="00824D3C"/>
    <w:rsid w:val="00824E12"/>
    <w:rsid w:val="00824E9E"/>
    <w:rsid w:val="008256EA"/>
    <w:rsid w:val="008257DB"/>
    <w:rsid w:val="00825AB1"/>
    <w:rsid w:val="0082614C"/>
    <w:rsid w:val="0082656D"/>
    <w:rsid w:val="00826F20"/>
    <w:rsid w:val="00827009"/>
    <w:rsid w:val="00827211"/>
    <w:rsid w:val="0083017E"/>
    <w:rsid w:val="0083163B"/>
    <w:rsid w:val="00832381"/>
    <w:rsid w:val="0083244F"/>
    <w:rsid w:val="0083326D"/>
    <w:rsid w:val="00834991"/>
    <w:rsid w:val="00835A9D"/>
    <w:rsid w:val="00835E01"/>
    <w:rsid w:val="00835F2C"/>
    <w:rsid w:val="008404BF"/>
    <w:rsid w:val="008405D3"/>
    <w:rsid w:val="0084064D"/>
    <w:rsid w:val="00840BE2"/>
    <w:rsid w:val="00840E04"/>
    <w:rsid w:val="008426E8"/>
    <w:rsid w:val="008428AC"/>
    <w:rsid w:val="008428D4"/>
    <w:rsid w:val="00843588"/>
    <w:rsid w:val="0084368C"/>
    <w:rsid w:val="00843C07"/>
    <w:rsid w:val="00844711"/>
    <w:rsid w:val="0084537A"/>
    <w:rsid w:val="00845AB8"/>
    <w:rsid w:val="00845E96"/>
    <w:rsid w:val="0084601B"/>
    <w:rsid w:val="00846787"/>
    <w:rsid w:val="008469CB"/>
    <w:rsid w:val="00847031"/>
    <w:rsid w:val="008473AE"/>
    <w:rsid w:val="008476D3"/>
    <w:rsid w:val="0084788F"/>
    <w:rsid w:val="00847F9D"/>
    <w:rsid w:val="00850FA5"/>
    <w:rsid w:val="008516F4"/>
    <w:rsid w:val="00852F2D"/>
    <w:rsid w:val="00853AA8"/>
    <w:rsid w:val="00854054"/>
    <w:rsid w:val="008553B5"/>
    <w:rsid w:val="00856453"/>
    <w:rsid w:val="008572E9"/>
    <w:rsid w:val="00857423"/>
    <w:rsid w:val="008574CD"/>
    <w:rsid w:val="008576F0"/>
    <w:rsid w:val="00857E06"/>
    <w:rsid w:val="00857FB1"/>
    <w:rsid w:val="00863647"/>
    <w:rsid w:val="0086394B"/>
    <w:rsid w:val="00863A10"/>
    <w:rsid w:val="00865617"/>
    <w:rsid w:val="00865CFE"/>
    <w:rsid w:val="008662E4"/>
    <w:rsid w:val="00866871"/>
    <w:rsid w:val="00866DEF"/>
    <w:rsid w:val="00867290"/>
    <w:rsid w:val="00867540"/>
    <w:rsid w:val="008703A2"/>
    <w:rsid w:val="008704F3"/>
    <w:rsid w:val="008705B2"/>
    <w:rsid w:val="0087074F"/>
    <w:rsid w:val="00870A90"/>
    <w:rsid w:val="00870F1B"/>
    <w:rsid w:val="008711E1"/>
    <w:rsid w:val="00871730"/>
    <w:rsid w:val="008719D5"/>
    <w:rsid w:val="00871F31"/>
    <w:rsid w:val="00872843"/>
    <w:rsid w:val="0087289A"/>
    <w:rsid w:val="0087349C"/>
    <w:rsid w:val="00873B94"/>
    <w:rsid w:val="00874776"/>
    <w:rsid w:val="00874D57"/>
    <w:rsid w:val="0087559F"/>
    <w:rsid w:val="00875E0D"/>
    <w:rsid w:val="0087678C"/>
    <w:rsid w:val="00877249"/>
    <w:rsid w:val="00877431"/>
    <w:rsid w:val="00877526"/>
    <w:rsid w:val="00881A6D"/>
    <w:rsid w:val="00882F7B"/>
    <w:rsid w:val="00883022"/>
    <w:rsid w:val="00883454"/>
    <w:rsid w:val="008840E5"/>
    <w:rsid w:val="0088465E"/>
    <w:rsid w:val="008851A4"/>
    <w:rsid w:val="00890244"/>
    <w:rsid w:val="00890D92"/>
    <w:rsid w:val="00891DAD"/>
    <w:rsid w:val="00892618"/>
    <w:rsid w:val="00892CDF"/>
    <w:rsid w:val="00892DA7"/>
    <w:rsid w:val="00894999"/>
    <w:rsid w:val="008949B0"/>
    <w:rsid w:val="008949EE"/>
    <w:rsid w:val="00894C8B"/>
    <w:rsid w:val="0089590C"/>
    <w:rsid w:val="00895EED"/>
    <w:rsid w:val="0089654B"/>
    <w:rsid w:val="00896B3E"/>
    <w:rsid w:val="00897F66"/>
    <w:rsid w:val="008A1437"/>
    <w:rsid w:val="008A1896"/>
    <w:rsid w:val="008A1E6F"/>
    <w:rsid w:val="008A1EA3"/>
    <w:rsid w:val="008A4151"/>
    <w:rsid w:val="008A535E"/>
    <w:rsid w:val="008A596B"/>
    <w:rsid w:val="008A5B50"/>
    <w:rsid w:val="008A6556"/>
    <w:rsid w:val="008A666B"/>
    <w:rsid w:val="008A71FC"/>
    <w:rsid w:val="008A79AD"/>
    <w:rsid w:val="008A7AE5"/>
    <w:rsid w:val="008B00BE"/>
    <w:rsid w:val="008B0715"/>
    <w:rsid w:val="008B0FC0"/>
    <w:rsid w:val="008B1576"/>
    <w:rsid w:val="008B17BE"/>
    <w:rsid w:val="008B2B00"/>
    <w:rsid w:val="008B3FBA"/>
    <w:rsid w:val="008B4699"/>
    <w:rsid w:val="008B5657"/>
    <w:rsid w:val="008B5881"/>
    <w:rsid w:val="008B6113"/>
    <w:rsid w:val="008B64FA"/>
    <w:rsid w:val="008B654D"/>
    <w:rsid w:val="008B6D75"/>
    <w:rsid w:val="008B7281"/>
    <w:rsid w:val="008BB1CB"/>
    <w:rsid w:val="008C0832"/>
    <w:rsid w:val="008C1A05"/>
    <w:rsid w:val="008C1BA1"/>
    <w:rsid w:val="008C1FDB"/>
    <w:rsid w:val="008C200B"/>
    <w:rsid w:val="008C2259"/>
    <w:rsid w:val="008C2E8E"/>
    <w:rsid w:val="008C3488"/>
    <w:rsid w:val="008C35AF"/>
    <w:rsid w:val="008C3E53"/>
    <w:rsid w:val="008C43BA"/>
    <w:rsid w:val="008C51B2"/>
    <w:rsid w:val="008C546C"/>
    <w:rsid w:val="008C5794"/>
    <w:rsid w:val="008C5BB3"/>
    <w:rsid w:val="008C7062"/>
    <w:rsid w:val="008C7507"/>
    <w:rsid w:val="008C77D7"/>
    <w:rsid w:val="008C7B95"/>
    <w:rsid w:val="008D0BAE"/>
    <w:rsid w:val="008D0DCC"/>
    <w:rsid w:val="008D118B"/>
    <w:rsid w:val="008D2127"/>
    <w:rsid w:val="008D27FE"/>
    <w:rsid w:val="008D4051"/>
    <w:rsid w:val="008D448C"/>
    <w:rsid w:val="008D50C3"/>
    <w:rsid w:val="008D583B"/>
    <w:rsid w:val="008D655C"/>
    <w:rsid w:val="008D6F13"/>
    <w:rsid w:val="008D74A8"/>
    <w:rsid w:val="008E1F06"/>
    <w:rsid w:val="008E20C9"/>
    <w:rsid w:val="008E213E"/>
    <w:rsid w:val="008E2D53"/>
    <w:rsid w:val="008E4176"/>
    <w:rsid w:val="008E44A3"/>
    <w:rsid w:val="008E49C1"/>
    <w:rsid w:val="008E4E08"/>
    <w:rsid w:val="008E538B"/>
    <w:rsid w:val="008E53C7"/>
    <w:rsid w:val="008E6288"/>
    <w:rsid w:val="008E6298"/>
    <w:rsid w:val="008E6ABE"/>
    <w:rsid w:val="008E72EA"/>
    <w:rsid w:val="008E7729"/>
    <w:rsid w:val="008E7D84"/>
    <w:rsid w:val="008F01C8"/>
    <w:rsid w:val="008F1E97"/>
    <w:rsid w:val="008F2023"/>
    <w:rsid w:val="008F24BF"/>
    <w:rsid w:val="008F2D15"/>
    <w:rsid w:val="008F2D5A"/>
    <w:rsid w:val="008F30D8"/>
    <w:rsid w:val="008F3D00"/>
    <w:rsid w:val="008F4631"/>
    <w:rsid w:val="008F485B"/>
    <w:rsid w:val="008F4937"/>
    <w:rsid w:val="008F5DF8"/>
    <w:rsid w:val="008F6A84"/>
    <w:rsid w:val="008F720F"/>
    <w:rsid w:val="008F7222"/>
    <w:rsid w:val="008F7555"/>
    <w:rsid w:val="009005DB"/>
    <w:rsid w:val="009005DF"/>
    <w:rsid w:val="00900CB7"/>
    <w:rsid w:val="00901125"/>
    <w:rsid w:val="009017B4"/>
    <w:rsid w:val="00901E2D"/>
    <w:rsid w:val="00902176"/>
    <w:rsid w:val="00902DD7"/>
    <w:rsid w:val="0090308D"/>
    <w:rsid w:val="009043E3"/>
    <w:rsid w:val="00904489"/>
    <w:rsid w:val="009044C0"/>
    <w:rsid w:val="00905796"/>
    <w:rsid w:val="00906B37"/>
    <w:rsid w:val="00907B4C"/>
    <w:rsid w:val="009103A6"/>
    <w:rsid w:val="00910938"/>
    <w:rsid w:val="00910C76"/>
    <w:rsid w:val="009110CE"/>
    <w:rsid w:val="0091143B"/>
    <w:rsid w:val="0091158A"/>
    <w:rsid w:val="009118D4"/>
    <w:rsid w:val="00911B11"/>
    <w:rsid w:val="00911EDD"/>
    <w:rsid w:val="0091228F"/>
    <w:rsid w:val="009122A4"/>
    <w:rsid w:val="009136F7"/>
    <w:rsid w:val="0091455A"/>
    <w:rsid w:val="009162C1"/>
    <w:rsid w:val="00916CF5"/>
    <w:rsid w:val="00916D29"/>
    <w:rsid w:val="00917805"/>
    <w:rsid w:val="00917BBD"/>
    <w:rsid w:val="0092106B"/>
    <w:rsid w:val="00921A67"/>
    <w:rsid w:val="00921FF6"/>
    <w:rsid w:val="00922D36"/>
    <w:rsid w:val="00923003"/>
    <w:rsid w:val="00925E1E"/>
    <w:rsid w:val="00925F9A"/>
    <w:rsid w:val="00926E92"/>
    <w:rsid w:val="009275DC"/>
    <w:rsid w:val="009277D2"/>
    <w:rsid w:val="009278F8"/>
    <w:rsid w:val="009316D8"/>
    <w:rsid w:val="00931A2B"/>
    <w:rsid w:val="00931A7F"/>
    <w:rsid w:val="0093243D"/>
    <w:rsid w:val="0093313F"/>
    <w:rsid w:val="009338D8"/>
    <w:rsid w:val="00934181"/>
    <w:rsid w:val="009347FB"/>
    <w:rsid w:val="00934B5D"/>
    <w:rsid w:val="00935040"/>
    <w:rsid w:val="00935B1D"/>
    <w:rsid w:val="00935DCB"/>
    <w:rsid w:val="009373BA"/>
    <w:rsid w:val="009378CF"/>
    <w:rsid w:val="00937C5C"/>
    <w:rsid w:val="00940FA7"/>
    <w:rsid w:val="00943301"/>
    <w:rsid w:val="009434A8"/>
    <w:rsid w:val="00943D0E"/>
    <w:rsid w:val="00944A21"/>
    <w:rsid w:val="00944F17"/>
    <w:rsid w:val="0094621D"/>
    <w:rsid w:val="009467B2"/>
    <w:rsid w:val="00946B65"/>
    <w:rsid w:val="00947ED7"/>
    <w:rsid w:val="00950E16"/>
    <w:rsid w:val="0095116B"/>
    <w:rsid w:val="0095191D"/>
    <w:rsid w:val="00951970"/>
    <w:rsid w:val="00951E9B"/>
    <w:rsid w:val="00951F6E"/>
    <w:rsid w:val="00952017"/>
    <w:rsid w:val="009524B7"/>
    <w:rsid w:val="0095308C"/>
    <w:rsid w:val="0095350A"/>
    <w:rsid w:val="00953831"/>
    <w:rsid w:val="00953A9B"/>
    <w:rsid w:val="00953BCB"/>
    <w:rsid w:val="009554C2"/>
    <w:rsid w:val="009554CC"/>
    <w:rsid w:val="00955E04"/>
    <w:rsid w:val="00955F1A"/>
    <w:rsid w:val="009560A9"/>
    <w:rsid w:val="00956406"/>
    <w:rsid w:val="0095733C"/>
    <w:rsid w:val="00957D80"/>
    <w:rsid w:val="00957EDC"/>
    <w:rsid w:val="00960A63"/>
    <w:rsid w:val="0096102C"/>
    <w:rsid w:val="00961164"/>
    <w:rsid w:val="00961F02"/>
    <w:rsid w:val="00962393"/>
    <w:rsid w:val="00962D34"/>
    <w:rsid w:val="0096310D"/>
    <w:rsid w:val="009633A4"/>
    <w:rsid w:val="00963C76"/>
    <w:rsid w:val="00964093"/>
    <w:rsid w:val="00964598"/>
    <w:rsid w:val="00964E62"/>
    <w:rsid w:val="00965A54"/>
    <w:rsid w:val="0096643C"/>
    <w:rsid w:val="00966D4E"/>
    <w:rsid w:val="00967410"/>
    <w:rsid w:val="00967755"/>
    <w:rsid w:val="00970EDE"/>
    <w:rsid w:val="009717FE"/>
    <w:rsid w:val="009730FA"/>
    <w:rsid w:val="00973257"/>
    <w:rsid w:val="0097348A"/>
    <w:rsid w:val="00973CBE"/>
    <w:rsid w:val="00974604"/>
    <w:rsid w:val="00974AE6"/>
    <w:rsid w:val="009753E8"/>
    <w:rsid w:val="009756A9"/>
    <w:rsid w:val="00975F31"/>
    <w:rsid w:val="009762C5"/>
    <w:rsid w:val="009766C5"/>
    <w:rsid w:val="00976E47"/>
    <w:rsid w:val="0097762C"/>
    <w:rsid w:val="009777CC"/>
    <w:rsid w:val="00977B7D"/>
    <w:rsid w:val="00977CF5"/>
    <w:rsid w:val="009808F8"/>
    <w:rsid w:val="00981834"/>
    <w:rsid w:val="00981CB2"/>
    <w:rsid w:val="0098259F"/>
    <w:rsid w:val="00982B10"/>
    <w:rsid w:val="0098357B"/>
    <w:rsid w:val="00983BE8"/>
    <w:rsid w:val="00983CA5"/>
    <w:rsid w:val="0098402A"/>
    <w:rsid w:val="009841A2"/>
    <w:rsid w:val="00984E7B"/>
    <w:rsid w:val="00985F10"/>
    <w:rsid w:val="00986426"/>
    <w:rsid w:val="00986F9C"/>
    <w:rsid w:val="00987643"/>
    <w:rsid w:val="0098785F"/>
    <w:rsid w:val="00987DC6"/>
    <w:rsid w:val="00987F4A"/>
    <w:rsid w:val="009902C0"/>
    <w:rsid w:val="00990623"/>
    <w:rsid w:val="00991F22"/>
    <w:rsid w:val="0099204B"/>
    <w:rsid w:val="00992122"/>
    <w:rsid w:val="00992553"/>
    <w:rsid w:val="00992E18"/>
    <w:rsid w:val="00993007"/>
    <w:rsid w:val="00993E11"/>
    <w:rsid w:val="00993E32"/>
    <w:rsid w:val="009941E6"/>
    <w:rsid w:val="009943EA"/>
    <w:rsid w:val="00995445"/>
    <w:rsid w:val="00996026"/>
    <w:rsid w:val="00996FC1"/>
    <w:rsid w:val="0099733B"/>
    <w:rsid w:val="00997DA1"/>
    <w:rsid w:val="009A0C96"/>
    <w:rsid w:val="009A0EC8"/>
    <w:rsid w:val="009A0FAC"/>
    <w:rsid w:val="009A192C"/>
    <w:rsid w:val="009A1BCE"/>
    <w:rsid w:val="009A268F"/>
    <w:rsid w:val="009A2915"/>
    <w:rsid w:val="009A294C"/>
    <w:rsid w:val="009A2CAA"/>
    <w:rsid w:val="009A2ED9"/>
    <w:rsid w:val="009A3BB5"/>
    <w:rsid w:val="009A464B"/>
    <w:rsid w:val="009A4FAD"/>
    <w:rsid w:val="009A5158"/>
    <w:rsid w:val="009A5E73"/>
    <w:rsid w:val="009A60B5"/>
    <w:rsid w:val="009A6126"/>
    <w:rsid w:val="009A62E0"/>
    <w:rsid w:val="009A64D6"/>
    <w:rsid w:val="009A6802"/>
    <w:rsid w:val="009B1F2F"/>
    <w:rsid w:val="009B281B"/>
    <w:rsid w:val="009B2A2C"/>
    <w:rsid w:val="009B3F06"/>
    <w:rsid w:val="009B4267"/>
    <w:rsid w:val="009B4B97"/>
    <w:rsid w:val="009B518C"/>
    <w:rsid w:val="009B51F3"/>
    <w:rsid w:val="009B522B"/>
    <w:rsid w:val="009B5FB2"/>
    <w:rsid w:val="009B616B"/>
    <w:rsid w:val="009B7345"/>
    <w:rsid w:val="009B7443"/>
    <w:rsid w:val="009C123A"/>
    <w:rsid w:val="009C1713"/>
    <w:rsid w:val="009C274C"/>
    <w:rsid w:val="009C320E"/>
    <w:rsid w:val="009C3256"/>
    <w:rsid w:val="009C32FF"/>
    <w:rsid w:val="009C3326"/>
    <w:rsid w:val="009C41EC"/>
    <w:rsid w:val="009C45E6"/>
    <w:rsid w:val="009C5303"/>
    <w:rsid w:val="009C54EB"/>
    <w:rsid w:val="009C55DA"/>
    <w:rsid w:val="009C6FE4"/>
    <w:rsid w:val="009C73DB"/>
    <w:rsid w:val="009C7E5D"/>
    <w:rsid w:val="009D035A"/>
    <w:rsid w:val="009D13BB"/>
    <w:rsid w:val="009D14B3"/>
    <w:rsid w:val="009D225D"/>
    <w:rsid w:val="009D267C"/>
    <w:rsid w:val="009D2B65"/>
    <w:rsid w:val="009D315D"/>
    <w:rsid w:val="009D4166"/>
    <w:rsid w:val="009D42F0"/>
    <w:rsid w:val="009D4711"/>
    <w:rsid w:val="009D6174"/>
    <w:rsid w:val="009D70AB"/>
    <w:rsid w:val="009D7496"/>
    <w:rsid w:val="009E0085"/>
    <w:rsid w:val="009E0FB3"/>
    <w:rsid w:val="009E116C"/>
    <w:rsid w:val="009E1666"/>
    <w:rsid w:val="009E27D5"/>
    <w:rsid w:val="009E3421"/>
    <w:rsid w:val="009E348B"/>
    <w:rsid w:val="009E3541"/>
    <w:rsid w:val="009E3DB3"/>
    <w:rsid w:val="009E4191"/>
    <w:rsid w:val="009E4341"/>
    <w:rsid w:val="009E4839"/>
    <w:rsid w:val="009E5016"/>
    <w:rsid w:val="009E55EA"/>
    <w:rsid w:val="009E68C5"/>
    <w:rsid w:val="009E728F"/>
    <w:rsid w:val="009E72D2"/>
    <w:rsid w:val="009E7680"/>
    <w:rsid w:val="009E79E9"/>
    <w:rsid w:val="009F0F4A"/>
    <w:rsid w:val="009F19AD"/>
    <w:rsid w:val="009F255D"/>
    <w:rsid w:val="009F26C4"/>
    <w:rsid w:val="009F2F0B"/>
    <w:rsid w:val="009F3368"/>
    <w:rsid w:val="009F3F91"/>
    <w:rsid w:val="009F4108"/>
    <w:rsid w:val="009F429E"/>
    <w:rsid w:val="009F4468"/>
    <w:rsid w:val="009F57BD"/>
    <w:rsid w:val="009F65EA"/>
    <w:rsid w:val="009F7682"/>
    <w:rsid w:val="009F7BD1"/>
    <w:rsid w:val="009FB42F"/>
    <w:rsid w:val="00A00997"/>
    <w:rsid w:val="00A00B5A"/>
    <w:rsid w:val="00A0154A"/>
    <w:rsid w:val="00A01736"/>
    <w:rsid w:val="00A01C49"/>
    <w:rsid w:val="00A037B7"/>
    <w:rsid w:val="00A05DEC"/>
    <w:rsid w:val="00A06FAB"/>
    <w:rsid w:val="00A0721F"/>
    <w:rsid w:val="00A07324"/>
    <w:rsid w:val="00A07629"/>
    <w:rsid w:val="00A0772D"/>
    <w:rsid w:val="00A10A62"/>
    <w:rsid w:val="00A114C9"/>
    <w:rsid w:val="00A1178D"/>
    <w:rsid w:val="00A11D9E"/>
    <w:rsid w:val="00A120BA"/>
    <w:rsid w:val="00A128AD"/>
    <w:rsid w:val="00A1292D"/>
    <w:rsid w:val="00A1296C"/>
    <w:rsid w:val="00A129D2"/>
    <w:rsid w:val="00A1303D"/>
    <w:rsid w:val="00A1351F"/>
    <w:rsid w:val="00A167AC"/>
    <w:rsid w:val="00A16DFA"/>
    <w:rsid w:val="00A20280"/>
    <w:rsid w:val="00A20751"/>
    <w:rsid w:val="00A20AC0"/>
    <w:rsid w:val="00A216CE"/>
    <w:rsid w:val="00A21AB4"/>
    <w:rsid w:val="00A21E8C"/>
    <w:rsid w:val="00A22595"/>
    <w:rsid w:val="00A236B3"/>
    <w:rsid w:val="00A23811"/>
    <w:rsid w:val="00A2462B"/>
    <w:rsid w:val="00A249EB"/>
    <w:rsid w:val="00A2526C"/>
    <w:rsid w:val="00A27B48"/>
    <w:rsid w:val="00A27C3A"/>
    <w:rsid w:val="00A27DBE"/>
    <w:rsid w:val="00A30998"/>
    <w:rsid w:val="00A31147"/>
    <w:rsid w:val="00A311FF"/>
    <w:rsid w:val="00A31596"/>
    <w:rsid w:val="00A31833"/>
    <w:rsid w:val="00A31DE3"/>
    <w:rsid w:val="00A32507"/>
    <w:rsid w:val="00A3397B"/>
    <w:rsid w:val="00A33E3B"/>
    <w:rsid w:val="00A342C9"/>
    <w:rsid w:val="00A357C1"/>
    <w:rsid w:val="00A368F8"/>
    <w:rsid w:val="00A3699B"/>
    <w:rsid w:val="00A36BDA"/>
    <w:rsid w:val="00A36BFF"/>
    <w:rsid w:val="00A36EA8"/>
    <w:rsid w:val="00A36FDD"/>
    <w:rsid w:val="00A401BB"/>
    <w:rsid w:val="00A41809"/>
    <w:rsid w:val="00A4221C"/>
    <w:rsid w:val="00A4249B"/>
    <w:rsid w:val="00A4289A"/>
    <w:rsid w:val="00A4336F"/>
    <w:rsid w:val="00A43A83"/>
    <w:rsid w:val="00A43C05"/>
    <w:rsid w:val="00A43CC8"/>
    <w:rsid w:val="00A4407D"/>
    <w:rsid w:val="00A44676"/>
    <w:rsid w:val="00A44B48"/>
    <w:rsid w:val="00A44F04"/>
    <w:rsid w:val="00A45F62"/>
    <w:rsid w:val="00A46C2B"/>
    <w:rsid w:val="00A47778"/>
    <w:rsid w:val="00A479EC"/>
    <w:rsid w:val="00A50363"/>
    <w:rsid w:val="00A50E19"/>
    <w:rsid w:val="00A51A13"/>
    <w:rsid w:val="00A52117"/>
    <w:rsid w:val="00A5248F"/>
    <w:rsid w:val="00A52EAA"/>
    <w:rsid w:val="00A531D8"/>
    <w:rsid w:val="00A53211"/>
    <w:rsid w:val="00A53D71"/>
    <w:rsid w:val="00A54379"/>
    <w:rsid w:val="00A55958"/>
    <w:rsid w:val="00A55B11"/>
    <w:rsid w:val="00A56ABF"/>
    <w:rsid w:val="00A56B29"/>
    <w:rsid w:val="00A56CA4"/>
    <w:rsid w:val="00A56EE4"/>
    <w:rsid w:val="00A57065"/>
    <w:rsid w:val="00A572FA"/>
    <w:rsid w:val="00A5775F"/>
    <w:rsid w:val="00A60484"/>
    <w:rsid w:val="00A605D3"/>
    <w:rsid w:val="00A606D8"/>
    <w:rsid w:val="00A60749"/>
    <w:rsid w:val="00A60943"/>
    <w:rsid w:val="00A60B42"/>
    <w:rsid w:val="00A61829"/>
    <w:rsid w:val="00A62CE3"/>
    <w:rsid w:val="00A6320D"/>
    <w:rsid w:val="00A63771"/>
    <w:rsid w:val="00A6387A"/>
    <w:rsid w:val="00A63A7D"/>
    <w:rsid w:val="00A63E0D"/>
    <w:rsid w:val="00A64D8B"/>
    <w:rsid w:val="00A70435"/>
    <w:rsid w:val="00A70F63"/>
    <w:rsid w:val="00A71D8B"/>
    <w:rsid w:val="00A72868"/>
    <w:rsid w:val="00A7417E"/>
    <w:rsid w:val="00A742C4"/>
    <w:rsid w:val="00A74851"/>
    <w:rsid w:val="00A7514D"/>
    <w:rsid w:val="00A75677"/>
    <w:rsid w:val="00A75BD6"/>
    <w:rsid w:val="00A75EC8"/>
    <w:rsid w:val="00A76050"/>
    <w:rsid w:val="00A77332"/>
    <w:rsid w:val="00A80F0A"/>
    <w:rsid w:val="00A81903"/>
    <w:rsid w:val="00A81FF3"/>
    <w:rsid w:val="00A829BC"/>
    <w:rsid w:val="00A837AB"/>
    <w:rsid w:val="00A83DF1"/>
    <w:rsid w:val="00A843B5"/>
    <w:rsid w:val="00A846EA"/>
    <w:rsid w:val="00A84E54"/>
    <w:rsid w:val="00A85624"/>
    <w:rsid w:val="00A86A3A"/>
    <w:rsid w:val="00A86E40"/>
    <w:rsid w:val="00A86ED6"/>
    <w:rsid w:val="00A87FB4"/>
    <w:rsid w:val="00A90186"/>
    <w:rsid w:val="00A90BBB"/>
    <w:rsid w:val="00A90F0F"/>
    <w:rsid w:val="00A912F8"/>
    <w:rsid w:val="00A92011"/>
    <w:rsid w:val="00A9219F"/>
    <w:rsid w:val="00A9236D"/>
    <w:rsid w:val="00A92AAC"/>
    <w:rsid w:val="00A93428"/>
    <w:rsid w:val="00A93C8E"/>
    <w:rsid w:val="00A9461B"/>
    <w:rsid w:val="00A9486F"/>
    <w:rsid w:val="00A94EB3"/>
    <w:rsid w:val="00A95AD0"/>
    <w:rsid w:val="00A966B6"/>
    <w:rsid w:val="00A966E4"/>
    <w:rsid w:val="00A96850"/>
    <w:rsid w:val="00A96DE3"/>
    <w:rsid w:val="00AA0129"/>
    <w:rsid w:val="00AA05B4"/>
    <w:rsid w:val="00AA06A6"/>
    <w:rsid w:val="00AA25C8"/>
    <w:rsid w:val="00AA2E8E"/>
    <w:rsid w:val="00AA2EA9"/>
    <w:rsid w:val="00AA399A"/>
    <w:rsid w:val="00AA3C35"/>
    <w:rsid w:val="00AA5DE6"/>
    <w:rsid w:val="00AA6207"/>
    <w:rsid w:val="00AA674C"/>
    <w:rsid w:val="00AA67E1"/>
    <w:rsid w:val="00AA6B82"/>
    <w:rsid w:val="00AA6CE5"/>
    <w:rsid w:val="00AA7848"/>
    <w:rsid w:val="00AB0223"/>
    <w:rsid w:val="00AB0B74"/>
    <w:rsid w:val="00AB1B71"/>
    <w:rsid w:val="00AB20A4"/>
    <w:rsid w:val="00AB2E21"/>
    <w:rsid w:val="00AB3548"/>
    <w:rsid w:val="00AB55C2"/>
    <w:rsid w:val="00AB62CC"/>
    <w:rsid w:val="00AB64A7"/>
    <w:rsid w:val="00AB66AE"/>
    <w:rsid w:val="00AB7471"/>
    <w:rsid w:val="00AC02BE"/>
    <w:rsid w:val="00AC12C0"/>
    <w:rsid w:val="00AC2ECE"/>
    <w:rsid w:val="00AC2F37"/>
    <w:rsid w:val="00AC34E5"/>
    <w:rsid w:val="00AC3B6D"/>
    <w:rsid w:val="00AC3E76"/>
    <w:rsid w:val="00AC5325"/>
    <w:rsid w:val="00AC577A"/>
    <w:rsid w:val="00AC5956"/>
    <w:rsid w:val="00AC5A6C"/>
    <w:rsid w:val="00AC646E"/>
    <w:rsid w:val="00AC6947"/>
    <w:rsid w:val="00AC784B"/>
    <w:rsid w:val="00AD054C"/>
    <w:rsid w:val="00AD0551"/>
    <w:rsid w:val="00AD0B3A"/>
    <w:rsid w:val="00AD17F1"/>
    <w:rsid w:val="00AD2D55"/>
    <w:rsid w:val="00AD398B"/>
    <w:rsid w:val="00AD4565"/>
    <w:rsid w:val="00AD54E6"/>
    <w:rsid w:val="00AD57CA"/>
    <w:rsid w:val="00AD5DC6"/>
    <w:rsid w:val="00AD7CA9"/>
    <w:rsid w:val="00AE059F"/>
    <w:rsid w:val="00AE0E78"/>
    <w:rsid w:val="00AE1113"/>
    <w:rsid w:val="00AE17DD"/>
    <w:rsid w:val="00AE1C6C"/>
    <w:rsid w:val="00AE2422"/>
    <w:rsid w:val="00AE2550"/>
    <w:rsid w:val="00AE3500"/>
    <w:rsid w:val="00AE3C45"/>
    <w:rsid w:val="00AE42D4"/>
    <w:rsid w:val="00AE48EB"/>
    <w:rsid w:val="00AE5F7C"/>
    <w:rsid w:val="00AE6BAC"/>
    <w:rsid w:val="00AE72D2"/>
    <w:rsid w:val="00AE75C7"/>
    <w:rsid w:val="00AE79AC"/>
    <w:rsid w:val="00AE7D54"/>
    <w:rsid w:val="00AF093D"/>
    <w:rsid w:val="00AF0E8B"/>
    <w:rsid w:val="00AF11CE"/>
    <w:rsid w:val="00AF2206"/>
    <w:rsid w:val="00AF2480"/>
    <w:rsid w:val="00AF2C95"/>
    <w:rsid w:val="00AF2D60"/>
    <w:rsid w:val="00AF4558"/>
    <w:rsid w:val="00AF5180"/>
    <w:rsid w:val="00AF5AE3"/>
    <w:rsid w:val="00AF5C96"/>
    <w:rsid w:val="00AF60E0"/>
    <w:rsid w:val="00AF6CA3"/>
    <w:rsid w:val="00AF6FF6"/>
    <w:rsid w:val="00AF730F"/>
    <w:rsid w:val="00AF7CA0"/>
    <w:rsid w:val="00B00B4E"/>
    <w:rsid w:val="00B00BA0"/>
    <w:rsid w:val="00B00CB8"/>
    <w:rsid w:val="00B013DD"/>
    <w:rsid w:val="00B01495"/>
    <w:rsid w:val="00B0155B"/>
    <w:rsid w:val="00B0170A"/>
    <w:rsid w:val="00B02EFF"/>
    <w:rsid w:val="00B03A0C"/>
    <w:rsid w:val="00B03DB3"/>
    <w:rsid w:val="00B03DCA"/>
    <w:rsid w:val="00B042F6"/>
    <w:rsid w:val="00B04B55"/>
    <w:rsid w:val="00B04CE0"/>
    <w:rsid w:val="00B05437"/>
    <w:rsid w:val="00B065C1"/>
    <w:rsid w:val="00B06B0D"/>
    <w:rsid w:val="00B072C8"/>
    <w:rsid w:val="00B07E11"/>
    <w:rsid w:val="00B1041A"/>
    <w:rsid w:val="00B10C5A"/>
    <w:rsid w:val="00B1150C"/>
    <w:rsid w:val="00B11DD6"/>
    <w:rsid w:val="00B13A25"/>
    <w:rsid w:val="00B13DAD"/>
    <w:rsid w:val="00B145D5"/>
    <w:rsid w:val="00B14810"/>
    <w:rsid w:val="00B1490D"/>
    <w:rsid w:val="00B14E90"/>
    <w:rsid w:val="00B15186"/>
    <w:rsid w:val="00B15644"/>
    <w:rsid w:val="00B16792"/>
    <w:rsid w:val="00B17662"/>
    <w:rsid w:val="00B17B23"/>
    <w:rsid w:val="00B17ED8"/>
    <w:rsid w:val="00B204F4"/>
    <w:rsid w:val="00B225B2"/>
    <w:rsid w:val="00B22A06"/>
    <w:rsid w:val="00B23B2E"/>
    <w:rsid w:val="00B24AE1"/>
    <w:rsid w:val="00B24F47"/>
    <w:rsid w:val="00B2522B"/>
    <w:rsid w:val="00B258A6"/>
    <w:rsid w:val="00B25929"/>
    <w:rsid w:val="00B25DD1"/>
    <w:rsid w:val="00B25EBA"/>
    <w:rsid w:val="00B26A2C"/>
    <w:rsid w:val="00B27954"/>
    <w:rsid w:val="00B30E40"/>
    <w:rsid w:val="00B316F3"/>
    <w:rsid w:val="00B3213A"/>
    <w:rsid w:val="00B33340"/>
    <w:rsid w:val="00B3338F"/>
    <w:rsid w:val="00B34356"/>
    <w:rsid w:val="00B354EE"/>
    <w:rsid w:val="00B36BD5"/>
    <w:rsid w:val="00B3721D"/>
    <w:rsid w:val="00B37C06"/>
    <w:rsid w:val="00B40592"/>
    <w:rsid w:val="00B41E1F"/>
    <w:rsid w:val="00B420EF"/>
    <w:rsid w:val="00B425C2"/>
    <w:rsid w:val="00B428B4"/>
    <w:rsid w:val="00B42B3E"/>
    <w:rsid w:val="00B42E52"/>
    <w:rsid w:val="00B43971"/>
    <w:rsid w:val="00B44D73"/>
    <w:rsid w:val="00B45503"/>
    <w:rsid w:val="00B4672E"/>
    <w:rsid w:val="00B47AE4"/>
    <w:rsid w:val="00B50CBB"/>
    <w:rsid w:val="00B512CC"/>
    <w:rsid w:val="00B518A7"/>
    <w:rsid w:val="00B53D72"/>
    <w:rsid w:val="00B53DE8"/>
    <w:rsid w:val="00B542F4"/>
    <w:rsid w:val="00B545DC"/>
    <w:rsid w:val="00B546E1"/>
    <w:rsid w:val="00B54893"/>
    <w:rsid w:val="00B54A15"/>
    <w:rsid w:val="00B54BBA"/>
    <w:rsid w:val="00B55539"/>
    <w:rsid w:val="00B55B08"/>
    <w:rsid w:val="00B55D39"/>
    <w:rsid w:val="00B56455"/>
    <w:rsid w:val="00B575B6"/>
    <w:rsid w:val="00B57C3E"/>
    <w:rsid w:val="00B61054"/>
    <w:rsid w:val="00B61673"/>
    <w:rsid w:val="00B61A1D"/>
    <w:rsid w:val="00B625C7"/>
    <w:rsid w:val="00B62AFA"/>
    <w:rsid w:val="00B631F5"/>
    <w:rsid w:val="00B638A0"/>
    <w:rsid w:val="00B63C50"/>
    <w:rsid w:val="00B63D9E"/>
    <w:rsid w:val="00B64677"/>
    <w:rsid w:val="00B653FE"/>
    <w:rsid w:val="00B65C21"/>
    <w:rsid w:val="00B663DC"/>
    <w:rsid w:val="00B67D1D"/>
    <w:rsid w:val="00B67FC6"/>
    <w:rsid w:val="00B70181"/>
    <w:rsid w:val="00B714C7"/>
    <w:rsid w:val="00B71EF4"/>
    <w:rsid w:val="00B722DD"/>
    <w:rsid w:val="00B7301E"/>
    <w:rsid w:val="00B733A0"/>
    <w:rsid w:val="00B74A0C"/>
    <w:rsid w:val="00B761BF"/>
    <w:rsid w:val="00B7621D"/>
    <w:rsid w:val="00B8039D"/>
    <w:rsid w:val="00B80E4B"/>
    <w:rsid w:val="00B81525"/>
    <w:rsid w:val="00B815BB"/>
    <w:rsid w:val="00B820CE"/>
    <w:rsid w:val="00B82CAB"/>
    <w:rsid w:val="00B837AC"/>
    <w:rsid w:val="00B84711"/>
    <w:rsid w:val="00B84901"/>
    <w:rsid w:val="00B87482"/>
    <w:rsid w:val="00B8774F"/>
    <w:rsid w:val="00B87CC1"/>
    <w:rsid w:val="00B90146"/>
    <w:rsid w:val="00B903FB"/>
    <w:rsid w:val="00B90FF3"/>
    <w:rsid w:val="00B9132D"/>
    <w:rsid w:val="00B91C61"/>
    <w:rsid w:val="00B926C5"/>
    <w:rsid w:val="00B93267"/>
    <w:rsid w:val="00B957AC"/>
    <w:rsid w:val="00B958CD"/>
    <w:rsid w:val="00B95921"/>
    <w:rsid w:val="00B963A8"/>
    <w:rsid w:val="00B96877"/>
    <w:rsid w:val="00B97348"/>
    <w:rsid w:val="00B97422"/>
    <w:rsid w:val="00B97A0B"/>
    <w:rsid w:val="00BA0697"/>
    <w:rsid w:val="00BA14FF"/>
    <w:rsid w:val="00BA1C52"/>
    <w:rsid w:val="00BA1E07"/>
    <w:rsid w:val="00BA31B4"/>
    <w:rsid w:val="00BA422C"/>
    <w:rsid w:val="00BA441B"/>
    <w:rsid w:val="00BA4610"/>
    <w:rsid w:val="00BA4AC9"/>
    <w:rsid w:val="00BA5074"/>
    <w:rsid w:val="00BA6471"/>
    <w:rsid w:val="00BA654E"/>
    <w:rsid w:val="00BA72BC"/>
    <w:rsid w:val="00BA72FA"/>
    <w:rsid w:val="00BA754F"/>
    <w:rsid w:val="00BA75D1"/>
    <w:rsid w:val="00BA773A"/>
    <w:rsid w:val="00BA7892"/>
    <w:rsid w:val="00BA7935"/>
    <w:rsid w:val="00BB01B6"/>
    <w:rsid w:val="00BB07E6"/>
    <w:rsid w:val="00BB0D10"/>
    <w:rsid w:val="00BB1B76"/>
    <w:rsid w:val="00BB251F"/>
    <w:rsid w:val="00BB291B"/>
    <w:rsid w:val="00BB33FC"/>
    <w:rsid w:val="00BB35B4"/>
    <w:rsid w:val="00BB4692"/>
    <w:rsid w:val="00BB46F5"/>
    <w:rsid w:val="00BB6DCB"/>
    <w:rsid w:val="00BB7FE9"/>
    <w:rsid w:val="00BC0288"/>
    <w:rsid w:val="00BC127C"/>
    <w:rsid w:val="00BC1303"/>
    <w:rsid w:val="00BC302A"/>
    <w:rsid w:val="00BC45BE"/>
    <w:rsid w:val="00BC502E"/>
    <w:rsid w:val="00BC50CE"/>
    <w:rsid w:val="00BC5135"/>
    <w:rsid w:val="00BC5909"/>
    <w:rsid w:val="00BC59AC"/>
    <w:rsid w:val="00BC69A2"/>
    <w:rsid w:val="00BC6AB7"/>
    <w:rsid w:val="00BC74B2"/>
    <w:rsid w:val="00BD070C"/>
    <w:rsid w:val="00BD101C"/>
    <w:rsid w:val="00BD12CA"/>
    <w:rsid w:val="00BD22A5"/>
    <w:rsid w:val="00BD247B"/>
    <w:rsid w:val="00BD257C"/>
    <w:rsid w:val="00BD38D1"/>
    <w:rsid w:val="00BD441B"/>
    <w:rsid w:val="00BD475E"/>
    <w:rsid w:val="00BD4BB5"/>
    <w:rsid w:val="00BD51CE"/>
    <w:rsid w:val="00BD51FA"/>
    <w:rsid w:val="00BD58BD"/>
    <w:rsid w:val="00BD6E43"/>
    <w:rsid w:val="00BD797E"/>
    <w:rsid w:val="00BE0120"/>
    <w:rsid w:val="00BE0512"/>
    <w:rsid w:val="00BE0FC7"/>
    <w:rsid w:val="00BE12CD"/>
    <w:rsid w:val="00BE33E4"/>
    <w:rsid w:val="00BE345D"/>
    <w:rsid w:val="00BE3F96"/>
    <w:rsid w:val="00BE41DC"/>
    <w:rsid w:val="00BE439D"/>
    <w:rsid w:val="00BE4881"/>
    <w:rsid w:val="00BE5296"/>
    <w:rsid w:val="00BE57D9"/>
    <w:rsid w:val="00BE59C0"/>
    <w:rsid w:val="00BE5FAC"/>
    <w:rsid w:val="00BE6085"/>
    <w:rsid w:val="00BE619B"/>
    <w:rsid w:val="00BE655C"/>
    <w:rsid w:val="00BE76C1"/>
    <w:rsid w:val="00BE7AD6"/>
    <w:rsid w:val="00BF021E"/>
    <w:rsid w:val="00BF04FD"/>
    <w:rsid w:val="00BF0DBB"/>
    <w:rsid w:val="00BF2945"/>
    <w:rsid w:val="00BF2D11"/>
    <w:rsid w:val="00BF326D"/>
    <w:rsid w:val="00BF3623"/>
    <w:rsid w:val="00BF37ED"/>
    <w:rsid w:val="00BF3951"/>
    <w:rsid w:val="00BF3B33"/>
    <w:rsid w:val="00BF44CD"/>
    <w:rsid w:val="00BF460B"/>
    <w:rsid w:val="00BF4D11"/>
    <w:rsid w:val="00BF4D34"/>
    <w:rsid w:val="00BF4E1A"/>
    <w:rsid w:val="00BF4FE4"/>
    <w:rsid w:val="00BF515C"/>
    <w:rsid w:val="00BF5798"/>
    <w:rsid w:val="00BF5EA5"/>
    <w:rsid w:val="00BF68FD"/>
    <w:rsid w:val="00BF7098"/>
    <w:rsid w:val="00BF7AA6"/>
    <w:rsid w:val="00C00458"/>
    <w:rsid w:val="00C00E75"/>
    <w:rsid w:val="00C0109C"/>
    <w:rsid w:val="00C02601"/>
    <w:rsid w:val="00C02AE5"/>
    <w:rsid w:val="00C0326B"/>
    <w:rsid w:val="00C035C9"/>
    <w:rsid w:val="00C03606"/>
    <w:rsid w:val="00C040B3"/>
    <w:rsid w:val="00C0417A"/>
    <w:rsid w:val="00C049F5"/>
    <w:rsid w:val="00C05386"/>
    <w:rsid w:val="00C0594E"/>
    <w:rsid w:val="00C06C06"/>
    <w:rsid w:val="00C06F69"/>
    <w:rsid w:val="00C06F71"/>
    <w:rsid w:val="00C07060"/>
    <w:rsid w:val="00C07BFA"/>
    <w:rsid w:val="00C07F34"/>
    <w:rsid w:val="00C07F3E"/>
    <w:rsid w:val="00C10B40"/>
    <w:rsid w:val="00C11879"/>
    <w:rsid w:val="00C119FD"/>
    <w:rsid w:val="00C11D5D"/>
    <w:rsid w:val="00C120FB"/>
    <w:rsid w:val="00C1258A"/>
    <w:rsid w:val="00C126FE"/>
    <w:rsid w:val="00C1273D"/>
    <w:rsid w:val="00C12748"/>
    <w:rsid w:val="00C13101"/>
    <w:rsid w:val="00C13A29"/>
    <w:rsid w:val="00C13C0B"/>
    <w:rsid w:val="00C13C98"/>
    <w:rsid w:val="00C14BDA"/>
    <w:rsid w:val="00C150CD"/>
    <w:rsid w:val="00C154B7"/>
    <w:rsid w:val="00C15980"/>
    <w:rsid w:val="00C15C17"/>
    <w:rsid w:val="00C15C2D"/>
    <w:rsid w:val="00C16844"/>
    <w:rsid w:val="00C16B67"/>
    <w:rsid w:val="00C1719D"/>
    <w:rsid w:val="00C17BAE"/>
    <w:rsid w:val="00C17C48"/>
    <w:rsid w:val="00C202FF"/>
    <w:rsid w:val="00C20518"/>
    <w:rsid w:val="00C213A9"/>
    <w:rsid w:val="00C22070"/>
    <w:rsid w:val="00C223DF"/>
    <w:rsid w:val="00C22872"/>
    <w:rsid w:val="00C23252"/>
    <w:rsid w:val="00C24423"/>
    <w:rsid w:val="00C24894"/>
    <w:rsid w:val="00C248C9"/>
    <w:rsid w:val="00C26372"/>
    <w:rsid w:val="00C26E35"/>
    <w:rsid w:val="00C27222"/>
    <w:rsid w:val="00C27AE2"/>
    <w:rsid w:val="00C27D0D"/>
    <w:rsid w:val="00C2A670"/>
    <w:rsid w:val="00C30D45"/>
    <w:rsid w:val="00C30E2D"/>
    <w:rsid w:val="00C32346"/>
    <w:rsid w:val="00C32B27"/>
    <w:rsid w:val="00C33B5B"/>
    <w:rsid w:val="00C345DF"/>
    <w:rsid w:val="00C3461F"/>
    <w:rsid w:val="00C34C5E"/>
    <w:rsid w:val="00C34E48"/>
    <w:rsid w:val="00C35E44"/>
    <w:rsid w:val="00C3606E"/>
    <w:rsid w:val="00C4008D"/>
    <w:rsid w:val="00C413E6"/>
    <w:rsid w:val="00C41605"/>
    <w:rsid w:val="00C42116"/>
    <w:rsid w:val="00C421B7"/>
    <w:rsid w:val="00C42C0E"/>
    <w:rsid w:val="00C43509"/>
    <w:rsid w:val="00C43D7A"/>
    <w:rsid w:val="00C43DA8"/>
    <w:rsid w:val="00C44E11"/>
    <w:rsid w:val="00C44E28"/>
    <w:rsid w:val="00C45A25"/>
    <w:rsid w:val="00C4621D"/>
    <w:rsid w:val="00C469B3"/>
    <w:rsid w:val="00C46D72"/>
    <w:rsid w:val="00C47F69"/>
    <w:rsid w:val="00C47F9C"/>
    <w:rsid w:val="00C511FB"/>
    <w:rsid w:val="00C52B48"/>
    <w:rsid w:val="00C53914"/>
    <w:rsid w:val="00C53CA3"/>
    <w:rsid w:val="00C54965"/>
    <w:rsid w:val="00C54E5C"/>
    <w:rsid w:val="00C55A2A"/>
    <w:rsid w:val="00C55B79"/>
    <w:rsid w:val="00C55E71"/>
    <w:rsid w:val="00C55EF3"/>
    <w:rsid w:val="00C5751E"/>
    <w:rsid w:val="00C5794B"/>
    <w:rsid w:val="00C57FC0"/>
    <w:rsid w:val="00C6033B"/>
    <w:rsid w:val="00C61C64"/>
    <w:rsid w:val="00C62236"/>
    <w:rsid w:val="00C62418"/>
    <w:rsid w:val="00C62877"/>
    <w:rsid w:val="00C6428F"/>
    <w:rsid w:val="00C64634"/>
    <w:rsid w:val="00C654CD"/>
    <w:rsid w:val="00C65B4E"/>
    <w:rsid w:val="00C65BE9"/>
    <w:rsid w:val="00C65CBA"/>
    <w:rsid w:val="00C6621D"/>
    <w:rsid w:val="00C6634E"/>
    <w:rsid w:val="00C66603"/>
    <w:rsid w:val="00C66A2E"/>
    <w:rsid w:val="00C66DEE"/>
    <w:rsid w:val="00C66F60"/>
    <w:rsid w:val="00C66F9E"/>
    <w:rsid w:val="00C7021B"/>
    <w:rsid w:val="00C70467"/>
    <w:rsid w:val="00C715CB"/>
    <w:rsid w:val="00C71B8F"/>
    <w:rsid w:val="00C7236F"/>
    <w:rsid w:val="00C731D4"/>
    <w:rsid w:val="00C74BD4"/>
    <w:rsid w:val="00C74C31"/>
    <w:rsid w:val="00C755DD"/>
    <w:rsid w:val="00C75D4D"/>
    <w:rsid w:val="00C80564"/>
    <w:rsid w:val="00C8174D"/>
    <w:rsid w:val="00C81791"/>
    <w:rsid w:val="00C8226E"/>
    <w:rsid w:val="00C8281A"/>
    <w:rsid w:val="00C82DC4"/>
    <w:rsid w:val="00C841AA"/>
    <w:rsid w:val="00C844B2"/>
    <w:rsid w:val="00C84700"/>
    <w:rsid w:val="00C8590F"/>
    <w:rsid w:val="00C86057"/>
    <w:rsid w:val="00C86467"/>
    <w:rsid w:val="00C86CFD"/>
    <w:rsid w:val="00C87413"/>
    <w:rsid w:val="00C876F1"/>
    <w:rsid w:val="00C90075"/>
    <w:rsid w:val="00C90C2E"/>
    <w:rsid w:val="00C90D6C"/>
    <w:rsid w:val="00C90F54"/>
    <w:rsid w:val="00C91636"/>
    <w:rsid w:val="00C91C0F"/>
    <w:rsid w:val="00C92623"/>
    <w:rsid w:val="00C92821"/>
    <w:rsid w:val="00C9418A"/>
    <w:rsid w:val="00C94472"/>
    <w:rsid w:val="00C94A92"/>
    <w:rsid w:val="00C966C9"/>
    <w:rsid w:val="00C96D8E"/>
    <w:rsid w:val="00C9718E"/>
    <w:rsid w:val="00C97B1C"/>
    <w:rsid w:val="00C97E4A"/>
    <w:rsid w:val="00CA10BC"/>
    <w:rsid w:val="00CA166C"/>
    <w:rsid w:val="00CA19FB"/>
    <w:rsid w:val="00CA20DE"/>
    <w:rsid w:val="00CA2130"/>
    <w:rsid w:val="00CA2203"/>
    <w:rsid w:val="00CA2BB6"/>
    <w:rsid w:val="00CA2ECC"/>
    <w:rsid w:val="00CA36A2"/>
    <w:rsid w:val="00CA40DA"/>
    <w:rsid w:val="00CA41E0"/>
    <w:rsid w:val="00CA4CD8"/>
    <w:rsid w:val="00CA509A"/>
    <w:rsid w:val="00CA5581"/>
    <w:rsid w:val="00CA57BF"/>
    <w:rsid w:val="00CA6AFF"/>
    <w:rsid w:val="00CA6D3F"/>
    <w:rsid w:val="00CA6FA8"/>
    <w:rsid w:val="00CA7331"/>
    <w:rsid w:val="00CA7CE6"/>
    <w:rsid w:val="00CA7F62"/>
    <w:rsid w:val="00CB06D4"/>
    <w:rsid w:val="00CB0EF5"/>
    <w:rsid w:val="00CB127C"/>
    <w:rsid w:val="00CB1AA8"/>
    <w:rsid w:val="00CB2658"/>
    <w:rsid w:val="00CB2EFB"/>
    <w:rsid w:val="00CB378C"/>
    <w:rsid w:val="00CB4690"/>
    <w:rsid w:val="00CB4A4A"/>
    <w:rsid w:val="00CB4D33"/>
    <w:rsid w:val="00CB4DB1"/>
    <w:rsid w:val="00CB51C8"/>
    <w:rsid w:val="00CB53DC"/>
    <w:rsid w:val="00CB5E91"/>
    <w:rsid w:val="00CB5F34"/>
    <w:rsid w:val="00CB5F6F"/>
    <w:rsid w:val="00CB668B"/>
    <w:rsid w:val="00CB6E5A"/>
    <w:rsid w:val="00CB7634"/>
    <w:rsid w:val="00CB772F"/>
    <w:rsid w:val="00CC0680"/>
    <w:rsid w:val="00CC0862"/>
    <w:rsid w:val="00CC0EAF"/>
    <w:rsid w:val="00CC1D3D"/>
    <w:rsid w:val="00CC218D"/>
    <w:rsid w:val="00CC2D88"/>
    <w:rsid w:val="00CC3F62"/>
    <w:rsid w:val="00CC42D3"/>
    <w:rsid w:val="00CC562D"/>
    <w:rsid w:val="00CC625C"/>
    <w:rsid w:val="00CC6C91"/>
    <w:rsid w:val="00CC7478"/>
    <w:rsid w:val="00CC79E1"/>
    <w:rsid w:val="00CC7CC2"/>
    <w:rsid w:val="00CC7CE2"/>
    <w:rsid w:val="00CD23D9"/>
    <w:rsid w:val="00CD246A"/>
    <w:rsid w:val="00CD2ADD"/>
    <w:rsid w:val="00CD3AC4"/>
    <w:rsid w:val="00CD49D7"/>
    <w:rsid w:val="00CD4EA7"/>
    <w:rsid w:val="00CD5388"/>
    <w:rsid w:val="00CD5678"/>
    <w:rsid w:val="00CD56D6"/>
    <w:rsid w:val="00CD5EAB"/>
    <w:rsid w:val="00CD6F7E"/>
    <w:rsid w:val="00CD7198"/>
    <w:rsid w:val="00CD7D96"/>
    <w:rsid w:val="00CE2B5F"/>
    <w:rsid w:val="00CE35E0"/>
    <w:rsid w:val="00CE36CA"/>
    <w:rsid w:val="00CE3DF6"/>
    <w:rsid w:val="00CE4A08"/>
    <w:rsid w:val="00CE5341"/>
    <w:rsid w:val="00CE546A"/>
    <w:rsid w:val="00CE57A8"/>
    <w:rsid w:val="00CE5ACA"/>
    <w:rsid w:val="00CE5E74"/>
    <w:rsid w:val="00CE6C87"/>
    <w:rsid w:val="00CE6EF4"/>
    <w:rsid w:val="00CE712C"/>
    <w:rsid w:val="00CE7D30"/>
    <w:rsid w:val="00CF046A"/>
    <w:rsid w:val="00CF0683"/>
    <w:rsid w:val="00CF06A7"/>
    <w:rsid w:val="00CF11BB"/>
    <w:rsid w:val="00CF1E00"/>
    <w:rsid w:val="00CF231E"/>
    <w:rsid w:val="00CF2668"/>
    <w:rsid w:val="00CF2B5E"/>
    <w:rsid w:val="00CF3C05"/>
    <w:rsid w:val="00CF4120"/>
    <w:rsid w:val="00CF4AC9"/>
    <w:rsid w:val="00CF4E63"/>
    <w:rsid w:val="00CF4E67"/>
    <w:rsid w:val="00CF51B9"/>
    <w:rsid w:val="00CF5976"/>
    <w:rsid w:val="00CF5E95"/>
    <w:rsid w:val="00CF5EB7"/>
    <w:rsid w:val="00CF6164"/>
    <w:rsid w:val="00CF6C94"/>
    <w:rsid w:val="00CF7339"/>
    <w:rsid w:val="00CF7424"/>
    <w:rsid w:val="00CF74D2"/>
    <w:rsid w:val="00CF7F5D"/>
    <w:rsid w:val="00D00372"/>
    <w:rsid w:val="00D00905"/>
    <w:rsid w:val="00D00CB6"/>
    <w:rsid w:val="00D01000"/>
    <w:rsid w:val="00D0153B"/>
    <w:rsid w:val="00D01C32"/>
    <w:rsid w:val="00D023DA"/>
    <w:rsid w:val="00D02F1B"/>
    <w:rsid w:val="00D03827"/>
    <w:rsid w:val="00D0441F"/>
    <w:rsid w:val="00D04662"/>
    <w:rsid w:val="00D04EE7"/>
    <w:rsid w:val="00D05BDB"/>
    <w:rsid w:val="00D05EC2"/>
    <w:rsid w:val="00D06BA0"/>
    <w:rsid w:val="00D073A8"/>
    <w:rsid w:val="00D07A79"/>
    <w:rsid w:val="00D07E89"/>
    <w:rsid w:val="00D1052B"/>
    <w:rsid w:val="00D10C70"/>
    <w:rsid w:val="00D11573"/>
    <w:rsid w:val="00D121EF"/>
    <w:rsid w:val="00D128B4"/>
    <w:rsid w:val="00D133B4"/>
    <w:rsid w:val="00D13F3B"/>
    <w:rsid w:val="00D144CE"/>
    <w:rsid w:val="00D14688"/>
    <w:rsid w:val="00D14D13"/>
    <w:rsid w:val="00D14E79"/>
    <w:rsid w:val="00D14F99"/>
    <w:rsid w:val="00D155E2"/>
    <w:rsid w:val="00D15855"/>
    <w:rsid w:val="00D15F2D"/>
    <w:rsid w:val="00D168DF"/>
    <w:rsid w:val="00D16DFB"/>
    <w:rsid w:val="00D1703E"/>
    <w:rsid w:val="00D177BB"/>
    <w:rsid w:val="00D17BD1"/>
    <w:rsid w:val="00D20530"/>
    <w:rsid w:val="00D20F22"/>
    <w:rsid w:val="00D223B2"/>
    <w:rsid w:val="00D22F91"/>
    <w:rsid w:val="00D230F2"/>
    <w:rsid w:val="00D23A53"/>
    <w:rsid w:val="00D24287"/>
    <w:rsid w:val="00D24457"/>
    <w:rsid w:val="00D24CDC"/>
    <w:rsid w:val="00D25045"/>
    <w:rsid w:val="00D255D5"/>
    <w:rsid w:val="00D25685"/>
    <w:rsid w:val="00D2614D"/>
    <w:rsid w:val="00D261C8"/>
    <w:rsid w:val="00D26200"/>
    <w:rsid w:val="00D2647B"/>
    <w:rsid w:val="00D26595"/>
    <w:rsid w:val="00D27B17"/>
    <w:rsid w:val="00D27C74"/>
    <w:rsid w:val="00D30F4B"/>
    <w:rsid w:val="00D3210E"/>
    <w:rsid w:val="00D33D20"/>
    <w:rsid w:val="00D357D4"/>
    <w:rsid w:val="00D362E4"/>
    <w:rsid w:val="00D364B7"/>
    <w:rsid w:val="00D369EC"/>
    <w:rsid w:val="00D36E22"/>
    <w:rsid w:val="00D37D2E"/>
    <w:rsid w:val="00D4041E"/>
    <w:rsid w:val="00D407F8"/>
    <w:rsid w:val="00D40969"/>
    <w:rsid w:val="00D41F2A"/>
    <w:rsid w:val="00D42370"/>
    <w:rsid w:val="00D423D2"/>
    <w:rsid w:val="00D42415"/>
    <w:rsid w:val="00D43782"/>
    <w:rsid w:val="00D43A35"/>
    <w:rsid w:val="00D441D4"/>
    <w:rsid w:val="00D44EA6"/>
    <w:rsid w:val="00D46D7D"/>
    <w:rsid w:val="00D470EF"/>
    <w:rsid w:val="00D4762F"/>
    <w:rsid w:val="00D50CC0"/>
    <w:rsid w:val="00D50E23"/>
    <w:rsid w:val="00D51918"/>
    <w:rsid w:val="00D52355"/>
    <w:rsid w:val="00D52DF8"/>
    <w:rsid w:val="00D52E15"/>
    <w:rsid w:val="00D530DE"/>
    <w:rsid w:val="00D55962"/>
    <w:rsid w:val="00D5665C"/>
    <w:rsid w:val="00D5689E"/>
    <w:rsid w:val="00D56C15"/>
    <w:rsid w:val="00D56E62"/>
    <w:rsid w:val="00D5723C"/>
    <w:rsid w:val="00D60829"/>
    <w:rsid w:val="00D612A6"/>
    <w:rsid w:val="00D61486"/>
    <w:rsid w:val="00D61B2D"/>
    <w:rsid w:val="00D62769"/>
    <w:rsid w:val="00D63D90"/>
    <w:rsid w:val="00D63DAF"/>
    <w:rsid w:val="00D64F91"/>
    <w:rsid w:val="00D65273"/>
    <w:rsid w:val="00D658B2"/>
    <w:rsid w:val="00D665C9"/>
    <w:rsid w:val="00D667DD"/>
    <w:rsid w:val="00D66852"/>
    <w:rsid w:val="00D66DE5"/>
    <w:rsid w:val="00D675D9"/>
    <w:rsid w:val="00D67876"/>
    <w:rsid w:val="00D67BA3"/>
    <w:rsid w:val="00D70934"/>
    <w:rsid w:val="00D70C87"/>
    <w:rsid w:val="00D71290"/>
    <w:rsid w:val="00D71E0E"/>
    <w:rsid w:val="00D729CB"/>
    <w:rsid w:val="00D729EE"/>
    <w:rsid w:val="00D72B05"/>
    <w:rsid w:val="00D7366E"/>
    <w:rsid w:val="00D73F98"/>
    <w:rsid w:val="00D749C5"/>
    <w:rsid w:val="00D74C88"/>
    <w:rsid w:val="00D74E68"/>
    <w:rsid w:val="00D75012"/>
    <w:rsid w:val="00D75D8C"/>
    <w:rsid w:val="00D76566"/>
    <w:rsid w:val="00D76CB3"/>
    <w:rsid w:val="00D76F02"/>
    <w:rsid w:val="00D7736D"/>
    <w:rsid w:val="00D8289C"/>
    <w:rsid w:val="00D8326F"/>
    <w:rsid w:val="00D8644B"/>
    <w:rsid w:val="00D8738A"/>
    <w:rsid w:val="00D87451"/>
    <w:rsid w:val="00D8782B"/>
    <w:rsid w:val="00D87C1F"/>
    <w:rsid w:val="00D90287"/>
    <w:rsid w:val="00D909C3"/>
    <w:rsid w:val="00D9180B"/>
    <w:rsid w:val="00D921BD"/>
    <w:rsid w:val="00D94DC8"/>
    <w:rsid w:val="00D95847"/>
    <w:rsid w:val="00D95985"/>
    <w:rsid w:val="00D95FAD"/>
    <w:rsid w:val="00D9604F"/>
    <w:rsid w:val="00D97243"/>
    <w:rsid w:val="00D97248"/>
    <w:rsid w:val="00D97AD2"/>
    <w:rsid w:val="00D97C31"/>
    <w:rsid w:val="00DA02F1"/>
    <w:rsid w:val="00DA14D7"/>
    <w:rsid w:val="00DA16D2"/>
    <w:rsid w:val="00DA2383"/>
    <w:rsid w:val="00DA4288"/>
    <w:rsid w:val="00DA44C0"/>
    <w:rsid w:val="00DA4656"/>
    <w:rsid w:val="00DA47DF"/>
    <w:rsid w:val="00DA4884"/>
    <w:rsid w:val="00DA5072"/>
    <w:rsid w:val="00DA5113"/>
    <w:rsid w:val="00DA5BAD"/>
    <w:rsid w:val="00DB0170"/>
    <w:rsid w:val="00DB023B"/>
    <w:rsid w:val="00DB0D8D"/>
    <w:rsid w:val="00DB16D6"/>
    <w:rsid w:val="00DB17CC"/>
    <w:rsid w:val="00DB22A7"/>
    <w:rsid w:val="00DB232A"/>
    <w:rsid w:val="00DB3312"/>
    <w:rsid w:val="00DB4D37"/>
    <w:rsid w:val="00DB4D97"/>
    <w:rsid w:val="00DB522C"/>
    <w:rsid w:val="00DB5C31"/>
    <w:rsid w:val="00DB646E"/>
    <w:rsid w:val="00DB688D"/>
    <w:rsid w:val="00DB7AB4"/>
    <w:rsid w:val="00DC088B"/>
    <w:rsid w:val="00DC0B9F"/>
    <w:rsid w:val="00DC0C4C"/>
    <w:rsid w:val="00DC0E49"/>
    <w:rsid w:val="00DC14C3"/>
    <w:rsid w:val="00DC179E"/>
    <w:rsid w:val="00DC219C"/>
    <w:rsid w:val="00DC31BB"/>
    <w:rsid w:val="00DC3D41"/>
    <w:rsid w:val="00DC4E39"/>
    <w:rsid w:val="00DC59D0"/>
    <w:rsid w:val="00DC6FA0"/>
    <w:rsid w:val="00DC7442"/>
    <w:rsid w:val="00DD04B2"/>
    <w:rsid w:val="00DD0631"/>
    <w:rsid w:val="00DD09B2"/>
    <w:rsid w:val="00DD20FA"/>
    <w:rsid w:val="00DD3428"/>
    <w:rsid w:val="00DD39C6"/>
    <w:rsid w:val="00DD3D38"/>
    <w:rsid w:val="00DD4F74"/>
    <w:rsid w:val="00DD585A"/>
    <w:rsid w:val="00DD5DDB"/>
    <w:rsid w:val="00DD6519"/>
    <w:rsid w:val="00DD6BAF"/>
    <w:rsid w:val="00DD7834"/>
    <w:rsid w:val="00DE016A"/>
    <w:rsid w:val="00DE07EB"/>
    <w:rsid w:val="00DE113B"/>
    <w:rsid w:val="00DE1ABF"/>
    <w:rsid w:val="00DE1EA0"/>
    <w:rsid w:val="00DE1FE7"/>
    <w:rsid w:val="00DE22D7"/>
    <w:rsid w:val="00DE285F"/>
    <w:rsid w:val="00DE3334"/>
    <w:rsid w:val="00DE63BE"/>
    <w:rsid w:val="00DE7000"/>
    <w:rsid w:val="00DE76C0"/>
    <w:rsid w:val="00DE7773"/>
    <w:rsid w:val="00DE77B7"/>
    <w:rsid w:val="00DE7BE2"/>
    <w:rsid w:val="00DF090D"/>
    <w:rsid w:val="00DF0FC0"/>
    <w:rsid w:val="00DF1268"/>
    <w:rsid w:val="00DF1A9A"/>
    <w:rsid w:val="00DF232C"/>
    <w:rsid w:val="00DF30A5"/>
    <w:rsid w:val="00DF3CCD"/>
    <w:rsid w:val="00DF3F40"/>
    <w:rsid w:val="00DF58F0"/>
    <w:rsid w:val="00DF6747"/>
    <w:rsid w:val="00DFD0B4"/>
    <w:rsid w:val="00E00080"/>
    <w:rsid w:val="00E002AA"/>
    <w:rsid w:val="00E01084"/>
    <w:rsid w:val="00E010AC"/>
    <w:rsid w:val="00E015CA"/>
    <w:rsid w:val="00E019B4"/>
    <w:rsid w:val="00E0209D"/>
    <w:rsid w:val="00E0269D"/>
    <w:rsid w:val="00E03B4E"/>
    <w:rsid w:val="00E03FCA"/>
    <w:rsid w:val="00E04612"/>
    <w:rsid w:val="00E04C4C"/>
    <w:rsid w:val="00E05130"/>
    <w:rsid w:val="00E0581F"/>
    <w:rsid w:val="00E06BA4"/>
    <w:rsid w:val="00E06F14"/>
    <w:rsid w:val="00E10E6F"/>
    <w:rsid w:val="00E10F33"/>
    <w:rsid w:val="00E12327"/>
    <w:rsid w:val="00E12333"/>
    <w:rsid w:val="00E13987"/>
    <w:rsid w:val="00E150A8"/>
    <w:rsid w:val="00E152D2"/>
    <w:rsid w:val="00E15A1D"/>
    <w:rsid w:val="00E15AEB"/>
    <w:rsid w:val="00E15B55"/>
    <w:rsid w:val="00E15CEC"/>
    <w:rsid w:val="00E162DE"/>
    <w:rsid w:val="00E168D4"/>
    <w:rsid w:val="00E169EC"/>
    <w:rsid w:val="00E16DD7"/>
    <w:rsid w:val="00E16E34"/>
    <w:rsid w:val="00E175AA"/>
    <w:rsid w:val="00E17E94"/>
    <w:rsid w:val="00E1F335"/>
    <w:rsid w:val="00E20659"/>
    <w:rsid w:val="00E20A9E"/>
    <w:rsid w:val="00E212B5"/>
    <w:rsid w:val="00E223E0"/>
    <w:rsid w:val="00E23151"/>
    <w:rsid w:val="00E24A6D"/>
    <w:rsid w:val="00E24D8A"/>
    <w:rsid w:val="00E24F16"/>
    <w:rsid w:val="00E257F2"/>
    <w:rsid w:val="00E263C6"/>
    <w:rsid w:val="00E267A5"/>
    <w:rsid w:val="00E26B95"/>
    <w:rsid w:val="00E27095"/>
    <w:rsid w:val="00E2774B"/>
    <w:rsid w:val="00E278EA"/>
    <w:rsid w:val="00E27E7F"/>
    <w:rsid w:val="00E27F20"/>
    <w:rsid w:val="00E30000"/>
    <w:rsid w:val="00E30297"/>
    <w:rsid w:val="00E3055F"/>
    <w:rsid w:val="00E30EC3"/>
    <w:rsid w:val="00E30F34"/>
    <w:rsid w:val="00E31A1A"/>
    <w:rsid w:val="00E32106"/>
    <w:rsid w:val="00E32239"/>
    <w:rsid w:val="00E33986"/>
    <w:rsid w:val="00E339C1"/>
    <w:rsid w:val="00E33B65"/>
    <w:rsid w:val="00E33DA8"/>
    <w:rsid w:val="00E3432A"/>
    <w:rsid w:val="00E35245"/>
    <w:rsid w:val="00E35EA7"/>
    <w:rsid w:val="00E35F3C"/>
    <w:rsid w:val="00E360A3"/>
    <w:rsid w:val="00E375D6"/>
    <w:rsid w:val="00E37AE3"/>
    <w:rsid w:val="00E42232"/>
    <w:rsid w:val="00E427BE"/>
    <w:rsid w:val="00E4298B"/>
    <w:rsid w:val="00E429CE"/>
    <w:rsid w:val="00E42C10"/>
    <w:rsid w:val="00E42F2C"/>
    <w:rsid w:val="00E4397A"/>
    <w:rsid w:val="00E43B10"/>
    <w:rsid w:val="00E440DD"/>
    <w:rsid w:val="00E4544A"/>
    <w:rsid w:val="00E45498"/>
    <w:rsid w:val="00E45751"/>
    <w:rsid w:val="00E458B7"/>
    <w:rsid w:val="00E45AE2"/>
    <w:rsid w:val="00E464A6"/>
    <w:rsid w:val="00E46E03"/>
    <w:rsid w:val="00E4731F"/>
    <w:rsid w:val="00E50F86"/>
    <w:rsid w:val="00E5336C"/>
    <w:rsid w:val="00E53DBB"/>
    <w:rsid w:val="00E53E99"/>
    <w:rsid w:val="00E5402F"/>
    <w:rsid w:val="00E5484D"/>
    <w:rsid w:val="00E557B2"/>
    <w:rsid w:val="00E55B27"/>
    <w:rsid w:val="00E55C07"/>
    <w:rsid w:val="00E55DEF"/>
    <w:rsid w:val="00E56B4E"/>
    <w:rsid w:val="00E56C06"/>
    <w:rsid w:val="00E57361"/>
    <w:rsid w:val="00E57D9F"/>
    <w:rsid w:val="00E57EB3"/>
    <w:rsid w:val="00E60A54"/>
    <w:rsid w:val="00E61E2F"/>
    <w:rsid w:val="00E61E33"/>
    <w:rsid w:val="00E61F49"/>
    <w:rsid w:val="00E62302"/>
    <w:rsid w:val="00E62673"/>
    <w:rsid w:val="00E62DC3"/>
    <w:rsid w:val="00E63279"/>
    <w:rsid w:val="00E636CB"/>
    <w:rsid w:val="00E63A7E"/>
    <w:rsid w:val="00E63D2D"/>
    <w:rsid w:val="00E648E4"/>
    <w:rsid w:val="00E65AE6"/>
    <w:rsid w:val="00E66421"/>
    <w:rsid w:val="00E66595"/>
    <w:rsid w:val="00E667BC"/>
    <w:rsid w:val="00E66BD6"/>
    <w:rsid w:val="00E670E7"/>
    <w:rsid w:val="00E673A7"/>
    <w:rsid w:val="00E67450"/>
    <w:rsid w:val="00E679DB"/>
    <w:rsid w:val="00E67D28"/>
    <w:rsid w:val="00E70B6F"/>
    <w:rsid w:val="00E71699"/>
    <w:rsid w:val="00E7174D"/>
    <w:rsid w:val="00E71A59"/>
    <w:rsid w:val="00E72798"/>
    <w:rsid w:val="00E730A8"/>
    <w:rsid w:val="00E734DB"/>
    <w:rsid w:val="00E736D0"/>
    <w:rsid w:val="00E73FCE"/>
    <w:rsid w:val="00E744D9"/>
    <w:rsid w:val="00E74D23"/>
    <w:rsid w:val="00E752EA"/>
    <w:rsid w:val="00E760B2"/>
    <w:rsid w:val="00E7658D"/>
    <w:rsid w:val="00E7732A"/>
    <w:rsid w:val="00E7745C"/>
    <w:rsid w:val="00E80027"/>
    <w:rsid w:val="00E8068D"/>
    <w:rsid w:val="00E80BF9"/>
    <w:rsid w:val="00E81B44"/>
    <w:rsid w:val="00E82293"/>
    <w:rsid w:val="00E822A4"/>
    <w:rsid w:val="00E829FC"/>
    <w:rsid w:val="00E82CD2"/>
    <w:rsid w:val="00E841EE"/>
    <w:rsid w:val="00E842F5"/>
    <w:rsid w:val="00E84765"/>
    <w:rsid w:val="00E85229"/>
    <w:rsid w:val="00E85B8A"/>
    <w:rsid w:val="00E86041"/>
    <w:rsid w:val="00E87090"/>
    <w:rsid w:val="00E87C0A"/>
    <w:rsid w:val="00E87FE0"/>
    <w:rsid w:val="00E90CA6"/>
    <w:rsid w:val="00E928A3"/>
    <w:rsid w:val="00E92E3A"/>
    <w:rsid w:val="00E93EE0"/>
    <w:rsid w:val="00E941A1"/>
    <w:rsid w:val="00E947F7"/>
    <w:rsid w:val="00E94A18"/>
    <w:rsid w:val="00E95706"/>
    <w:rsid w:val="00E95CFD"/>
    <w:rsid w:val="00E9604A"/>
    <w:rsid w:val="00E97652"/>
    <w:rsid w:val="00E9796F"/>
    <w:rsid w:val="00E97A7D"/>
    <w:rsid w:val="00EA0535"/>
    <w:rsid w:val="00EA0CCC"/>
    <w:rsid w:val="00EA1BE6"/>
    <w:rsid w:val="00EA1F2D"/>
    <w:rsid w:val="00EA242C"/>
    <w:rsid w:val="00EA2801"/>
    <w:rsid w:val="00EA29C5"/>
    <w:rsid w:val="00EA2C33"/>
    <w:rsid w:val="00EA363B"/>
    <w:rsid w:val="00EA3A00"/>
    <w:rsid w:val="00EA3A2D"/>
    <w:rsid w:val="00EA3EC7"/>
    <w:rsid w:val="00EA402A"/>
    <w:rsid w:val="00EA488E"/>
    <w:rsid w:val="00EA4942"/>
    <w:rsid w:val="00EA4A34"/>
    <w:rsid w:val="00EA573E"/>
    <w:rsid w:val="00EA574B"/>
    <w:rsid w:val="00EA595C"/>
    <w:rsid w:val="00EA6518"/>
    <w:rsid w:val="00EA7A05"/>
    <w:rsid w:val="00EA7C0C"/>
    <w:rsid w:val="00EA7D4D"/>
    <w:rsid w:val="00EB0445"/>
    <w:rsid w:val="00EB0C9B"/>
    <w:rsid w:val="00EB0FE5"/>
    <w:rsid w:val="00EB14FF"/>
    <w:rsid w:val="00EB328D"/>
    <w:rsid w:val="00EB3775"/>
    <w:rsid w:val="00EB3E71"/>
    <w:rsid w:val="00EB3FFB"/>
    <w:rsid w:val="00EB418F"/>
    <w:rsid w:val="00EB4941"/>
    <w:rsid w:val="00EB4E61"/>
    <w:rsid w:val="00EB6617"/>
    <w:rsid w:val="00EB67BE"/>
    <w:rsid w:val="00EB7667"/>
    <w:rsid w:val="00EC1842"/>
    <w:rsid w:val="00EC1AA3"/>
    <w:rsid w:val="00EC25FE"/>
    <w:rsid w:val="00EC2D4D"/>
    <w:rsid w:val="00EC31AE"/>
    <w:rsid w:val="00EC37FD"/>
    <w:rsid w:val="00EC3B77"/>
    <w:rsid w:val="00EC41CF"/>
    <w:rsid w:val="00EC5CC3"/>
    <w:rsid w:val="00EC6D50"/>
    <w:rsid w:val="00EC7A60"/>
    <w:rsid w:val="00ED01A0"/>
    <w:rsid w:val="00ED09A7"/>
    <w:rsid w:val="00ED0BEC"/>
    <w:rsid w:val="00ED0E73"/>
    <w:rsid w:val="00ED0EC0"/>
    <w:rsid w:val="00ED141E"/>
    <w:rsid w:val="00ED1859"/>
    <w:rsid w:val="00ED1E35"/>
    <w:rsid w:val="00ED22B9"/>
    <w:rsid w:val="00ED24B6"/>
    <w:rsid w:val="00ED27B3"/>
    <w:rsid w:val="00ED30D9"/>
    <w:rsid w:val="00ED3A20"/>
    <w:rsid w:val="00ED3B37"/>
    <w:rsid w:val="00ED3F3F"/>
    <w:rsid w:val="00ED564E"/>
    <w:rsid w:val="00ED5715"/>
    <w:rsid w:val="00ED5891"/>
    <w:rsid w:val="00ED59E0"/>
    <w:rsid w:val="00ED5DFA"/>
    <w:rsid w:val="00ED6061"/>
    <w:rsid w:val="00ED73B0"/>
    <w:rsid w:val="00ED786C"/>
    <w:rsid w:val="00EE047D"/>
    <w:rsid w:val="00EE0CCA"/>
    <w:rsid w:val="00EE1F48"/>
    <w:rsid w:val="00EE255E"/>
    <w:rsid w:val="00EE2BC2"/>
    <w:rsid w:val="00EE32ED"/>
    <w:rsid w:val="00EE3917"/>
    <w:rsid w:val="00EE3AA8"/>
    <w:rsid w:val="00EE4416"/>
    <w:rsid w:val="00EE4746"/>
    <w:rsid w:val="00EE4BA6"/>
    <w:rsid w:val="00EE4C2F"/>
    <w:rsid w:val="00EE525F"/>
    <w:rsid w:val="00EE6233"/>
    <w:rsid w:val="00EE708B"/>
    <w:rsid w:val="00EF07CF"/>
    <w:rsid w:val="00EF08A3"/>
    <w:rsid w:val="00EF0ED9"/>
    <w:rsid w:val="00EF1AA9"/>
    <w:rsid w:val="00EF2AAA"/>
    <w:rsid w:val="00EF2FBF"/>
    <w:rsid w:val="00EF3926"/>
    <w:rsid w:val="00EF3D4D"/>
    <w:rsid w:val="00EF4AC3"/>
    <w:rsid w:val="00EF4B38"/>
    <w:rsid w:val="00EF538D"/>
    <w:rsid w:val="00EF54B5"/>
    <w:rsid w:val="00EF5DD6"/>
    <w:rsid w:val="00EF6527"/>
    <w:rsid w:val="00EF6554"/>
    <w:rsid w:val="00EF6A6A"/>
    <w:rsid w:val="00EF71A3"/>
    <w:rsid w:val="00F00CB5"/>
    <w:rsid w:val="00F025DB"/>
    <w:rsid w:val="00F03152"/>
    <w:rsid w:val="00F03713"/>
    <w:rsid w:val="00F045FF"/>
    <w:rsid w:val="00F04653"/>
    <w:rsid w:val="00F054F3"/>
    <w:rsid w:val="00F05A14"/>
    <w:rsid w:val="00F05D8E"/>
    <w:rsid w:val="00F0621F"/>
    <w:rsid w:val="00F065EB"/>
    <w:rsid w:val="00F07643"/>
    <w:rsid w:val="00F10A22"/>
    <w:rsid w:val="00F10B70"/>
    <w:rsid w:val="00F10E71"/>
    <w:rsid w:val="00F11803"/>
    <w:rsid w:val="00F127FC"/>
    <w:rsid w:val="00F138DD"/>
    <w:rsid w:val="00F13928"/>
    <w:rsid w:val="00F13935"/>
    <w:rsid w:val="00F14AAB"/>
    <w:rsid w:val="00F154F5"/>
    <w:rsid w:val="00F155F0"/>
    <w:rsid w:val="00F15A3B"/>
    <w:rsid w:val="00F15CF8"/>
    <w:rsid w:val="00F171B4"/>
    <w:rsid w:val="00F2060E"/>
    <w:rsid w:val="00F209C9"/>
    <w:rsid w:val="00F21B58"/>
    <w:rsid w:val="00F22060"/>
    <w:rsid w:val="00F2345A"/>
    <w:rsid w:val="00F23EA5"/>
    <w:rsid w:val="00F24994"/>
    <w:rsid w:val="00F253D4"/>
    <w:rsid w:val="00F25416"/>
    <w:rsid w:val="00F25DDD"/>
    <w:rsid w:val="00F2607F"/>
    <w:rsid w:val="00F2664C"/>
    <w:rsid w:val="00F2685F"/>
    <w:rsid w:val="00F276CE"/>
    <w:rsid w:val="00F27D53"/>
    <w:rsid w:val="00F306AB"/>
    <w:rsid w:val="00F3145E"/>
    <w:rsid w:val="00F31E47"/>
    <w:rsid w:val="00F32B35"/>
    <w:rsid w:val="00F32C08"/>
    <w:rsid w:val="00F358F5"/>
    <w:rsid w:val="00F375D9"/>
    <w:rsid w:val="00F37650"/>
    <w:rsid w:val="00F4014D"/>
    <w:rsid w:val="00F403A6"/>
    <w:rsid w:val="00F40701"/>
    <w:rsid w:val="00F4070F"/>
    <w:rsid w:val="00F41587"/>
    <w:rsid w:val="00F41A98"/>
    <w:rsid w:val="00F4227D"/>
    <w:rsid w:val="00F424ED"/>
    <w:rsid w:val="00F43936"/>
    <w:rsid w:val="00F461ED"/>
    <w:rsid w:val="00F46265"/>
    <w:rsid w:val="00F467D1"/>
    <w:rsid w:val="00F46FF0"/>
    <w:rsid w:val="00F5073D"/>
    <w:rsid w:val="00F50B6E"/>
    <w:rsid w:val="00F50B71"/>
    <w:rsid w:val="00F50B93"/>
    <w:rsid w:val="00F5194C"/>
    <w:rsid w:val="00F51AD7"/>
    <w:rsid w:val="00F51FD1"/>
    <w:rsid w:val="00F522CD"/>
    <w:rsid w:val="00F52C08"/>
    <w:rsid w:val="00F53453"/>
    <w:rsid w:val="00F53A5C"/>
    <w:rsid w:val="00F563D0"/>
    <w:rsid w:val="00F569DC"/>
    <w:rsid w:val="00F57486"/>
    <w:rsid w:val="00F60924"/>
    <w:rsid w:val="00F611AB"/>
    <w:rsid w:val="00F62090"/>
    <w:rsid w:val="00F6274F"/>
    <w:rsid w:val="00F62A08"/>
    <w:rsid w:val="00F63472"/>
    <w:rsid w:val="00F63B5F"/>
    <w:rsid w:val="00F63D78"/>
    <w:rsid w:val="00F64D1A"/>
    <w:rsid w:val="00F65661"/>
    <w:rsid w:val="00F66DD0"/>
    <w:rsid w:val="00F70682"/>
    <w:rsid w:val="00F70DBF"/>
    <w:rsid w:val="00F71768"/>
    <w:rsid w:val="00F718ED"/>
    <w:rsid w:val="00F735D0"/>
    <w:rsid w:val="00F73B25"/>
    <w:rsid w:val="00F73CAC"/>
    <w:rsid w:val="00F7454D"/>
    <w:rsid w:val="00F74860"/>
    <w:rsid w:val="00F7497A"/>
    <w:rsid w:val="00F74A2C"/>
    <w:rsid w:val="00F74EB8"/>
    <w:rsid w:val="00F75742"/>
    <w:rsid w:val="00F75C67"/>
    <w:rsid w:val="00F760DF"/>
    <w:rsid w:val="00F762DB"/>
    <w:rsid w:val="00F76535"/>
    <w:rsid w:val="00F76FBD"/>
    <w:rsid w:val="00F77C35"/>
    <w:rsid w:val="00F805D3"/>
    <w:rsid w:val="00F80820"/>
    <w:rsid w:val="00F81307"/>
    <w:rsid w:val="00F818FD"/>
    <w:rsid w:val="00F82639"/>
    <w:rsid w:val="00F83805"/>
    <w:rsid w:val="00F850ED"/>
    <w:rsid w:val="00F85687"/>
    <w:rsid w:val="00F85A97"/>
    <w:rsid w:val="00F85CEF"/>
    <w:rsid w:val="00F85EF0"/>
    <w:rsid w:val="00F874B4"/>
    <w:rsid w:val="00F87D00"/>
    <w:rsid w:val="00F8C43B"/>
    <w:rsid w:val="00F90211"/>
    <w:rsid w:val="00F906F3"/>
    <w:rsid w:val="00F91109"/>
    <w:rsid w:val="00F9265E"/>
    <w:rsid w:val="00F9315B"/>
    <w:rsid w:val="00F93389"/>
    <w:rsid w:val="00F93EAC"/>
    <w:rsid w:val="00F94100"/>
    <w:rsid w:val="00F94C31"/>
    <w:rsid w:val="00F94F26"/>
    <w:rsid w:val="00F955FE"/>
    <w:rsid w:val="00F96721"/>
    <w:rsid w:val="00F968F3"/>
    <w:rsid w:val="00F9714C"/>
    <w:rsid w:val="00FA0302"/>
    <w:rsid w:val="00FA09B8"/>
    <w:rsid w:val="00FA1389"/>
    <w:rsid w:val="00FA217C"/>
    <w:rsid w:val="00FA4BFA"/>
    <w:rsid w:val="00FA6E48"/>
    <w:rsid w:val="00FA7043"/>
    <w:rsid w:val="00FA7437"/>
    <w:rsid w:val="00FA7442"/>
    <w:rsid w:val="00FB09EC"/>
    <w:rsid w:val="00FB0ED5"/>
    <w:rsid w:val="00FB16F7"/>
    <w:rsid w:val="00FB3F76"/>
    <w:rsid w:val="00FB4825"/>
    <w:rsid w:val="00FB48E9"/>
    <w:rsid w:val="00FB4DDA"/>
    <w:rsid w:val="00FB4F6A"/>
    <w:rsid w:val="00FB4FD0"/>
    <w:rsid w:val="00FB5594"/>
    <w:rsid w:val="00FB57B1"/>
    <w:rsid w:val="00FB5F15"/>
    <w:rsid w:val="00FB6FA3"/>
    <w:rsid w:val="00FB7447"/>
    <w:rsid w:val="00FC0672"/>
    <w:rsid w:val="00FC0B3A"/>
    <w:rsid w:val="00FC198D"/>
    <w:rsid w:val="00FC1FB8"/>
    <w:rsid w:val="00FC2899"/>
    <w:rsid w:val="00FC3800"/>
    <w:rsid w:val="00FC3AD0"/>
    <w:rsid w:val="00FC3C89"/>
    <w:rsid w:val="00FC3D7B"/>
    <w:rsid w:val="00FC436C"/>
    <w:rsid w:val="00FC4772"/>
    <w:rsid w:val="00FC494F"/>
    <w:rsid w:val="00FC5D25"/>
    <w:rsid w:val="00FC6355"/>
    <w:rsid w:val="00FC63AD"/>
    <w:rsid w:val="00FC64EF"/>
    <w:rsid w:val="00FC7016"/>
    <w:rsid w:val="00FC74D0"/>
    <w:rsid w:val="00FC756D"/>
    <w:rsid w:val="00FC75D2"/>
    <w:rsid w:val="00FD05FC"/>
    <w:rsid w:val="00FD0DBE"/>
    <w:rsid w:val="00FD1281"/>
    <w:rsid w:val="00FD14DB"/>
    <w:rsid w:val="00FD3C30"/>
    <w:rsid w:val="00FD40C2"/>
    <w:rsid w:val="00FD412F"/>
    <w:rsid w:val="00FD5238"/>
    <w:rsid w:val="00FD6550"/>
    <w:rsid w:val="00FD74FF"/>
    <w:rsid w:val="00FD780A"/>
    <w:rsid w:val="00FE0C02"/>
    <w:rsid w:val="00FE123B"/>
    <w:rsid w:val="00FE13EA"/>
    <w:rsid w:val="00FE158D"/>
    <w:rsid w:val="00FE1741"/>
    <w:rsid w:val="00FE242B"/>
    <w:rsid w:val="00FE2CE1"/>
    <w:rsid w:val="00FE2EC2"/>
    <w:rsid w:val="00FE33AD"/>
    <w:rsid w:val="00FE3D66"/>
    <w:rsid w:val="00FE4AF4"/>
    <w:rsid w:val="00FE5617"/>
    <w:rsid w:val="00FE5970"/>
    <w:rsid w:val="00FE5C9E"/>
    <w:rsid w:val="00FE5E6C"/>
    <w:rsid w:val="00FE6763"/>
    <w:rsid w:val="00FE7598"/>
    <w:rsid w:val="00FE760F"/>
    <w:rsid w:val="00FE76D0"/>
    <w:rsid w:val="00FE7D7F"/>
    <w:rsid w:val="00FF127F"/>
    <w:rsid w:val="00FF1E29"/>
    <w:rsid w:val="00FF25D1"/>
    <w:rsid w:val="00FF2C0F"/>
    <w:rsid w:val="00FF2DC8"/>
    <w:rsid w:val="00FF2E38"/>
    <w:rsid w:val="00FF3DE9"/>
    <w:rsid w:val="00FF48F0"/>
    <w:rsid w:val="00FF5296"/>
    <w:rsid w:val="00FF6812"/>
    <w:rsid w:val="00FF7A69"/>
    <w:rsid w:val="00FF7E8F"/>
    <w:rsid w:val="011206A2"/>
    <w:rsid w:val="012041C6"/>
    <w:rsid w:val="01372C0C"/>
    <w:rsid w:val="0164C9EE"/>
    <w:rsid w:val="01766075"/>
    <w:rsid w:val="01EFD633"/>
    <w:rsid w:val="0229F9B7"/>
    <w:rsid w:val="0246EAD7"/>
    <w:rsid w:val="02621BC8"/>
    <w:rsid w:val="026D5ADB"/>
    <w:rsid w:val="027506D0"/>
    <w:rsid w:val="0285CE57"/>
    <w:rsid w:val="02931CB0"/>
    <w:rsid w:val="02977D23"/>
    <w:rsid w:val="02AB1CD0"/>
    <w:rsid w:val="02BB56ED"/>
    <w:rsid w:val="02F612C8"/>
    <w:rsid w:val="030D7693"/>
    <w:rsid w:val="031C8009"/>
    <w:rsid w:val="034CCB08"/>
    <w:rsid w:val="03574E51"/>
    <w:rsid w:val="0361DCE8"/>
    <w:rsid w:val="0364B17D"/>
    <w:rsid w:val="038DB21D"/>
    <w:rsid w:val="03A657D6"/>
    <w:rsid w:val="03A9AB0A"/>
    <w:rsid w:val="03F09767"/>
    <w:rsid w:val="0402B359"/>
    <w:rsid w:val="042B2D5F"/>
    <w:rsid w:val="0460EFDD"/>
    <w:rsid w:val="04825FC8"/>
    <w:rsid w:val="04878522"/>
    <w:rsid w:val="0490B710"/>
    <w:rsid w:val="049A254A"/>
    <w:rsid w:val="04A25301"/>
    <w:rsid w:val="04A3975F"/>
    <w:rsid w:val="04DA65F8"/>
    <w:rsid w:val="04F347C9"/>
    <w:rsid w:val="050C2409"/>
    <w:rsid w:val="050D3637"/>
    <w:rsid w:val="05300AD1"/>
    <w:rsid w:val="055E1C9B"/>
    <w:rsid w:val="0561666F"/>
    <w:rsid w:val="0585D148"/>
    <w:rsid w:val="05A53E98"/>
    <w:rsid w:val="05C6FA82"/>
    <w:rsid w:val="05D4A7B7"/>
    <w:rsid w:val="06A18208"/>
    <w:rsid w:val="070CF2A1"/>
    <w:rsid w:val="070DB249"/>
    <w:rsid w:val="0714CDDA"/>
    <w:rsid w:val="071593C4"/>
    <w:rsid w:val="072341C7"/>
    <w:rsid w:val="072CC8AB"/>
    <w:rsid w:val="07321D06"/>
    <w:rsid w:val="07575E04"/>
    <w:rsid w:val="07799697"/>
    <w:rsid w:val="078E4AA0"/>
    <w:rsid w:val="079948AA"/>
    <w:rsid w:val="07A3C5C5"/>
    <w:rsid w:val="07A6EEB9"/>
    <w:rsid w:val="07AA35F1"/>
    <w:rsid w:val="07CEE146"/>
    <w:rsid w:val="07EDBCDC"/>
    <w:rsid w:val="083A8CCC"/>
    <w:rsid w:val="0841C900"/>
    <w:rsid w:val="0856DFE2"/>
    <w:rsid w:val="08718248"/>
    <w:rsid w:val="0874E831"/>
    <w:rsid w:val="0894C99E"/>
    <w:rsid w:val="08A543E5"/>
    <w:rsid w:val="08A55903"/>
    <w:rsid w:val="08B5CC02"/>
    <w:rsid w:val="08B857C4"/>
    <w:rsid w:val="09045962"/>
    <w:rsid w:val="0923FE66"/>
    <w:rsid w:val="092CCAF4"/>
    <w:rsid w:val="0930C25D"/>
    <w:rsid w:val="097D1185"/>
    <w:rsid w:val="0A0FE774"/>
    <w:rsid w:val="0A153C38"/>
    <w:rsid w:val="0A6E70EA"/>
    <w:rsid w:val="0A89C7F1"/>
    <w:rsid w:val="0A8F305A"/>
    <w:rsid w:val="0A9FF1A4"/>
    <w:rsid w:val="0AADAD9A"/>
    <w:rsid w:val="0AD88DBA"/>
    <w:rsid w:val="0AE34D3C"/>
    <w:rsid w:val="0B0A1553"/>
    <w:rsid w:val="0B17395F"/>
    <w:rsid w:val="0B28C1CB"/>
    <w:rsid w:val="0B40F8F1"/>
    <w:rsid w:val="0B6AC26F"/>
    <w:rsid w:val="0B72C762"/>
    <w:rsid w:val="0B859673"/>
    <w:rsid w:val="0B8A1A24"/>
    <w:rsid w:val="0BA1DD8E"/>
    <w:rsid w:val="0BB7F9BA"/>
    <w:rsid w:val="0BE73722"/>
    <w:rsid w:val="0BFF3911"/>
    <w:rsid w:val="0C090D48"/>
    <w:rsid w:val="0C2137B5"/>
    <w:rsid w:val="0C3847EA"/>
    <w:rsid w:val="0C491AA7"/>
    <w:rsid w:val="0C5B0AEC"/>
    <w:rsid w:val="0C5E2A4A"/>
    <w:rsid w:val="0C6E467E"/>
    <w:rsid w:val="0CA6A90D"/>
    <w:rsid w:val="0CAF56F2"/>
    <w:rsid w:val="0CBEE8F5"/>
    <w:rsid w:val="0CC31B6A"/>
    <w:rsid w:val="0CF9B4EA"/>
    <w:rsid w:val="0D03E00D"/>
    <w:rsid w:val="0D6108AC"/>
    <w:rsid w:val="0D7C0ED4"/>
    <w:rsid w:val="0D9533D7"/>
    <w:rsid w:val="0DCB7B90"/>
    <w:rsid w:val="0DD893BF"/>
    <w:rsid w:val="0E28535B"/>
    <w:rsid w:val="0E427687"/>
    <w:rsid w:val="0E546A0F"/>
    <w:rsid w:val="0E574BC2"/>
    <w:rsid w:val="0E927C88"/>
    <w:rsid w:val="0E9ABB8A"/>
    <w:rsid w:val="0EA6AA2B"/>
    <w:rsid w:val="0EDF8775"/>
    <w:rsid w:val="0F075EE2"/>
    <w:rsid w:val="0F086C89"/>
    <w:rsid w:val="0F0BA0C6"/>
    <w:rsid w:val="0F2E3EBE"/>
    <w:rsid w:val="0F364AED"/>
    <w:rsid w:val="0F62CE2F"/>
    <w:rsid w:val="0F7907BB"/>
    <w:rsid w:val="0F88B3BB"/>
    <w:rsid w:val="0FC15D36"/>
    <w:rsid w:val="0FCAC871"/>
    <w:rsid w:val="0FD0336E"/>
    <w:rsid w:val="0FF54540"/>
    <w:rsid w:val="10503E5F"/>
    <w:rsid w:val="1067C811"/>
    <w:rsid w:val="106C0AA9"/>
    <w:rsid w:val="10B57EF3"/>
    <w:rsid w:val="10DFC2DD"/>
    <w:rsid w:val="10F41844"/>
    <w:rsid w:val="11368F9A"/>
    <w:rsid w:val="11540B38"/>
    <w:rsid w:val="116399CC"/>
    <w:rsid w:val="1226422C"/>
    <w:rsid w:val="123E1E2F"/>
    <w:rsid w:val="1254BBE5"/>
    <w:rsid w:val="125E978D"/>
    <w:rsid w:val="126C2845"/>
    <w:rsid w:val="128F7C85"/>
    <w:rsid w:val="12A7EC21"/>
    <w:rsid w:val="12B304AF"/>
    <w:rsid w:val="12DADD6D"/>
    <w:rsid w:val="12DD2C1E"/>
    <w:rsid w:val="12E6B1C5"/>
    <w:rsid w:val="12E7D534"/>
    <w:rsid w:val="131D2E08"/>
    <w:rsid w:val="1352D0DE"/>
    <w:rsid w:val="136B11D0"/>
    <w:rsid w:val="136F21F2"/>
    <w:rsid w:val="13A94E37"/>
    <w:rsid w:val="13ABC083"/>
    <w:rsid w:val="13D4FFE5"/>
    <w:rsid w:val="13DBD6A6"/>
    <w:rsid w:val="13E4E38F"/>
    <w:rsid w:val="13F3D68D"/>
    <w:rsid w:val="13F5F195"/>
    <w:rsid w:val="140FFEC6"/>
    <w:rsid w:val="1443BC82"/>
    <w:rsid w:val="14532BBF"/>
    <w:rsid w:val="148793C8"/>
    <w:rsid w:val="148C6EDA"/>
    <w:rsid w:val="14995BD2"/>
    <w:rsid w:val="14C44BDA"/>
    <w:rsid w:val="150FA295"/>
    <w:rsid w:val="15141BC0"/>
    <w:rsid w:val="15391894"/>
    <w:rsid w:val="153DC245"/>
    <w:rsid w:val="1568F95D"/>
    <w:rsid w:val="156BD792"/>
    <w:rsid w:val="157C1C49"/>
    <w:rsid w:val="15B0D99F"/>
    <w:rsid w:val="15C66C77"/>
    <w:rsid w:val="15DD0061"/>
    <w:rsid w:val="15DF8CE3"/>
    <w:rsid w:val="15E50F10"/>
    <w:rsid w:val="15F86795"/>
    <w:rsid w:val="15FB7DD3"/>
    <w:rsid w:val="160F6D14"/>
    <w:rsid w:val="1613A179"/>
    <w:rsid w:val="1614A4F5"/>
    <w:rsid w:val="163DCE86"/>
    <w:rsid w:val="16497A8E"/>
    <w:rsid w:val="167600F5"/>
    <w:rsid w:val="16B5FCA5"/>
    <w:rsid w:val="16C828B4"/>
    <w:rsid w:val="16C90921"/>
    <w:rsid w:val="16D8E179"/>
    <w:rsid w:val="170C305C"/>
    <w:rsid w:val="1717AF4D"/>
    <w:rsid w:val="171D570A"/>
    <w:rsid w:val="171D6C3F"/>
    <w:rsid w:val="172B2A3C"/>
    <w:rsid w:val="17408E61"/>
    <w:rsid w:val="17819209"/>
    <w:rsid w:val="17A1ABA4"/>
    <w:rsid w:val="17EA7EA6"/>
    <w:rsid w:val="17F02FD2"/>
    <w:rsid w:val="18142B3C"/>
    <w:rsid w:val="181F7B88"/>
    <w:rsid w:val="182B5838"/>
    <w:rsid w:val="1838053F"/>
    <w:rsid w:val="18717831"/>
    <w:rsid w:val="18A87108"/>
    <w:rsid w:val="18B1B436"/>
    <w:rsid w:val="18D9D3CA"/>
    <w:rsid w:val="18E0DEF6"/>
    <w:rsid w:val="18ED2996"/>
    <w:rsid w:val="190635F0"/>
    <w:rsid w:val="191811F4"/>
    <w:rsid w:val="192489D1"/>
    <w:rsid w:val="196C5A5D"/>
    <w:rsid w:val="197AA526"/>
    <w:rsid w:val="19953799"/>
    <w:rsid w:val="19AEAAC6"/>
    <w:rsid w:val="19B2CCBA"/>
    <w:rsid w:val="19B689C7"/>
    <w:rsid w:val="19C98A80"/>
    <w:rsid w:val="19DFA24F"/>
    <w:rsid w:val="19E318FD"/>
    <w:rsid w:val="19F6216A"/>
    <w:rsid w:val="1A170985"/>
    <w:rsid w:val="1A2D70A1"/>
    <w:rsid w:val="1A3A16BD"/>
    <w:rsid w:val="1A3ECC21"/>
    <w:rsid w:val="1A444169"/>
    <w:rsid w:val="1A453C6F"/>
    <w:rsid w:val="1A516B6D"/>
    <w:rsid w:val="1A6E0728"/>
    <w:rsid w:val="1A758711"/>
    <w:rsid w:val="1A856861"/>
    <w:rsid w:val="1A92C2CC"/>
    <w:rsid w:val="1AB5C53B"/>
    <w:rsid w:val="1AE974A5"/>
    <w:rsid w:val="1B77480D"/>
    <w:rsid w:val="1B8D3F00"/>
    <w:rsid w:val="1B9123CA"/>
    <w:rsid w:val="1B92B17C"/>
    <w:rsid w:val="1B940AA0"/>
    <w:rsid w:val="1BAF4F11"/>
    <w:rsid w:val="1BC9D213"/>
    <w:rsid w:val="1BF1C46F"/>
    <w:rsid w:val="1C25732F"/>
    <w:rsid w:val="1C3534DC"/>
    <w:rsid w:val="1C6B8549"/>
    <w:rsid w:val="1C7EA27C"/>
    <w:rsid w:val="1C80D1EC"/>
    <w:rsid w:val="1C9EDDD2"/>
    <w:rsid w:val="1CC79E00"/>
    <w:rsid w:val="1CF80540"/>
    <w:rsid w:val="1D0E7C29"/>
    <w:rsid w:val="1D171AE6"/>
    <w:rsid w:val="1D3B461E"/>
    <w:rsid w:val="1D3DA94F"/>
    <w:rsid w:val="1D43152A"/>
    <w:rsid w:val="1D7E0AFA"/>
    <w:rsid w:val="1D83DE68"/>
    <w:rsid w:val="1D9EFB0E"/>
    <w:rsid w:val="1DB3026B"/>
    <w:rsid w:val="1DBCA17A"/>
    <w:rsid w:val="1E01CE19"/>
    <w:rsid w:val="1E2112F1"/>
    <w:rsid w:val="1E411B8C"/>
    <w:rsid w:val="1E5C4EB5"/>
    <w:rsid w:val="1E78723E"/>
    <w:rsid w:val="1E7CEDF3"/>
    <w:rsid w:val="1E863232"/>
    <w:rsid w:val="1E8C28EE"/>
    <w:rsid w:val="1E94BA0A"/>
    <w:rsid w:val="1E9C86F3"/>
    <w:rsid w:val="1F311EC3"/>
    <w:rsid w:val="1F410BF0"/>
    <w:rsid w:val="1F870BA3"/>
    <w:rsid w:val="1F8ED89E"/>
    <w:rsid w:val="1FBF7157"/>
    <w:rsid w:val="1FC69A44"/>
    <w:rsid w:val="1FDCEBED"/>
    <w:rsid w:val="200CD289"/>
    <w:rsid w:val="201B43FD"/>
    <w:rsid w:val="201C8C7B"/>
    <w:rsid w:val="203E7C67"/>
    <w:rsid w:val="205A8382"/>
    <w:rsid w:val="205C1F79"/>
    <w:rsid w:val="2069648C"/>
    <w:rsid w:val="206DA734"/>
    <w:rsid w:val="208DA3EF"/>
    <w:rsid w:val="20D425C7"/>
    <w:rsid w:val="20F83C73"/>
    <w:rsid w:val="20F8C953"/>
    <w:rsid w:val="2105F384"/>
    <w:rsid w:val="215178C1"/>
    <w:rsid w:val="216B432E"/>
    <w:rsid w:val="2179FE41"/>
    <w:rsid w:val="221F7263"/>
    <w:rsid w:val="22261E50"/>
    <w:rsid w:val="22325391"/>
    <w:rsid w:val="22680C7D"/>
    <w:rsid w:val="22844F96"/>
    <w:rsid w:val="22931356"/>
    <w:rsid w:val="22A6CC9D"/>
    <w:rsid w:val="22B124DD"/>
    <w:rsid w:val="22CBAED0"/>
    <w:rsid w:val="22D1BBEC"/>
    <w:rsid w:val="22DED99C"/>
    <w:rsid w:val="22ED4922"/>
    <w:rsid w:val="22F26599"/>
    <w:rsid w:val="234437B5"/>
    <w:rsid w:val="237DC2C5"/>
    <w:rsid w:val="23C19BDD"/>
    <w:rsid w:val="23C72F36"/>
    <w:rsid w:val="23C86303"/>
    <w:rsid w:val="23D3BC24"/>
    <w:rsid w:val="23E4FC0B"/>
    <w:rsid w:val="23E6512D"/>
    <w:rsid w:val="24379C2F"/>
    <w:rsid w:val="244046F4"/>
    <w:rsid w:val="24820217"/>
    <w:rsid w:val="24A084FE"/>
    <w:rsid w:val="24CF25A6"/>
    <w:rsid w:val="24D39B88"/>
    <w:rsid w:val="24F201EB"/>
    <w:rsid w:val="250ACAC6"/>
    <w:rsid w:val="2525D9A1"/>
    <w:rsid w:val="257D3E63"/>
    <w:rsid w:val="25B04D90"/>
    <w:rsid w:val="25B31219"/>
    <w:rsid w:val="25C179EB"/>
    <w:rsid w:val="25EE7FBA"/>
    <w:rsid w:val="26537606"/>
    <w:rsid w:val="26548703"/>
    <w:rsid w:val="26560239"/>
    <w:rsid w:val="265836CE"/>
    <w:rsid w:val="268EE52B"/>
    <w:rsid w:val="26B27D8A"/>
    <w:rsid w:val="26E126FB"/>
    <w:rsid w:val="271E1DEF"/>
    <w:rsid w:val="2739DA06"/>
    <w:rsid w:val="274E8F7A"/>
    <w:rsid w:val="2770A9C8"/>
    <w:rsid w:val="27D11653"/>
    <w:rsid w:val="282029CB"/>
    <w:rsid w:val="28303DDC"/>
    <w:rsid w:val="28520B64"/>
    <w:rsid w:val="28542AA7"/>
    <w:rsid w:val="286238B9"/>
    <w:rsid w:val="286C1BA4"/>
    <w:rsid w:val="28895931"/>
    <w:rsid w:val="288CE1E4"/>
    <w:rsid w:val="28BBE82B"/>
    <w:rsid w:val="28C0A324"/>
    <w:rsid w:val="28CCF66F"/>
    <w:rsid w:val="28F5DD8B"/>
    <w:rsid w:val="29085036"/>
    <w:rsid w:val="291D477F"/>
    <w:rsid w:val="29339A2D"/>
    <w:rsid w:val="2937B824"/>
    <w:rsid w:val="29623761"/>
    <w:rsid w:val="296FB9E9"/>
    <w:rsid w:val="2976C73E"/>
    <w:rsid w:val="29A21A22"/>
    <w:rsid w:val="29CF8F13"/>
    <w:rsid w:val="29F7BE5D"/>
    <w:rsid w:val="2A0A0307"/>
    <w:rsid w:val="2A25F1F7"/>
    <w:rsid w:val="2A3240AF"/>
    <w:rsid w:val="2A37402A"/>
    <w:rsid w:val="2A3F18F6"/>
    <w:rsid w:val="2A4BC58F"/>
    <w:rsid w:val="2A58FDDC"/>
    <w:rsid w:val="2A599861"/>
    <w:rsid w:val="2A6E11C1"/>
    <w:rsid w:val="2A751E09"/>
    <w:rsid w:val="2A8246B6"/>
    <w:rsid w:val="2A9CA06F"/>
    <w:rsid w:val="2AAD6D11"/>
    <w:rsid w:val="2AB0C28D"/>
    <w:rsid w:val="2ABEE443"/>
    <w:rsid w:val="2AEBDB75"/>
    <w:rsid w:val="2B2EA189"/>
    <w:rsid w:val="2B3A089D"/>
    <w:rsid w:val="2B71811D"/>
    <w:rsid w:val="2BA7F08A"/>
    <w:rsid w:val="2BA87C2D"/>
    <w:rsid w:val="2BE65EAD"/>
    <w:rsid w:val="2C3E84B3"/>
    <w:rsid w:val="2C3F203C"/>
    <w:rsid w:val="2C43AB5D"/>
    <w:rsid w:val="2C50D422"/>
    <w:rsid w:val="2C6A99FF"/>
    <w:rsid w:val="2C6EB9A8"/>
    <w:rsid w:val="2C7B00B9"/>
    <w:rsid w:val="2C7FBFD7"/>
    <w:rsid w:val="2C830A99"/>
    <w:rsid w:val="2C8DB2FF"/>
    <w:rsid w:val="2C9EFE9D"/>
    <w:rsid w:val="2CA36899"/>
    <w:rsid w:val="2CA7EA75"/>
    <w:rsid w:val="2CBA0D71"/>
    <w:rsid w:val="2CE36937"/>
    <w:rsid w:val="2D3B09E9"/>
    <w:rsid w:val="2D452916"/>
    <w:rsid w:val="2D7A8542"/>
    <w:rsid w:val="2D87844A"/>
    <w:rsid w:val="2D89494F"/>
    <w:rsid w:val="2DC8C276"/>
    <w:rsid w:val="2DD18756"/>
    <w:rsid w:val="2DE70DEF"/>
    <w:rsid w:val="2DF3B268"/>
    <w:rsid w:val="2E020223"/>
    <w:rsid w:val="2E224DD3"/>
    <w:rsid w:val="2E2ADE95"/>
    <w:rsid w:val="2E499565"/>
    <w:rsid w:val="2E4E801A"/>
    <w:rsid w:val="2E59AD60"/>
    <w:rsid w:val="2E5BF4CA"/>
    <w:rsid w:val="2E64717F"/>
    <w:rsid w:val="2E6CA08B"/>
    <w:rsid w:val="2E6D9F3F"/>
    <w:rsid w:val="2E831474"/>
    <w:rsid w:val="2E8CC937"/>
    <w:rsid w:val="2EAFF494"/>
    <w:rsid w:val="2EC77A98"/>
    <w:rsid w:val="2F17D9EC"/>
    <w:rsid w:val="2F23E3F8"/>
    <w:rsid w:val="2F244858"/>
    <w:rsid w:val="2F2B21B9"/>
    <w:rsid w:val="2F81F028"/>
    <w:rsid w:val="2F90F100"/>
    <w:rsid w:val="2FBE1E34"/>
    <w:rsid w:val="2FCA87A2"/>
    <w:rsid w:val="2FD180EC"/>
    <w:rsid w:val="2FD22A90"/>
    <w:rsid w:val="2FD73175"/>
    <w:rsid w:val="2FF58201"/>
    <w:rsid w:val="300870EC"/>
    <w:rsid w:val="30159778"/>
    <w:rsid w:val="3040394A"/>
    <w:rsid w:val="304047C4"/>
    <w:rsid w:val="3060FB60"/>
    <w:rsid w:val="3062248C"/>
    <w:rsid w:val="307AAAE2"/>
    <w:rsid w:val="3092D3BF"/>
    <w:rsid w:val="30A2E2C6"/>
    <w:rsid w:val="30BFB54F"/>
    <w:rsid w:val="30C81257"/>
    <w:rsid w:val="30D0809A"/>
    <w:rsid w:val="30E24D84"/>
    <w:rsid w:val="31437574"/>
    <w:rsid w:val="315B79AC"/>
    <w:rsid w:val="31724A91"/>
    <w:rsid w:val="3174DA47"/>
    <w:rsid w:val="317B9536"/>
    <w:rsid w:val="31804FD7"/>
    <w:rsid w:val="318A54CC"/>
    <w:rsid w:val="319AE514"/>
    <w:rsid w:val="31BC0253"/>
    <w:rsid w:val="31E09981"/>
    <w:rsid w:val="321F449F"/>
    <w:rsid w:val="322CF0BC"/>
    <w:rsid w:val="323FB9E1"/>
    <w:rsid w:val="324C9388"/>
    <w:rsid w:val="325C28CC"/>
    <w:rsid w:val="326351EC"/>
    <w:rsid w:val="327C9605"/>
    <w:rsid w:val="329BEA16"/>
    <w:rsid w:val="32B88CCC"/>
    <w:rsid w:val="32B9D58C"/>
    <w:rsid w:val="32EFE295"/>
    <w:rsid w:val="32F1465A"/>
    <w:rsid w:val="3329155B"/>
    <w:rsid w:val="3345318F"/>
    <w:rsid w:val="334B37CE"/>
    <w:rsid w:val="3363C116"/>
    <w:rsid w:val="337BD26D"/>
    <w:rsid w:val="3387C9C6"/>
    <w:rsid w:val="339710B7"/>
    <w:rsid w:val="339952DF"/>
    <w:rsid w:val="33CD32E1"/>
    <w:rsid w:val="33F51E54"/>
    <w:rsid w:val="341AFD52"/>
    <w:rsid w:val="34D2943E"/>
    <w:rsid w:val="34DB7DA1"/>
    <w:rsid w:val="35278CFC"/>
    <w:rsid w:val="35317507"/>
    <w:rsid w:val="354A94BA"/>
    <w:rsid w:val="358609FF"/>
    <w:rsid w:val="3597CCA7"/>
    <w:rsid w:val="35D67234"/>
    <w:rsid w:val="35DF9A27"/>
    <w:rsid w:val="35E8F323"/>
    <w:rsid w:val="361ACCA3"/>
    <w:rsid w:val="36683B76"/>
    <w:rsid w:val="368A64F0"/>
    <w:rsid w:val="36AF7156"/>
    <w:rsid w:val="36B5EBC4"/>
    <w:rsid w:val="36E6CBD6"/>
    <w:rsid w:val="37083792"/>
    <w:rsid w:val="371CABF5"/>
    <w:rsid w:val="37292764"/>
    <w:rsid w:val="37789A59"/>
    <w:rsid w:val="377CF511"/>
    <w:rsid w:val="37849DC0"/>
    <w:rsid w:val="378E6E71"/>
    <w:rsid w:val="37966A01"/>
    <w:rsid w:val="3799DB2D"/>
    <w:rsid w:val="379BEC2E"/>
    <w:rsid w:val="37AD8EA0"/>
    <w:rsid w:val="37B6FC17"/>
    <w:rsid w:val="37C8013D"/>
    <w:rsid w:val="38067C23"/>
    <w:rsid w:val="381E538B"/>
    <w:rsid w:val="383D91E6"/>
    <w:rsid w:val="384B16D9"/>
    <w:rsid w:val="384E237F"/>
    <w:rsid w:val="385A62A4"/>
    <w:rsid w:val="3873C8F7"/>
    <w:rsid w:val="38755DC6"/>
    <w:rsid w:val="38A53426"/>
    <w:rsid w:val="38CDE886"/>
    <w:rsid w:val="38D6CA4E"/>
    <w:rsid w:val="38FE9B99"/>
    <w:rsid w:val="3901140E"/>
    <w:rsid w:val="392FCB80"/>
    <w:rsid w:val="3934F446"/>
    <w:rsid w:val="3937AE01"/>
    <w:rsid w:val="393B304D"/>
    <w:rsid w:val="3985B5A4"/>
    <w:rsid w:val="399E5365"/>
    <w:rsid w:val="39B62B97"/>
    <w:rsid w:val="39D9955B"/>
    <w:rsid w:val="39FD4C6F"/>
    <w:rsid w:val="3A28EED1"/>
    <w:rsid w:val="3A38AE2A"/>
    <w:rsid w:val="3A96B2B9"/>
    <w:rsid w:val="3AA9CEED"/>
    <w:rsid w:val="3AAAE30C"/>
    <w:rsid w:val="3AC702F7"/>
    <w:rsid w:val="3ACBF502"/>
    <w:rsid w:val="3ACFD890"/>
    <w:rsid w:val="3AD79D44"/>
    <w:rsid w:val="3B18313E"/>
    <w:rsid w:val="3B8418C4"/>
    <w:rsid w:val="3BA43CBF"/>
    <w:rsid w:val="3BAC42CF"/>
    <w:rsid w:val="3BC9B8D1"/>
    <w:rsid w:val="3BE74F4A"/>
    <w:rsid w:val="3BFEE7C5"/>
    <w:rsid w:val="3BFF5BD6"/>
    <w:rsid w:val="3C231503"/>
    <w:rsid w:val="3C2362C3"/>
    <w:rsid w:val="3C3EB131"/>
    <w:rsid w:val="3C65F0C7"/>
    <w:rsid w:val="3C6C968A"/>
    <w:rsid w:val="3CE38769"/>
    <w:rsid w:val="3CFB1542"/>
    <w:rsid w:val="3D0A2254"/>
    <w:rsid w:val="3D2C3A5A"/>
    <w:rsid w:val="3D3B37DC"/>
    <w:rsid w:val="3D3E5424"/>
    <w:rsid w:val="3D53F32E"/>
    <w:rsid w:val="3D5BEAE9"/>
    <w:rsid w:val="3D6263A7"/>
    <w:rsid w:val="3D65315F"/>
    <w:rsid w:val="3D6A1B1C"/>
    <w:rsid w:val="3D8A3677"/>
    <w:rsid w:val="3D8A9F88"/>
    <w:rsid w:val="3D8E2082"/>
    <w:rsid w:val="3D91198B"/>
    <w:rsid w:val="3DB68F1C"/>
    <w:rsid w:val="3DCB21E4"/>
    <w:rsid w:val="3DD82025"/>
    <w:rsid w:val="3E428C42"/>
    <w:rsid w:val="3E43F162"/>
    <w:rsid w:val="3E8EF1CD"/>
    <w:rsid w:val="3EB579B6"/>
    <w:rsid w:val="3EC9606C"/>
    <w:rsid w:val="3F06E140"/>
    <w:rsid w:val="3F1D948F"/>
    <w:rsid w:val="3F1E3800"/>
    <w:rsid w:val="3F65A37A"/>
    <w:rsid w:val="3F76D974"/>
    <w:rsid w:val="3FD77E1F"/>
    <w:rsid w:val="3FEA9F7E"/>
    <w:rsid w:val="400EF6CC"/>
    <w:rsid w:val="404882C7"/>
    <w:rsid w:val="40601043"/>
    <w:rsid w:val="40C5B91F"/>
    <w:rsid w:val="40EE9248"/>
    <w:rsid w:val="40FC78E8"/>
    <w:rsid w:val="41066D51"/>
    <w:rsid w:val="4133AFA9"/>
    <w:rsid w:val="414C93E2"/>
    <w:rsid w:val="4193C90B"/>
    <w:rsid w:val="41A8D22A"/>
    <w:rsid w:val="41E189E8"/>
    <w:rsid w:val="41E68320"/>
    <w:rsid w:val="41FACEFD"/>
    <w:rsid w:val="421CE4EC"/>
    <w:rsid w:val="4233D2AC"/>
    <w:rsid w:val="427ADA69"/>
    <w:rsid w:val="428C1260"/>
    <w:rsid w:val="42EB1BCB"/>
    <w:rsid w:val="430AC251"/>
    <w:rsid w:val="43436B15"/>
    <w:rsid w:val="434566F6"/>
    <w:rsid w:val="43825381"/>
    <w:rsid w:val="43AE3B30"/>
    <w:rsid w:val="43EC821B"/>
    <w:rsid w:val="4421B5AE"/>
    <w:rsid w:val="442FF8C0"/>
    <w:rsid w:val="4464084A"/>
    <w:rsid w:val="449840EA"/>
    <w:rsid w:val="449CFA37"/>
    <w:rsid w:val="449F5B28"/>
    <w:rsid w:val="44BFE9F9"/>
    <w:rsid w:val="44C16F6A"/>
    <w:rsid w:val="44F23F1A"/>
    <w:rsid w:val="44F57723"/>
    <w:rsid w:val="4502DCA0"/>
    <w:rsid w:val="4524BB3A"/>
    <w:rsid w:val="4539FCB8"/>
    <w:rsid w:val="458C9105"/>
    <w:rsid w:val="459786BE"/>
    <w:rsid w:val="459B60F8"/>
    <w:rsid w:val="459B8DAF"/>
    <w:rsid w:val="45C00357"/>
    <w:rsid w:val="45C826F8"/>
    <w:rsid w:val="45EA795B"/>
    <w:rsid w:val="462E68E5"/>
    <w:rsid w:val="467A7FC0"/>
    <w:rsid w:val="46B9F443"/>
    <w:rsid w:val="46BBBAAB"/>
    <w:rsid w:val="46C058CA"/>
    <w:rsid w:val="46EF53FF"/>
    <w:rsid w:val="46F01D38"/>
    <w:rsid w:val="4709B39B"/>
    <w:rsid w:val="470E815F"/>
    <w:rsid w:val="470FF0BA"/>
    <w:rsid w:val="47554DF5"/>
    <w:rsid w:val="479C523E"/>
    <w:rsid w:val="47ACA2CB"/>
    <w:rsid w:val="47C2BF62"/>
    <w:rsid w:val="48170DA5"/>
    <w:rsid w:val="481E9CE1"/>
    <w:rsid w:val="4866C8C1"/>
    <w:rsid w:val="4867AA90"/>
    <w:rsid w:val="48821CAE"/>
    <w:rsid w:val="489E1B32"/>
    <w:rsid w:val="48AA2B62"/>
    <w:rsid w:val="48AA5976"/>
    <w:rsid w:val="48B035A4"/>
    <w:rsid w:val="48E97BA0"/>
    <w:rsid w:val="48F4E544"/>
    <w:rsid w:val="48F5159F"/>
    <w:rsid w:val="4904C278"/>
    <w:rsid w:val="49244EA4"/>
    <w:rsid w:val="4952564F"/>
    <w:rsid w:val="4966C630"/>
    <w:rsid w:val="496EDB53"/>
    <w:rsid w:val="49725D99"/>
    <w:rsid w:val="4987D5BE"/>
    <w:rsid w:val="4999CDEC"/>
    <w:rsid w:val="49A1DB08"/>
    <w:rsid w:val="49AB4F3F"/>
    <w:rsid w:val="49B3B6ED"/>
    <w:rsid w:val="49C30618"/>
    <w:rsid w:val="49D34548"/>
    <w:rsid w:val="4A116052"/>
    <w:rsid w:val="4A134858"/>
    <w:rsid w:val="4A2390C2"/>
    <w:rsid w:val="4A597726"/>
    <w:rsid w:val="4A5FB031"/>
    <w:rsid w:val="4A76B230"/>
    <w:rsid w:val="4A978B20"/>
    <w:rsid w:val="4AA392D9"/>
    <w:rsid w:val="4AAC66C2"/>
    <w:rsid w:val="4AD17A43"/>
    <w:rsid w:val="4AD5B5EE"/>
    <w:rsid w:val="4AE12CB0"/>
    <w:rsid w:val="4AEE7DFA"/>
    <w:rsid w:val="4B012539"/>
    <w:rsid w:val="4B122AC3"/>
    <w:rsid w:val="4B266071"/>
    <w:rsid w:val="4B69CB92"/>
    <w:rsid w:val="4BAF0E94"/>
    <w:rsid w:val="4BCB7870"/>
    <w:rsid w:val="4BF044A3"/>
    <w:rsid w:val="4BFFC9B3"/>
    <w:rsid w:val="4C23483D"/>
    <w:rsid w:val="4C3CD05F"/>
    <w:rsid w:val="4C7A3B9A"/>
    <w:rsid w:val="4C8DA669"/>
    <w:rsid w:val="4C97415C"/>
    <w:rsid w:val="4CCFB965"/>
    <w:rsid w:val="4CD5B3F2"/>
    <w:rsid w:val="4CDAF053"/>
    <w:rsid w:val="4CF63B73"/>
    <w:rsid w:val="4D039DED"/>
    <w:rsid w:val="4D56A495"/>
    <w:rsid w:val="4D673FA5"/>
    <w:rsid w:val="4D735F55"/>
    <w:rsid w:val="4D9B319B"/>
    <w:rsid w:val="4DAD86E3"/>
    <w:rsid w:val="4DCF8053"/>
    <w:rsid w:val="4DCFC17E"/>
    <w:rsid w:val="4DED0E55"/>
    <w:rsid w:val="4DED4444"/>
    <w:rsid w:val="4E03ADCD"/>
    <w:rsid w:val="4E22D797"/>
    <w:rsid w:val="4E4DF917"/>
    <w:rsid w:val="4E5ACD9B"/>
    <w:rsid w:val="4E694610"/>
    <w:rsid w:val="4E7D2D9D"/>
    <w:rsid w:val="4E811989"/>
    <w:rsid w:val="4E849595"/>
    <w:rsid w:val="4E9825AD"/>
    <w:rsid w:val="4EA5B6FC"/>
    <w:rsid w:val="4EB09C16"/>
    <w:rsid w:val="4EC1ED60"/>
    <w:rsid w:val="4ED52AB2"/>
    <w:rsid w:val="4F0A71FF"/>
    <w:rsid w:val="4F17D249"/>
    <w:rsid w:val="4F320FF8"/>
    <w:rsid w:val="4F5E8C23"/>
    <w:rsid w:val="4F6CE24B"/>
    <w:rsid w:val="4F798E72"/>
    <w:rsid w:val="4F8DF199"/>
    <w:rsid w:val="4F95BB4B"/>
    <w:rsid w:val="4FA46716"/>
    <w:rsid w:val="4FA7DAA8"/>
    <w:rsid w:val="4FB4945B"/>
    <w:rsid w:val="4FC90983"/>
    <w:rsid w:val="4FDE8239"/>
    <w:rsid w:val="50141006"/>
    <w:rsid w:val="501E32FB"/>
    <w:rsid w:val="5048FB9C"/>
    <w:rsid w:val="506639B1"/>
    <w:rsid w:val="50A343F2"/>
    <w:rsid w:val="50D338AF"/>
    <w:rsid w:val="51018353"/>
    <w:rsid w:val="510CF333"/>
    <w:rsid w:val="510E44D7"/>
    <w:rsid w:val="51192468"/>
    <w:rsid w:val="51277969"/>
    <w:rsid w:val="513BB088"/>
    <w:rsid w:val="513C1401"/>
    <w:rsid w:val="51495133"/>
    <w:rsid w:val="514C8866"/>
    <w:rsid w:val="515AFE03"/>
    <w:rsid w:val="5187C5FF"/>
    <w:rsid w:val="5188EEB5"/>
    <w:rsid w:val="5197805C"/>
    <w:rsid w:val="519C0933"/>
    <w:rsid w:val="51D019A2"/>
    <w:rsid w:val="51D1BB4E"/>
    <w:rsid w:val="51DDD79F"/>
    <w:rsid w:val="52116A6A"/>
    <w:rsid w:val="52353D6A"/>
    <w:rsid w:val="524A9770"/>
    <w:rsid w:val="52605198"/>
    <w:rsid w:val="52960DA5"/>
    <w:rsid w:val="52BB1BAD"/>
    <w:rsid w:val="52D31F56"/>
    <w:rsid w:val="52DEF04E"/>
    <w:rsid w:val="530DBE1D"/>
    <w:rsid w:val="531BF68E"/>
    <w:rsid w:val="53239660"/>
    <w:rsid w:val="5324F9FF"/>
    <w:rsid w:val="53384C96"/>
    <w:rsid w:val="5387DA66"/>
    <w:rsid w:val="53D12F60"/>
    <w:rsid w:val="53FE2088"/>
    <w:rsid w:val="542FC7E3"/>
    <w:rsid w:val="5445234D"/>
    <w:rsid w:val="5451E1AA"/>
    <w:rsid w:val="54A1D911"/>
    <w:rsid w:val="54AD603E"/>
    <w:rsid w:val="54C0ED22"/>
    <w:rsid w:val="54C7573B"/>
    <w:rsid w:val="54C84E72"/>
    <w:rsid w:val="54D10FC3"/>
    <w:rsid w:val="54EB23F4"/>
    <w:rsid w:val="55113B32"/>
    <w:rsid w:val="55348515"/>
    <w:rsid w:val="55443B55"/>
    <w:rsid w:val="5563437A"/>
    <w:rsid w:val="556625D0"/>
    <w:rsid w:val="5579646E"/>
    <w:rsid w:val="55A3A222"/>
    <w:rsid w:val="55ADDD0F"/>
    <w:rsid w:val="55B6A032"/>
    <w:rsid w:val="55CD1006"/>
    <w:rsid w:val="55E33844"/>
    <w:rsid w:val="562A155E"/>
    <w:rsid w:val="56455EDF"/>
    <w:rsid w:val="564AAE52"/>
    <w:rsid w:val="5666E405"/>
    <w:rsid w:val="568275EE"/>
    <w:rsid w:val="5695B3FF"/>
    <w:rsid w:val="56B31D5A"/>
    <w:rsid w:val="570DDA63"/>
    <w:rsid w:val="57269249"/>
    <w:rsid w:val="575B5C86"/>
    <w:rsid w:val="5760DD80"/>
    <w:rsid w:val="577B128A"/>
    <w:rsid w:val="57B2A701"/>
    <w:rsid w:val="57E00715"/>
    <w:rsid w:val="57F5433E"/>
    <w:rsid w:val="58586342"/>
    <w:rsid w:val="58E2CB45"/>
    <w:rsid w:val="58F271C0"/>
    <w:rsid w:val="58FD46AB"/>
    <w:rsid w:val="59113A5E"/>
    <w:rsid w:val="5937C01B"/>
    <w:rsid w:val="5948FA9A"/>
    <w:rsid w:val="594B0B7A"/>
    <w:rsid w:val="599152C4"/>
    <w:rsid w:val="59948A02"/>
    <w:rsid w:val="5994DAD4"/>
    <w:rsid w:val="59978D6A"/>
    <w:rsid w:val="599CB082"/>
    <w:rsid w:val="59B6D1FC"/>
    <w:rsid w:val="59E9A5C1"/>
    <w:rsid w:val="59F044A7"/>
    <w:rsid w:val="59FDF2B5"/>
    <w:rsid w:val="5A07087A"/>
    <w:rsid w:val="5A079AE0"/>
    <w:rsid w:val="5A0B092A"/>
    <w:rsid w:val="5A225BF0"/>
    <w:rsid w:val="5A4DA05B"/>
    <w:rsid w:val="5A60999A"/>
    <w:rsid w:val="5A76E24D"/>
    <w:rsid w:val="5A7A4501"/>
    <w:rsid w:val="5A92FBA6"/>
    <w:rsid w:val="5AB177C0"/>
    <w:rsid w:val="5ABF20F4"/>
    <w:rsid w:val="5AD5C8F0"/>
    <w:rsid w:val="5AEA2BA8"/>
    <w:rsid w:val="5AF8A2E0"/>
    <w:rsid w:val="5B3B4495"/>
    <w:rsid w:val="5B6857AE"/>
    <w:rsid w:val="5B69F547"/>
    <w:rsid w:val="5B819DAC"/>
    <w:rsid w:val="5B9251B9"/>
    <w:rsid w:val="5BA59D8E"/>
    <w:rsid w:val="5BFBBCC5"/>
    <w:rsid w:val="5C0B178B"/>
    <w:rsid w:val="5C1DF091"/>
    <w:rsid w:val="5C1FFFF0"/>
    <w:rsid w:val="5C226338"/>
    <w:rsid w:val="5C28B3CC"/>
    <w:rsid w:val="5C3CECE0"/>
    <w:rsid w:val="5C584D07"/>
    <w:rsid w:val="5C750817"/>
    <w:rsid w:val="5C96A888"/>
    <w:rsid w:val="5CC7EC81"/>
    <w:rsid w:val="5CDB4AEC"/>
    <w:rsid w:val="5D0655E0"/>
    <w:rsid w:val="5D25CE5F"/>
    <w:rsid w:val="5D35DE89"/>
    <w:rsid w:val="5D4A9C1F"/>
    <w:rsid w:val="5D4B35D4"/>
    <w:rsid w:val="5D7E2288"/>
    <w:rsid w:val="5DC3CCE8"/>
    <w:rsid w:val="5DD92EB1"/>
    <w:rsid w:val="5E04A04D"/>
    <w:rsid w:val="5E0A8D13"/>
    <w:rsid w:val="5E1979D5"/>
    <w:rsid w:val="5E26144D"/>
    <w:rsid w:val="5E585807"/>
    <w:rsid w:val="5E75E357"/>
    <w:rsid w:val="5E868DA2"/>
    <w:rsid w:val="5E9E9905"/>
    <w:rsid w:val="5EA9439F"/>
    <w:rsid w:val="5EBBACB0"/>
    <w:rsid w:val="5EBE98B7"/>
    <w:rsid w:val="5EC2FFD7"/>
    <w:rsid w:val="5ED862E1"/>
    <w:rsid w:val="5EFC64AC"/>
    <w:rsid w:val="5EFD836F"/>
    <w:rsid w:val="5F03F0D3"/>
    <w:rsid w:val="5F1C232F"/>
    <w:rsid w:val="5F7FB421"/>
    <w:rsid w:val="5F86FE5B"/>
    <w:rsid w:val="5F8FA902"/>
    <w:rsid w:val="5F9EAFF2"/>
    <w:rsid w:val="5FA11B26"/>
    <w:rsid w:val="5FA11EED"/>
    <w:rsid w:val="5FAEA7A1"/>
    <w:rsid w:val="5FD7160E"/>
    <w:rsid w:val="5FD936BA"/>
    <w:rsid w:val="603D6FCE"/>
    <w:rsid w:val="604D18F1"/>
    <w:rsid w:val="605837A2"/>
    <w:rsid w:val="60A6A7CD"/>
    <w:rsid w:val="60A7AB81"/>
    <w:rsid w:val="60B5BF34"/>
    <w:rsid w:val="60FA546E"/>
    <w:rsid w:val="615999E5"/>
    <w:rsid w:val="6192C35A"/>
    <w:rsid w:val="61D0835B"/>
    <w:rsid w:val="61F7BFE4"/>
    <w:rsid w:val="620E1BD6"/>
    <w:rsid w:val="62248BCE"/>
    <w:rsid w:val="62349F98"/>
    <w:rsid w:val="624B428C"/>
    <w:rsid w:val="627B14C8"/>
    <w:rsid w:val="627C0EFE"/>
    <w:rsid w:val="6287E11E"/>
    <w:rsid w:val="62A85C64"/>
    <w:rsid w:val="62CBECA2"/>
    <w:rsid w:val="62D10885"/>
    <w:rsid w:val="62E4399C"/>
    <w:rsid w:val="62EAD29E"/>
    <w:rsid w:val="634CAB20"/>
    <w:rsid w:val="636BE088"/>
    <w:rsid w:val="637E75C3"/>
    <w:rsid w:val="6396CFC6"/>
    <w:rsid w:val="63994320"/>
    <w:rsid w:val="63B16C9D"/>
    <w:rsid w:val="63D59ADB"/>
    <w:rsid w:val="63F2A55F"/>
    <w:rsid w:val="64017DE9"/>
    <w:rsid w:val="64383946"/>
    <w:rsid w:val="6476A4A6"/>
    <w:rsid w:val="64B201D6"/>
    <w:rsid w:val="64B3C0B0"/>
    <w:rsid w:val="64DCC531"/>
    <w:rsid w:val="64FB5FBB"/>
    <w:rsid w:val="6501F3BF"/>
    <w:rsid w:val="650FA7C0"/>
    <w:rsid w:val="6511109E"/>
    <w:rsid w:val="6515CB33"/>
    <w:rsid w:val="652C437D"/>
    <w:rsid w:val="652DB35B"/>
    <w:rsid w:val="653E36B0"/>
    <w:rsid w:val="654A7A2E"/>
    <w:rsid w:val="654FEDA8"/>
    <w:rsid w:val="6561CF9D"/>
    <w:rsid w:val="656BE15B"/>
    <w:rsid w:val="65A01929"/>
    <w:rsid w:val="65AE61E3"/>
    <w:rsid w:val="65B23DF6"/>
    <w:rsid w:val="65BE9F34"/>
    <w:rsid w:val="65D99EE1"/>
    <w:rsid w:val="65DDD009"/>
    <w:rsid w:val="6610CFF1"/>
    <w:rsid w:val="6617BCBD"/>
    <w:rsid w:val="6621BB9F"/>
    <w:rsid w:val="66232D3D"/>
    <w:rsid w:val="6626974C"/>
    <w:rsid w:val="6638B5BA"/>
    <w:rsid w:val="666156BC"/>
    <w:rsid w:val="66730B47"/>
    <w:rsid w:val="6675B45F"/>
    <w:rsid w:val="6678AE31"/>
    <w:rsid w:val="66820521"/>
    <w:rsid w:val="669AC493"/>
    <w:rsid w:val="669F8B65"/>
    <w:rsid w:val="66A46A8A"/>
    <w:rsid w:val="670DBED2"/>
    <w:rsid w:val="670DF90D"/>
    <w:rsid w:val="671B5E28"/>
    <w:rsid w:val="671BF971"/>
    <w:rsid w:val="67247E98"/>
    <w:rsid w:val="673134E4"/>
    <w:rsid w:val="675D0A95"/>
    <w:rsid w:val="6760286E"/>
    <w:rsid w:val="678805F6"/>
    <w:rsid w:val="679B3E93"/>
    <w:rsid w:val="67AE4568"/>
    <w:rsid w:val="67B2E22B"/>
    <w:rsid w:val="67C17978"/>
    <w:rsid w:val="67CD0A32"/>
    <w:rsid w:val="67D15164"/>
    <w:rsid w:val="67F1B930"/>
    <w:rsid w:val="67FFD5F9"/>
    <w:rsid w:val="681858CB"/>
    <w:rsid w:val="682ABC84"/>
    <w:rsid w:val="683CF33C"/>
    <w:rsid w:val="6843E790"/>
    <w:rsid w:val="686255E9"/>
    <w:rsid w:val="6884E4EA"/>
    <w:rsid w:val="68E1DB92"/>
    <w:rsid w:val="693753AD"/>
    <w:rsid w:val="6948F3EE"/>
    <w:rsid w:val="694D33E8"/>
    <w:rsid w:val="695FB065"/>
    <w:rsid w:val="698ABDFA"/>
    <w:rsid w:val="69AAD46C"/>
    <w:rsid w:val="69D13BF7"/>
    <w:rsid w:val="69D7C1C7"/>
    <w:rsid w:val="69E8A28F"/>
    <w:rsid w:val="6A67995D"/>
    <w:rsid w:val="6A7993A4"/>
    <w:rsid w:val="6A7AD6D2"/>
    <w:rsid w:val="6A811A9B"/>
    <w:rsid w:val="6AA09E49"/>
    <w:rsid w:val="6AC62CF5"/>
    <w:rsid w:val="6AF3EDE9"/>
    <w:rsid w:val="6AF8B225"/>
    <w:rsid w:val="6B24A9B1"/>
    <w:rsid w:val="6B5E976F"/>
    <w:rsid w:val="6B687E6F"/>
    <w:rsid w:val="6B73CE38"/>
    <w:rsid w:val="6B7C734B"/>
    <w:rsid w:val="6BBB5CB1"/>
    <w:rsid w:val="6C425AD5"/>
    <w:rsid w:val="6C574D22"/>
    <w:rsid w:val="6C5A629B"/>
    <w:rsid w:val="6C61FD56"/>
    <w:rsid w:val="6C69D9D6"/>
    <w:rsid w:val="6C6EAFB6"/>
    <w:rsid w:val="6C6F0643"/>
    <w:rsid w:val="6C83446E"/>
    <w:rsid w:val="6CA0244D"/>
    <w:rsid w:val="6CBAE315"/>
    <w:rsid w:val="6CCA0DDD"/>
    <w:rsid w:val="6CEA4270"/>
    <w:rsid w:val="6D030B58"/>
    <w:rsid w:val="6D0B00EE"/>
    <w:rsid w:val="6D4BA102"/>
    <w:rsid w:val="6D7ACBA2"/>
    <w:rsid w:val="6DBB075F"/>
    <w:rsid w:val="6DC25D32"/>
    <w:rsid w:val="6E430740"/>
    <w:rsid w:val="6E4A0552"/>
    <w:rsid w:val="6E6C351C"/>
    <w:rsid w:val="6E8EB189"/>
    <w:rsid w:val="6EAC54FF"/>
    <w:rsid w:val="6EC75A32"/>
    <w:rsid w:val="6EC918FE"/>
    <w:rsid w:val="6F0DB0FE"/>
    <w:rsid w:val="6F22C913"/>
    <w:rsid w:val="6F2FB2A2"/>
    <w:rsid w:val="6F34B684"/>
    <w:rsid w:val="6F531F8C"/>
    <w:rsid w:val="6F6A12F3"/>
    <w:rsid w:val="6F91B79B"/>
    <w:rsid w:val="6F99602C"/>
    <w:rsid w:val="6FC2C854"/>
    <w:rsid w:val="6FEFAEAE"/>
    <w:rsid w:val="6FEFAF89"/>
    <w:rsid w:val="7013A013"/>
    <w:rsid w:val="7028E96E"/>
    <w:rsid w:val="703698D0"/>
    <w:rsid w:val="703AC0A2"/>
    <w:rsid w:val="703D0611"/>
    <w:rsid w:val="70AA5673"/>
    <w:rsid w:val="7111479A"/>
    <w:rsid w:val="712CA522"/>
    <w:rsid w:val="71389C10"/>
    <w:rsid w:val="71716CA1"/>
    <w:rsid w:val="71A65B05"/>
    <w:rsid w:val="71A947FA"/>
    <w:rsid w:val="71AEAA0E"/>
    <w:rsid w:val="71B35AE3"/>
    <w:rsid w:val="71CD1273"/>
    <w:rsid w:val="71E8075D"/>
    <w:rsid w:val="71E974D3"/>
    <w:rsid w:val="71EDFA2F"/>
    <w:rsid w:val="7215E7E9"/>
    <w:rsid w:val="722BAA8F"/>
    <w:rsid w:val="72341CAD"/>
    <w:rsid w:val="72398D52"/>
    <w:rsid w:val="7242FB31"/>
    <w:rsid w:val="72A0E277"/>
    <w:rsid w:val="72A54376"/>
    <w:rsid w:val="72A817BD"/>
    <w:rsid w:val="72C4A93A"/>
    <w:rsid w:val="730545EF"/>
    <w:rsid w:val="7311DB21"/>
    <w:rsid w:val="731FB405"/>
    <w:rsid w:val="733FE824"/>
    <w:rsid w:val="734315CA"/>
    <w:rsid w:val="734489BA"/>
    <w:rsid w:val="734B6432"/>
    <w:rsid w:val="73622320"/>
    <w:rsid w:val="7372DB63"/>
    <w:rsid w:val="738095E9"/>
    <w:rsid w:val="73840677"/>
    <w:rsid w:val="73BED0A0"/>
    <w:rsid w:val="74177E61"/>
    <w:rsid w:val="742CFE67"/>
    <w:rsid w:val="743680CC"/>
    <w:rsid w:val="744F4106"/>
    <w:rsid w:val="7460993E"/>
    <w:rsid w:val="74985296"/>
    <w:rsid w:val="74FA22E7"/>
    <w:rsid w:val="74FAA16C"/>
    <w:rsid w:val="75086AB3"/>
    <w:rsid w:val="7546A928"/>
    <w:rsid w:val="755A373A"/>
    <w:rsid w:val="756F70A2"/>
    <w:rsid w:val="75A934DA"/>
    <w:rsid w:val="75CC1242"/>
    <w:rsid w:val="75D99BAD"/>
    <w:rsid w:val="76206958"/>
    <w:rsid w:val="764509BC"/>
    <w:rsid w:val="765ECCFA"/>
    <w:rsid w:val="766B5F1B"/>
    <w:rsid w:val="767AE255"/>
    <w:rsid w:val="769EEEF3"/>
    <w:rsid w:val="76D451BD"/>
    <w:rsid w:val="76E94529"/>
    <w:rsid w:val="76F584DA"/>
    <w:rsid w:val="772147EC"/>
    <w:rsid w:val="7753DC61"/>
    <w:rsid w:val="775D63CD"/>
    <w:rsid w:val="776F98A7"/>
    <w:rsid w:val="777855F6"/>
    <w:rsid w:val="77A21AC2"/>
    <w:rsid w:val="781C7BA6"/>
    <w:rsid w:val="7820B2D7"/>
    <w:rsid w:val="78591C37"/>
    <w:rsid w:val="788D89A5"/>
    <w:rsid w:val="789B5E7D"/>
    <w:rsid w:val="78C0B5A8"/>
    <w:rsid w:val="79053F52"/>
    <w:rsid w:val="7915769D"/>
    <w:rsid w:val="7918E539"/>
    <w:rsid w:val="792C766F"/>
    <w:rsid w:val="794769FA"/>
    <w:rsid w:val="795B75C9"/>
    <w:rsid w:val="795C93CC"/>
    <w:rsid w:val="79618FC1"/>
    <w:rsid w:val="79787437"/>
    <w:rsid w:val="7A0B32DB"/>
    <w:rsid w:val="7A1FA2CE"/>
    <w:rsid w:val="7A2A281A"/>
    <w:rsid w:val="7A515D93"/>
    <w:rsid w:val="7A8388B2"/>
    <w:rsid w:val="7A9E4ECB"/>
    <w:rsid w:val="7ABD500B"/>
    <w:rsid w:val="7AD11236"/>
    <w:rsid w:val="7B03C4A9"/>
    <w:rsid w:val="7B03F77A"/>
    <w:rsid w:val="7B165B54"/>
    <w:rsid w:val="7B17A385"/>
    <w:rsid w:val="7B33FFD7"/>
    <w:rsid w:val="7B5CD5FA"/>
    <w:rsid w:val="7B673980"/>
    <w:rsid w:val="7B9EA29F"/>
    <w:rsid w:val="7BAFB5B3"/>
    <w:rsid w:val="7BD52565"/>
    <w:rsid w:val="7BD58A65"/>
    <w:rsid w:val="7BDB4E4C"/>
    <w:rsid w:val="7BDCC612"/>
    <w:rsid w:val="7BE1412A"/>
    <w:rsid w:val="7BE5B922"/>
    <w:rsid w:val="7BF7E730"/>
    <w:rsid w:val="7C3E3277"/>
    <w:rsid w:val="7C4803EE"/>
    <w:rsid w:val="7CF3A0A1"/>
    <w:rsid w:val="7CF5A155"/>
    <w:rsid w:val="7CF982E1"/>
    <w:rsid w:val="7D0136BD"/>
    <w:rsid w:val="7D560BDE"/>
    <w:rsid w:val="7D68C74A"/>
    <w:rsid w:val="7D77A1F1"/>
    <w:rsid w:val="7DA18604"/>
    <w:rsid w:val="7DB2E5E2"/>
    <w:rsid w:val="7DB69720"/>
    <w:rsid w:val="7DBCE86B"/>
    <w:rsid w:val="7DC28DA8"/>
    <w:rsid w:val="7DDA710C"/>
    <w:rsid w:val="7DE05ABC"/>
    <w:rsid w:val="7DF198BF"/>
    <w:rsid w:val="7E09DD94"/>
    <w:rsid w:val="7E3913C1"/>
    <w:rsid w:val="7E49146D"/>
    <w:rsid w:val="7E4A9568"/>
    <w:rsid w:val="7E5750C9"/>
    <w:rsid w:val="7E690513"/>
    <w:rsid w:val="7E7D4DD9"/>
    <w:rsid w:val="7E8C7B9F"/>
    <w:rsid w:val="7E92C1EE"/>
    <w:rsid w:val="7E932332"/>
    <w:rsid w:val="7F0D4FCB"/>
    <w:rsid w:val="7F2DC2E1"/>
    <w:rsid w:val="7F57BC3B"/>
    <w:rsid w:val="7F5959E3"/>
    <w:rsid w:val="7F6D141B"/>
    <w:rsid w:val="7F7E3673"/>
    <w:rsid w:val="7F9B5E1E"/>
    <w:rsid w:val="7F9D328D"/>
    <w:rsid w:val="7FB0FE26"/>
    <w:rsid w:val="7FB224D5"/>
    <w:rsid w:val="7FD99E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56AD39"/>
  <w15:docId w15:val="{EE1C0513-FE26-4B20-A7EB-33FA3FC6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D28"/>
    <w:pPr>
      <w:spacing w:before="240" w:after="120" w:line="276" w:lineRule="auto"/>
    </w:pPr>
    <w:rPr>
      <w:sz w:val="24"/>
      <w:szCs w:val="22"/>
      <w:lang w:eastAsia="en-US"/>
    </w:rPr>
  </w:style>
  <w:style w:type="paragraph" w:styleId="Heading1">
    <w:name w:val="heading 1"/>
    <w:basedOn w:val="Normal"/>
    <w:next w:val="Normal"/>
    <w:link w:val="Heading1Char"/>
    <w:qFormat/>
    <w:rsid w:val="006A0B36"/>
    <w:pPr>
      <w:keepNext/>
      <w:keepLines/>
      <w:spacing w:before="480"/>
      <w:outlineLvl w:val="0"/>
    </w:pPr>
    <w:rPr>
      <w:rFonts w:eastAsia="Times New Roman"/>
      <w:b/>
      <w:bCs/>
      <w:color w:val="008938"/>
      <w:sz w:val="44"/>
      <w:szCs w:val="28"/>
    </w:rPr>
  </w:style>
  <w:style w:type="paragraph" w:styleId="Heading2">
    <w:name w:val="heading 2"/>
    <w:next w:val="Normal"/>
    <w:link w:val="Heading2Char"/>
    <w:autoRedefine/>
    <w:qFormat/>
    <w:rsid w:val="00B957AC"/>
    <w:pPr>
      <w:keepNext/>
      <w:spacing w:before="480" w:after="120"/>
      <w:outlineLvl w:val="1"/>
    </w:pPr>
    <w:rPr>
      <w:rFonts w:eastAsia="Times New Roman"/>
      <w:b/>
      <w:bCs/>
      <w:iCs/>
      <w:color w:val="008938"/>
      <w:sz w:val="36"/>
      <w:szCs w:val="36"/>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AE2422"/>
    <w:pPr>
      <w:keepNext/>
      <w:keepLines/>
      <w:spacing w:before="200"/>
      <w:outlineLvl w:val="4"/>
    </w:pPr>
    <w:rPr>
      <w:rFonts w:eastAsia="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957AC"/>
    <w:rPr>
      <w:rFonts w:eastAsia="Times New Roman"/>
      <w:b/>
      <w:bCs/>
      <w:iCs/>
      <w:color w:val="008938"/>
      <w:sz w:val="36"/>
      <w:szCs w:val="36"/>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646B20"/>
    <w:pPr>
      <w:spacing w:after="200"/>
    </w:pPr>
    <w:rPr>
      <w:color w:val="008938"/>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darkgreen">
    <w:name w:val="Report title dark green"/>
    <w:qFormat/>
    <w:rsid w:val="00742965"/>
    <w:pPr>
      <w:spacing w:after="280"/>
    </w:pPr>
    <w:rPr>
      <w:color w:val="008631"/>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lang w:eastAsia="en-GB"/>
    </w:rPr>
  </w:style>
  <w:style w:type="paragraph" w:customStyle="1" w:styleId="Introductiontext">
    <w:name w:val="Introduction text"/>
    <w:rsid w:val="00845AB8"/>
    <w:pPr>
      <w:spacing w:after="120"/>
    </w:pPr>
    <w:rPr>
      <w:rFonts w:eastAsia="Times New Roman" w:cs="Arial"/>
      <w:sz w:val="28"/>
      <w:szCs w:val="28"/>
      <w:lang w:eastAsia="en-GB"/>
    </w:rPr>
  </w:style>
  <w:style w:type="table" w:styleId="TableGrid">
    <w:name w:val="Table Grid"/>
    <w:basedOn w:val="TableNormal"/>
    <w:uiPriority w:val="59"/>
    <w:rsid w:val="00FE2CE1"/>
    <w:pPr>
      <w:ind w:left="85" w:right="85"/>
    </w:pPr>
    <w:tblPr>
      <w:tblStyleRowBandSize w:val="1"/>
      <w:tblBorders>
        <w:top w:val="single" w:sz="4" w:space="0" w:color="00AF41"/>
        <w:left w:val="single" w:sz="4" w:space="0" w:color="00AF41"/>
        <w:bottom w:val="single" w:sz="4" w:space="0" w:color="00AF41"/>
        <w:right w:val="single" w:sz="4" w:space="0" w:color="00AF41"/>
        <w:insideH w:val="single" w:sz="4" w:space="0" w:color="00AF41"/>
        <w:insideV w:val="single" w:sz="4" w:space="0" w:color="00AF41"/>
      </w:tblBorders>
      <w:tblCellMar>
        <w:left w:w="0" w:type="dxa"/>
        <w:right w:w="0" w:type="dxa"/>
      </w:tblCellMar>
    </w:tblPr>
    <w:tblStylePr w:type="firstRow">
      <w:rPr>
        <w:b/>
      </w:rPr>
      <w:tblPr/>
      <w:tcPr>
        <w:tcBorders>
          <w:insideV w:val="single" w:sz="4" w:space="0" w:color="FFFFFF"/>
        </w:tcBorders>
        <w:shd w:val="clear" w:color="auto" w:fill="00AF41"/>
      </w:tcPr>
    </w:tblStylePr>
    <w:tblStylePr w:type="firstCol">
      <w:rPr>
        <w:b/>
      </w:rPr>
    </w:tblStylePr>
    <w:tblStylePr w:type="band2Horz">
      <w:tblPr/>
      <w:tcPr>
        <w:shd w:val="clear" w:color="auto" w:fill="F1F6D0"/>
      </w:tcPr>
    </w:tblStylePr>
  </w:style>
  <w:style w:type="character" w:styleId="Hyperlink">
    <w:name w:val="Hyperlink"/>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green">
    <w:name w:val="Bold text green"/>
    <w:uiPriority w:val="1"/>
    <w:rsid w:val="00F11803"/>
    <w:rPr>
      <w:rFonts w:ascii="Arial" w:hAnsi="Arial"/>
      <w:b/>
      <w:color w:val="008631"/>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uiPriority w:val="1"/>
    <w:rsid w:val="00017A20"/>
    <w:rPr>
      <w:i/>
    </w:rPr>
  </w:style>
  <w:style w:type="character" w:customStyle="1" w:styleId="Italicgreen">
    <w:name w:val="Italic green"/>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uiPriority w:val="1"/>
    <w:rsid w:val="00B00BA0"/>
    <w:rPr>
      <w:vertAlign w:val="subscript"/>
    </w:rPr>
  </w:style>
  <w:style w:type="character" w:customStyle="1" w:styleId="Superscript">
    <w:name w:val="Superscrip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link w:val="Heading1"/>
    <w:rsid w:val="006A0B36"/>
    <w:rPr>
      <w:rFonts w:eastAsia="Times New Roman"/>
      <w:b/>
      <w:bCs/>
      <w:color w:val="008938"/>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link w:val="Heading3"/>
    <w:rsid w:val="006A0B36"/>
    <w:rPr>
      <w:rFonts w:eastAsia="Times New Roman"/>
      <w:b/>
      <w:bCs/>
      <w:sz w:val="28"/>
      <w:szCs w:val="22"/>
      <w:lang w:eastAsia="en-US"/>
    </w:rPr>
  </w:style>
  <w:style w:type="paragraph" w:styleId="TOC1">
    <w:name w:val="toc 1"/>
    <w:basedOn w:val="Normal"/>
    <w:next w:val="Normal"/>
    <w:autoRedefine/>
    <w:uiPriority w:val="39"/>
    <w:rsid w:val="00820B13"/>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link w:val="Heading4"/>
    <w:rsid w:val="00057683"/>
    <w:rPr>
      <w:rFonts w:eastAsia="Times New Roman"/>
      <w:b/>
      <w:bCs/>
      <w:iCs/>
      <w:sz w:val="24"/>
      <w:szCs w:val="22"/>
      <w:lang w:eastAsia="en-US"/>
    </w:rPr>
  </w:style>
  <w:style w:type="character" w:customStyle="1" w:styleId="Heading5Char">
    <w:name w:val="Heading 5 Char"/>
    <w:link w:val="Heading5"/>
    <w:rsid w:val="00AE2422"/>
    <w:rPr>
      <w:rFonts w:eastAsia="Times New Roman"/>
      <w:i/>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eastAsia="MS Gothic"/>
      <w:b w:val="0"/>
      <w:bCs w:val="0"/>
      <w:color w:val="008330"/>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left w:val="single" w:sz="8" w:space="0" w:color="034B89"/>
        <w:bottom w:val="single" w:sz="8" w:space="0" w:color="034B89"/>
        <w:right w:val="single" w:sz="8" w:space="0" w:color="034B89"/>
      </w:tblBorders>
    </w:tblPr>
    <w:tblStylePr w:type="firstRow">
      <w:pPr>
        <w:spacing w:before="0" w:after="0" w:line="240" w:lineRule="auto"/>
      </w:pPr>
      <w:rPr>
        <w:b/>
        <w:bCs/>
        <w:color w:val="FFFFFF"/>
      </w:rPr>
      <w:tblPr/>
      <w:tcPr>
        <w:shd w:val="clear" w:color="auto" w:fill="034B89"/>
      </w:tcPr>
    </w:tblStylePr>
    <w:tblStylePr w:type="lastRow">
      <w:pPr>
        <w:spacing w:before="0" w:after="0" w:line="240" w:lineRule="auto"/>
      </w:pPr>
      <w:rPr>
        <w:b/>
        <w:bCs/>
      </w:rPr>
      <w:tblPr/>
      <w:tcPr>
        <w:tcBorders>
          <w:top w:val="double" w:sz="6" w:space="0" w:color="034B89"/>
          <w:left w:val="single" w:sz="8" w:space="0" w:color="034B89"/>
          <w:bottom w:val="single" w:sz="8" w:space="0" w:color="034B89"/>
          <w:right w:val="single" w:sz="8" w:space="0" w:color="034B89"/>
        </w:tcBorders>
      </w:tcPr>
    </w:tblStylePr>
    <w:tblStylePr w:type="firstCol">
      <w:rPr>
        <w:b/>
        <w:bCs/>
      </w:rPr>
    </w:tblStylePr>
    <w:tblStylePr w:type="lastCol">
      <w:rPr>
        <w:b/>
        <w:bCs/>
      </w:rPr>
    </w:tblStylePr>
    <w:tblStylePr w:type="band1Vert">
      <w:tblPr/>
      <w:tcPr>
        <w:tcBorders>
          <w:top w:val="single" w:sz="8" w:space="0" w:color="034B89"/>
          <w:left w:val="single" w:sz="8" w:space="0" w:color="034B89"/>
          <w:bottom w:val="single" w:sz="8" w:space="0" w:color="034B89"/>
          <w:right w:val="single" w:sz="8" w:space="0" w:color="034B89"/>
        </w:tcBorders>
      </w:tcPr>
    </w:tblStylePr>
    <w:tblStylePr w:type="band1Horz">
      <w:tblPr/>
      <w:tcPr>
        <w:tcBorders>
          <w:top w:val="single" w:sz="8" w:space="0" w:color="034B89"/>
          <w:left w:val="single" w:sz="8" w:space="0" w:color="034B89"/>
          <w:bottom w:val="single" w:sz="8" w:space="0" w:color="034B89"/>
          <w:right w:val="single" w:sz="8" w:space="0" w:color="034B89"/>
        </w:tcBorders>
      </w:tcPr>
    </w:tblStylePr>
  </w:style>
  <w:style w:type="table" w:styleId="ColorfulShading-Accent5">
    <w:name w:val="Colorful Shading Accent 5"/>
    <w:basedOn w:val="TableNormal"/>
    <w:uiPriority w:val="71"/>
    <w:locked/>
    <w:rsid w:val="00E822A4"/>
    <w:rPr>
      <w:color w:val="000000"/>
    </w:rPr>
    <w:tblPr>
      <w:tblStyleRowBandSize w:val="1"/>
      <w:tblStyleColBandSize w:val="1"/>
      <w:tblBorders>
        <w:top w:val="single" w:sz="24" w:space="0" w:color="7F7F7F"/>
        <w:left w:val="single" w:sz="4" w:space="0" w:color="D95F15"/>
        <w:bottom w:val="single" w:sz="4" w:space="0" w:color="D95F15"/>
        <w:right w:val="single" w:sz="4" w:space="0" w:color="D95F15"/>
        <w:insideH w:val="single" w:sz="4" w:space="0" w:color="FFFFFF"/>
        <w:insideV w:val="single" w:sz="4" w:space="0" w:color="FFFFFF"/>
      </w:tblBorders>
    </w:tblPr>
    <w:tcPr>
      <w:shd w:val="clear" w:color="auto" w:fill="FCEEE6"/>
    </w:tcPr>
    <w:tblStylePr w:type="firstRow">
      <w:rPr>
        <w:b/>
        <w:bCs/>
      </w:rPr>
      <w:tblPr/>
      <w:tcPr>
        <w:tcBorders>
          <w:top w:val="nil"/>
          <w:left w:val="nil"/>
          <w:bottom w:val="single" w:sz="24" w:space="0" w:color="7F7F7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2380C"/>
      </w:tcPr>
    </w:tblStylePr>
    <w:tblStylePr w:type="firstCol">
      <w:rPr>
        <w:color w:val="FFFFFF"/>
      </w:rPr>
      <w:tblPr/>
      <w:tcPr>
        <w:tcBorders>
          <w:top w:val="nil"/>
          <w:left w:val="nil"/>
          <w:bottom w:val="nil"/>
          <w:right w:val="nil"/>
          <w:insideH w:val="single" w:sz="4" w:space="0" w:color="82380C"/>
          <w:insideV w:val="nil"/>
        </w:tcBorders>
        <w:shd w:val="clear" w:color="auto" w:fill="82380C"/>
      </w:tcPr>
    </w:tblStylePr>
    <w:tblStylePr w:type="lastCol">
      <w:rPr>
        <w:color w:val="FFFFFF"/>
      </w:rPr>
      <w:tblPr/>
      <w:tcPr>
        <w:tcBorders>
          <w:top w:val="nil"/>
          <w:left w:val="nil"/>
          <w:bottom w:val="nil"/>
          <w:right w:val="nil"/>
          <w:insideH w:val="nil"/>
          <w:insideV w:val="nil"/>
        </w:tcBorders>
        <w:shd w:val="clear" w:color="auto" w:fill="82380C"/>
      </w:tcPr>
    </w:tblStylePr>
    <w:tblStylePr w:type="band1Vert">
      <w:tblPr/>
      <w:tcPr>
        <w:shd w:val="clear" w:color="auto" w:fill="F5BD9B"/>
      </w:tcPr>
    </w:tblStylePr>
    <w:tblStylePr w:type="band1Horz">
      <w:tblPr/>
      <w:tcPr>
        <w:shd w:val="clear" w:color="auto" w:fill="F3AD83"/>
      </w:tcPr>
    </w:tblStylePr>
    <w:tblStylePr w:type="neCell">
      <w:rPr>
        <w:color w:val="000000"/>
      </w:rPr>
    </w:tblStylePr>
    <w:tblStylePr w:type="nwCell">
      <w:rPr>
        <w:color w:val="000000"/>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left w:val="single" w:sz="8" w:space="0" w:color="B2C326"/>
        <w:bottom w:val="single" w:sz="8" w:space="0" w:color="B2C326"/>
        <w:right w:val="single" w:sz="8" w:space="0" w:color="B2C326"/>
      </w:tblBorders>
    </w:tblPr>
    <w:tblStylePr w:type="firstRow">
      <w:pPr>
        <w:spacing w:before="0" w:after="0" w:line="240" w:lineRule="auto"/>
      </w:pPr>
      <w:rPr>
        <w:b/>
        <w:bCs/>
        <w:color w:val="FFFFFF"/>
      </w:rPr>
      <w:tblPr/>
      <w:tcPr>
        <w:shd w:val="clear" w:color="auto" w:fill="B2C326"/>
      </w:tcPr>
    </w:tblStylePr>
    <w:tblStylePr w:type="lastRow">
      <w:pPr>
        <w:spacing w:before="0" w:after="0" w:line="240" w:lineRule="auto"/>
      </w:pPr>
      <w:rPr>
        <w:b/>
        <w:bCs/>
      </w:rPr>
      <w:tblPr/>
      <w:tcPr>
        <w:tcBorders>
          <w:top w:val="double" w:sz="6" w:space="0" w:color="B2C326"/>
          <w:left w:val="single" w:sz="8" w:space="0" w:color="B2C326"/>
          <w:bottom w:val="single" w:sz="8" w:space="0" w:color="B2C326"/>
          <w:right w:val="single" w:sz="8" w:space="0" w:color="B2C326"/>
        </w:tcBorders>
      </w:tcPr>
    </w:tblStylePr>
    <w:tblStylePr w:type="firstCol">
      <w:rPr>
        <w:b/>
        <w:bCs/>
      </w:rPr>
    </w:tblStylePr>
    <w:tblStylePr w:type="lastCol">
      <w:rPr>
        <w:b/>
        <w:bCs/>
      </w:rPr>
    </w:tblStylePr>
    <w:tblStylePr w:type="band1Vert">
      <w:tblPr/>
      <w:tcPr>
        <w:tcBorders>
          <w:top w:val="single" w:sz="8" w:space="0" w:color="B2C326"/>
          <w:left w:val="single" w:sz="8" w:space="0" w:color="B2C326"/>
          <w:bottom w:val="single" w:sz="8" w:space="0" w:color="B2C326"/>
          <w:right w:val="single" w:sz="8" w:space="0" w:color="B2C326"/>
        </w:tcBorders>
      </w:tcPr>
    </w:tblStylePr>
    <w:tblStylePr w:type="band1Horz">
      <w:tblPr/>
      <w:tcPr>
        <w:tcBorders>
          <w:top w:val="single" w:sz="8" w:space="0" w:color="B2C326"/>
          <w:left w:val="single" w:sz="8" w:space="0" w:color="B2C326"/>
          <w:bottom w:val="single" w:sz="8" w:space="0" w:color="B2C326"/>
          <w:right w:val="single" w:sz="8" w:space="0" w:color="B2C326"/>
        </w:tcBorders>
      </w:tcPr>
    </w:tblStylePr>
  </w:style>
  <w:style w:type="table" w:styleId="MediumList2-Accent1">
    <w:name w:val="Medium List 2 Accent 1"/>
    <w:basedOn w:val="TableNormal"/>
    <w:uiPriority w:val="66"/>
    <w:locked/>
    <w:rsid w:val="006D681F"/>
    <w:rPr>
      <w:rFonts w:eastAsia="MS Gothic"/>
      <w:color w:val="000000"/>
      <w:sz w:val="22"/>
      <w:szCs w:val="22"/>
      <w:lang w:val="en-US" w:eastAsia="en-US" w:bidi="en-US"/>
    </w:rPr>
    <w:tblPr>
      <w:tblStyleRowBandSize w:val="1"/>
      <w:tblStyleColBandSize w:val="1"/>
      <w:tblBorders>
        <w:top w:val="single" w:sz="8" w:space="0" w:color="00AF41"/>
        <w:left w:val="single" w:sz="8" w:space="0" w:color="00AF41"/>
        <w:bottom w:val="single" w:sz="8" w:space="0" w:color="00AF41"/>
        <w:right w:val="single" w:sz="8" w:space="0" w:color="00AF41"/>
      </w:tblBorders>
    </w:tblPr>
    <w:tblStylePr w:type="firstRow">
      <w:rPr>
        <w:sz w:val="24"/>
        <w:szCs w:val="24"/>
      </w:rPr>
      <w:tblPr/>
      <w:tcPr>
        <w:tcBorders>
          <w:top w:val="nil"/>
          <w:left w:val="nil"/>
          <w:bottom w:val="single" w:sz="24" w:space="0" w:color="00AF41"/>
          <w:right w:val="nil"/>
          <w:insideH w:val="nil"/>
          <w:insideV w:val="nil"/>
        </w:tcBorders>
        <w:shd w:val="clear" w:color="auto" w:fill="FFFFFF"/>
      </w:tcPr>
    </w:tblStylePr>
    <w:tblStylePr w:type="lastRow">
      <w:tblPr/>
      <w:tcPr>
        <w:tcBorders>
          <w:top w:val="single" w:sz="8" w:space="0" w:color="00AF4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AF41"/>
          <w:insideH w:val="nil"/>
          <w:insideV w:val="nil"/>
        </w:tcBorders>
        <w:shd w:val="clear" w:color="auto" w:fill="FFFFFF"/>
      </w:tcPr>
    </w:tblStylePr>
    <w:tblStylePr w:type="lastCol">
      <w:tblPr/>
      <w:tcPr>
        <w:tcBorders>
          <w:top w:val="nil"/>
          <w:left w:val="single" w:sz="8" w:space="0" w:color="00AF4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CFFCA"/>
      </w:tcPr>
    </w:tblStylePr>
    <w:tblStylePr w:type="band1Horz">
      <w:tblPr/>
      <w:tcPr>
        <w:tcBorders>
          <w:top w:val="nil"/>
          <w:bottom w:val="nil"/>
          <w:insideH w:val="nil"/>
          <w:insideV w:val="nil"/>
        </w:tcBorders>
        <w:shd w:val="clear" w:color="auto" w:fill="ACFFCA"/>
      </w:tcPr>
    </w:tblStylePr>
    <w:tblStylePr w:type="nwCell">
      <w:tblPr/>
      <w:tcPr>
        <w:shd w:val="clear" w:color="auto" w:fill="FFFFFF"/>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eastAsia="MS Mincho"/>
      <w:lang w:val="en-US"/>
    </w:rPr>
  </w:style>
  <w:style w:type="paragraph" w:styleId="FootnoteText">
    <w:name w:val="footnote text"/>
    <w:basedOn w:val="Normal"/>
    <w:link w:val="FootnoteTextChar"/>
    <w:uiPriority w:val="99"/>
    <w:unhideWhenUsed/>
    <w:rsid w:val="006D681F"/>
    <w:pPr>
      <w:spacing w:after="0"/>
    </w:pPr>
    <w:rPr>
      <w:rFonts w:eastAsia="MS Mincho"/>
      <w:sz w:val="20"/>
      <w:szCs w:val="20"/>
      <w:lang w:val="en-US"/>
    </w:rPr>
  </w:style>
  <w:style w:type="character" w:customStyle="1" w:styleId="FootnoteTextChar">
    <w:name w:val="Footnote Text Char"/>
    <w:link w:val="FootnoteText"/>
    <w:uiPriority w:val="99"/>
    <w:rsid w:val="006D681F"/>
    <w:rPr>
      <w:rFonts w:ascii="Arial" w:eastAsia="MS Mincho" w:hAnsi="Arial" w:cs="Times New Roman"/>
      <w:lang w:val="en-US" w:eastAsia="en-US"/>
    </w:rPr>
  </w:style>
  <w:style w:type="table" w:styleId="MediumShading2-Accent5">
    <w:name w:val="Medium Shading 2 Accent 5"/>
    <w:basedOn w:val="TableNormal"/>
    <w:uiPriority w:val="64"/>
    <w:locked/>
    <w:rsid w:val="006D681F"/>
    <w:rPr>
      <w:rFonts w:eastAsia="MS Mincho"/>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95F1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D95F15"/>
      </w:tcPr>
    </w:tblStylePr>
    <w:tblStylePr w:type="lastCol">
      <w:rPr>
        <w:b/>
        <w:bCs/>
        <w:color w:val="FFFFFF"/>
      </w:rPr>
      <w:tblPr/>
      <w:tcPr>
        <w:tcBorders>
          <w:left w:val="nil"/>
          <w:right w:val="nil"/>
          <w:insideH w:val="nil"/>
          <w:insideV w:val="nil"/>
        </w:tcBorders>
        <w:shd w:val="clear" w:color="auto" w:fill="D95F1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eastAsia="MS Gothic"/>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left w:val="single" w:sz="8" w:space="0" w:color="B2C326"/>
        <w:bottom w:val="single" w:sz="8" w:space="0" w:color="B2C326"/>
        <w:right w:val="single" w:sz="8" w:space="0" w:color="B2C326"/>
        <w:insideH w:val="single" w:sz="8" w:space="0" w:color="B2C326"/>
        <w:insideV w:val="single" w:sz="8" w:space="0" w:color="B2C326"/>
      </w:tblBorders>
    </w:tblPr>
    <w:tblStylePr w:type="firstRow">
      <w:pPr>
        <w:spacing w:before="0" w:after="0" w:line="240" w:lineRule="auto"/>
      </w:pPr>
      <w:rPr>
        <w:rFonts w:ascii="Arial" w:eastAsia="MS Gothic" w:hAnsi="Arial" w:cs="Times New Roman"/>
        <w:b/>
        <w:bCs/>
      </w:rPr>
      <w:tblPr/>
      <w:tcPr>
        <w:tcBorders>
          <w:top w:val="single" w:sz="8" w:space="0" w:color="B2C326"/>
          <w:left w:val="single" w:sz="8" w:space="0" w:color="B2C326"/>
          <w:bottom w:val="single" w:sz="18" w:space="0" w:color="B2C326"/>
          <w:right w:val="single" w:sz="8" w:space="0" w:color="B2C326"/>
          <w:insideH w:val="nil"/>
          <w:insideV w:val="single" w:sz="8" w:space="0" w:color="B2C326"/>
        </w:tcBorders>
      </w:tcPr>
    </w:tblStylePr>
    <w:tblStylePr w:type="lastRow">
      <w:pPr>
        <w:spacing w:before="0" w:after="0" w:line="240" w:lineRule="auto"/>
      </w:pPr>
      <w:rPr>
        <w:rFonts w:ascii="Arial" w:eastAsia="MS Gothic" w:hAnsi="Arial" w:cs="Times New Roman"/>
        <w:b/>
        <w:bCs/>
      </w:rPr>
      <w:tblPr/>
      <w:tcPr>
        <w:tcBorders>
          <w:top w:val="double" w:sz="6" w:space="0" w:color="B2C326"/>
          <w:left w:val="single" w:sz="8" w:space="0" w:color="B2C326"/>
          <w:bottom w:val="single" w:sz="8" w:space="0" w:color="B2C326"/>
          <w:right w:val="single" w:sz="8" w:space="0" w:color="B2C326"/>
          <w:insideH w:val="nil"/>
          <w:insideV w:val="single" w:sz="8" w:space="0" w:color="B2C326"/>
        </w:tcBorders>
      </w:tcPr>
    </w:tblStylePr>
    <w:tblStylePr w:type="firstCol">
      <w:rPr>
        <w:rFonts w:ascii="Arial" w:eastAsia="MS Gothic" w:hAnsi="Arial" w:cs="Times New Roman"/>
        <w:b/>
        <w:bCs/>
      </w:rPr>
    </w:tblStylePr>
    <w:tblStylePr w:type="lastCol">
      <w:rPr>
        <w:rFonts w:ascii="Arial" w:eastAsia="MS Gothic" w:hAnsi="Arial" w:cs="Times New Roman"/>
        <w:b/>
        <w:bCs/>
      </w:rPr>
      <w:tblPr/>
      <w:tcPr>
        <w:tcBorders>
          <w:top w:val="single" w:sz="8" w:space="0" w:color="B2C326"/>
          <w:left w:val="single" w:sz="8" w:space="0" w:color="B2C326"/>
          <w:bottom w:val="single" w:sz="8" w:space="0" w:color="B2C326"/>
          <w:right w:val="single" w:sz="8" w:space="0" w:color="B2C326"/>
        </w:tcBorders>
      </w:tcPr>
    </w:tblStylePr>
    <w:tblStylePr w:type="band1Vert">
      <w:tblPr/>
      <w:tcPr>
        <w:tcBorders>
          <w:top w:val="single" w:sz="8" w:space="0" w:color="B2C326"/>
          <w:left w:val="single" w:sz="8" w:space="0" w:color="B2C326"/>
          <w:bottom w:val="single" w:sz="8" w:space="0" w:color="B2C326"/>
          <w:right w:val="single" w:sz="8" w:space="0" w:color="B2C326"/>
        </w:tcBorders>
        <w:shd w:val="clear" w:color="auto" w:fill="EEF3C5"/>
      </w:tcPr>
    </w:tblStylePr>
    <w:tblStylePr w:type="band1Horz">
      <w:tblPr/>
      <w:tcPr>
        <w:tcBorders>
          <w:top w:val="single" w:sz="8" w:space="0" w:color="B2C326"/>
          <w:left w:val="single" w:sz="8" w:space="0" w:color="B2C326"/>
          <w:bottom w:val="single" w:sz="8" w:space="0" w:color="B2C326"/>
          <w:right w:val="single" w:sz="8" w:space="0" w:color="B2C326"/>
          <w:insideV w:val="single" w:sz="8" w:space="0" w:color="B2C326"/>
        </w:tcBorders>
        <w:shd w:val="clear" w:color="auto" w:fill="EEF3C5"/>
      </w:tcPr>
    </w:tblStylePr>
    <w:tblStylePr w:type="band2Horz">
      <w:tblPr/>
      <w:tcPr>
        <w:tcBorders>
          <w:top w:val="single" w:sz="8" w:space="0" w:color="B2C326"/>
          <w:left w:val="single" w:sz="8" w:space="0" w:color="B2C326"/>
          <w:bottom w:val="single" w:sz="8" w:space="0" w:color="B2C326"/>
          <w:right w:val="single" w:sz="8" w:space="0" w:color="B2C326"/>
          <w:insideV w:val="single" w:sz="8" w:space="0" w:color="B2C326"/>
        </w:tcBorders>
      </w:tcPr>
    </w:tblStylePr>
  </w:style>
  <w:style w:type="table" w:customStyle="1" w:styleId="DarkList1">
    <w:name w:val="Dark List1"/>
    <w:basedOn w:val="TableNormal"/>
    <w:uiPriority w:val="70"/>
    <w:locked/>
    <w:rsid w:val="006D681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locked/>
    <w:rsid w:val="006D681F"/>
    <w:rPr>
      <w:color w:val="FFFFFF"/>
    </w:rPr>
    <w:tblPr>
      <w:tblStyleRowBandSize w:val="1"/>
      <w:tblStyleColBandSize w:val="1"/>
    </w:tblPr>
    <w:tcPr>
      <w:shd w:val="clear" w:color="auto" w:fill="00AF4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720"/>
      </w:tcPr>
    </w:tblStylePr>
    <w:tblStylePr w:type="firstCol">
      <w:tblPr/>
      <w:tcPr>
        <w:tcBorders>
          <w:top w:val="nil"/>
          <w:left w:val="nil"/>
          <w:bottom w:val="nil"/>
          <w:right w:val="single" w:sz="18" w:space="0" w:color="FFFFFF"/>
          <w:insideH w:val="nil"/>
          <w:insideV w:val="nil"/>
        </w:tcBorders>
        <w:shd w:val="clear" w:color="auto" w:fill="008330"/>
      </w:tcPr>
    </w:tblStylePr>
    <w:tblStylePr w:type="lastCol">
      <w:tblPr/>
      <w:tcPr>
        <w:tcBorders>
          <w:top w:val="nil"/>
          <w:left w:val="single" w:sz="18" w:space="0" w:color="FFFFFF"/>
          <w:bottom w:val="nil"/>
          <w:right w:val="nil"/>
          <w:insideH w:val="nil"/>
          <w:insideV w:val="nil"/>
        </w:tcBorders>
        <w:shd w:val="clear" w:color="auto" w:fill="008330"/>
      </w:tcPr>
    </w:tblStylePr>
    <w:tblStylePr w:type="band1Vert">
      <w:tblPr/>
      <w:tcPr>
        <w:tcBorders>
          <w:top w:val="nil"/>
          <w:left w:val="nil"/>
          <w:bottom w:val="nil"/>
          <w:right w:val="nil"/>
          <w:insideH w:val="nil"/>
          <w:insideV w:val="nil"/>
        </w:tcBorders>
        <w:shd w:val="clear" w:color="auto" w:fill="008330"/>
      </w:tcPr>
    </w:tblStylePr>
    <w:tblStylePr w:type="band1Horz">
      <w:tblPr/>
      <w:tcPr>
        <w:tcBorders>
          <w:top w:val="nil"/>
          <w:left w:val="nil"/>
          <w:bottom w:val="nil"/>
          <w:right w:val="nil"/>
          <w:insideH w:val="nil"/>
          <w:insideV w:val="nil"/>
        </w:tcBorders>
        <w:shd w:val="clear" w:color="auto" w:fill="008330"/>
      </w:tcPr>
    </w:tblStylePr>
  </w:style>
  <w:style w:type="table" w:customStyle="1" w:styleId="LightList1">
    <w:name w:val="Light List1"/>
    <w:basedOn w:val="TableNormal"/>
    <w:uiPriority w:val="61"/>
    <w:locked/>
    <w:rsid w:val="006D681F"/>
    <w:rPr>
      <w:rFonts w:eastAsia="MS Mincho"/>
      <w:sz w:val="22"/>
      <w:szCs w:val="22"/>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ColorfulGrid-Accent5">
    <w:name w:val="Colorful Grid Accent 5"/>
    <w:basedOn w:val="TableNormal"/>
    <w:uiPriority w:val="73"/>
    <w:locked/>
    <w:rsid w:val="00271CAD"/>
    <w:rPr>
      <w:color w:val="000000"/>
    </w:rPr>
    <w:tblPr>
      <w:tblStyleRowBandSize w:val="1"/>
      <w:tblStyleColBandSize w:val="1"/>
      <w:tblBorders>
        <w:insideH w:val="single" w:sz="4" w:space="0" w:color="FFFFFF"/>
      </w:tblBorders>
    </w:tblPr>
    <w:tcPr>
      <w:shd w:val="clear" w:color="auto" w:fill="FADECD"/>
    </w:tcPr>
    <w:tblStylePr w:type="firstRow">
      <w:rPr>
        <w:b/>
        <w:bCs/>
      </w:rPr>
      <w:tblPr/>
      <w:tcPr>
        <w:shd w:val="clear" w:color="auto" w:fill="F5BD9B"/>
      </w:tcPr>
    </w:tblStylePr>
    <w:tblStylePr w:type="lastRow">
      <w:rPr>
        <w:b/>
        <w:bCs/>
        <w:color w:val="000000"/>
      </w:rPr>
      <w:tblPr/>
      <w:tcPr>
        <w:shd w:val="clear" w:color="auto" w:fill="F5BD9B"/>
      </w:tcPr>
    </w:tblStylePr>
    <w:tblStylePr w:type="firstCol">
      <w:rPr>
        <w:color w:val="FFFFFF"/>
      </w:rPr>
      <w:tblPr/>
      <w:tcPr>
        <w:shd w:val="clear" w:color="auto" w:fill="A2460F"/>
      </w:tcPr>
    </w:tblStylePr>
    <w:tblStylePr w:type="lastCol">
      <w:rPr>
        <w:color w:val="FFFFFF"/>
      </w:rPr>
      <w:tblPr/>
      <w:tcPr>
        <w:shd w:val="clear" w:color="auto" w:fill="A2460F"/>
      </w:tcPr>
    </w:tblStylePr>
    <w:tblStylePr w:type="band1Vert">
      <w:tblPr/>
      <w:tcPr>
        <w:shd w:val="clear" w:color="auto" w:fill="F3AD83"/>
      </w:tcPr>
    </w:tblStylePr>
    <w:tblStylePr w:type="band1Horz">
      <w:tblPr/>
      <w:tcPr>
        <w:shd w:val="clear" w:color="auto" w:fill="F3AD83"/>
      </w:tcPr>
    </w:tblStylePr>
  </w:style>
  <w:style w:type="table" w:styleId="MediumList2-Accent5">
    <w:name w:val="Medium List 2 Accent 5"/>
    <w:basedOn w:val="TableNormal"/>
    <w:uiPriority w:val="66"/>
    <w:locked/>
    <w:rsid w:val="00271CAD"/>
    <w:rPr>
      <w:rFonts w:eastAsia="MS Gothic"/>
      <w:color w:val="000000"/>
    </w:rPr>
    <w:tblPr>
      <w:tblStyleRowBandSize w:val="1"/>
      <w:tblStyleColBandSize w:val="1"/>
      <w:tblBorders>
        <w:top w:val="single" w:sz="8" w:space="0" w:color="D95F15"/>
        <w:left w:val="single" w:sz="8" w:space="0" w:color="D95F15"/>
        <w:bottom w:val="single" w:sz="8" w:space="0" w:color="D95F15"/>
        <w:right w:val="single" w:sz="8" w:space="0" w:color="D95F15"/>
      </w:tblBorders>
    </w:tblPr>
    <w:tblStylePr w:type="firstRow">
      <w:rPr>
        <w:sz w:val="24"/>
        <w:szCs w:val="24"/>
      </w:rPr>
      <w:tblPr/>
      <w:tcPr>
        <w:tcBorders>
          <w:top w:val="nil"/>
          <w:left w:val="nil"/>
          <w:bottom w:val="single" w:sz="24" w:space="0" w:color="D95F15"/>
          <w:right w:val="nil"/>
          <w:insideH w:val="nil"/>
          <w:insideV w:val="nil"/>
        </w:tcBorders>
        <w:shd w:val="clear" w:color="auto" w:fill="FFFFFF"/>
      </w:tcPr>
    </w:tblStylePr>
    <w:tblStylePr w:type="lastRow">
      <w:tblPr/>
      <w:tcPr>
        <w:tcBorders>
          <w:top w:val="single" w:sz="8" w:space="0" w:color="D95F15"/>
          <w:left w:val="nil"/>
          <w:bottom w:val="nil"/>
          <w:right w:val="nil"/>
          <w:insideH w:val="nil"/>
          <w:insideV w:val="nil"/>
        </w:tcBorders>
        <w:shd w:val="clear" w:color="auto" w:fill="FFFFFF"/>
      </w:tcPr>
    </w:tblStylePr>
    <w:tblStylePr w:type="firstCol">
      <w:tblPr/>
      <w:tcPr>
        <w:tcBorders>
          <w:top w:val="nil"/>
          <w:left w:val="nil"/>
          <w:bottom w:val="nil"/>
          <w:right w:val="single" w:sz="8" w:space="0" w:color="D95F15"/>
          <w:insideH w:val="nil"/>
          <w:insideV w:val="nil"/>
        </w:tcBorders>
        <w:shd w:val="clear" w:color="auto" w:fill="FFFFFF"/>
      </w:tcPr>
    </w:tblStylePr>
    <w:tblStylePr w:type="lastCol">
      <w:tblPr/>
      <w:tcPr>
        <w:tcBorders>
          <w:top w:val="nil"/>
          <w:left w:val="single" w:sz="8" w:space="0" w:color="D95F1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9D6C1"/>
      </w:tcPr>
    </w:tblStylePr>
    <w:tblStylePr w:type="band1Horz">
      <w:tblPr/>
      <w:tcPr>
        <w:tcBorders>
          <w:top w:val="nil"/>
          <w:bottom w:val="nil"/>
          <w:insideH w:val="nil"/>
          <w:insideV w:val="nil"/>
        </w:tcBorders>
        <w:shd w:val="clear" w:color="auto" w:fill="F9D6C1"/>
      </w:tcPr>
    </w:tblStylePr>
    <w:tblStylePr w:type="nwCell">
      <w:tblPr/>
      <w:tcPr>
        <w:shd w:val="clear" w:color="auto" w:fill="FFFFFF"/>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rPr>
    <w:tblPr>
      <w:tblStyleRowBandSize w:val="1"/>
      <w:tblStyleColBandSize w:val="1"/>
      <w:tblBorders>
        <w:top w:val="single" w:sz="8" w:space="0" w:color="54BCE7"/>
        <w:bottom w:val="single" w:sz="8" w:space="0" w:color="54BCE7"/>
      </w:tblBorders>
    </w:tblPr>
    <w:tblStylePr w:type="firstRow">
      <w:pPr>
        <w:spacing w:before="0" w:after="0" w:line="240" w:lineRule="auto"/>
      </w:pPr>
      <w:rPr>
        <w:b/>
        <w:bCs/>
      </w:rPr>
      <w:tblPr/>
      <w:tcPr>
        <w:tcBorders>
          <w:top w:val="single" w:sz="8" w:space="0" w:color="54BCE7"/>
          <w:left w:val="nil"/>
          <w:bottom w:val="single" w:sz="8" w:space="0" w:color="54BCE7"/>
          <w:right w:val="nil"/>
          <w:insideH w:val="nil"/>
          <w:insideV w:val="nil"/>
        </w:tcBorders>
      </w:tcPr>
    </w:tblStylePr>
    <w:tblStylePr w:type="lastRow">
      <w:pPr>
        <w:spacing w:before="0" w:after="0" w:line="240" w:lineRule="auto"/>
      </w:pPr>
      <w:rPr>
        <w:b/>
        <w:bCs/>
      </w:rPr>
      <w:tblPr/>
      <w:tcPr>
        <w:tcBorders>
          <w:top w:val="single" w:sz="8" w:space="0" w:color="54BCE7"/>
          <w:left w:val="nil"/>
          <w:bottom w:val="single" w:sz="8" w:space="0" w:color="54BCE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cPr>
    </w:tblStylePr>
    <w:tblStylePr w:type="band1Horz">
      <w:tblPr/>
      <w:tcPr>
        <w:tcBorders>
          <w:left w:val="nil"/>
          <w:right w:val="nil"/>
          <w:insideH w:val="nil"/>
          <w:insideV w:val="nil"/>
        </w:tcBorders>
        <w:shd w:val="clear" w:color="auto" w:fill="D4EEF9"/>
      </w:tcPr>
    </w:tblStylePr>
  </w:style>
  <w:style w:type="table" w:styleId="LightShading-Accent5">
    <w:name w:val="Light Shading Accent 5"/>
    <w:basedOn w:val="TableNormal"/>
    <w:uiPriority w:val="60"/>
    <w:locked/>
    <w:rsid w:val="00271CAD"/>
    <w:rPr>
      <w:color w:val="A2460F"/>
    </w:rPr>
    <w:tblPr>
      <w:tblStyleRowBandSize w:val="1"/>
      <w:tblStyleColBandSize w:val="1"/>
      <w:tblBorders>
        <w:top w:val="single" w:sz="8" w:space="0" w:color="D95F15"/>
        <w:bottom w:val="single" w:sz="8" w:space="0" w:color="D95F15"/>
      </w:tblBorders>
    </w:tblPr>
    <w:tblStylePr w:type="firstRow">
      <w:pPr>
        <w:spacing w:before="0" w:after="0" w:line="240" w:lineRule="auto"/>
      </w:pPr>
      <w:rPr>
        <w:b/>
        <w:bCs/>
      </w:rPr>
      <w:tblPr/>
      <w:tcPr>
        <w:tcBorders>
          <w:top w:val="single" w:sz="8" w:space="0" w:color="D95F15"/>
          <w:left w:val="nil"/>
          <w:bottom w:val="single" w:sz="8" w:space="0" w:color="D95F15"/>
          <w:right w:val="nil"/>
          <w:insideH w:val="nil"/>
          <w:insideV w:val="nil"/>
        </w:tcBorders>
      </w:tcPr>
    </w:tblStylePr>
    <w:tblStylePr w:type="lastRow">
      <w:pPr>
        <w:spacing w:before="0" w:after="0" w:line="240" w:lineRule="auto"/>
      </w:pPr>
      <w:rPr>
        <w:b/>
        <w:bCs/>
      </w:rPr>
      <w:tblPr/>
      <w:tcPr>
        <w:tcBorders>
          <w:top w:val="single" w:sz="8" w:space="0" w:color="D95F15"/>
          <w:left w:val="nil"/>
          <w:bottom w:val="single" w:sz="8" w:space="0" w:color="D95F1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cPr>
    </w:tblStylePr>
    <w:tblStylePr w:type="band1Horz">
      <w:tblPr/>
      <w:tcPr>
        <w:tcBorders>
          <w:left w:val="nil"/>
          <w:right w:val="nil"/>
          <w:insideH w:val="nil"/>
          <w:insideV w:val="nil"/>
        </w:tcBorders>
        <w:shd w:val="clear" w:color="auto" w:fill="F9D6C1"/>
      </w:tcPr>
    </w:tblStylePr>
  </w:style>
  <w:style w:type="table" w:styleId="MediumList2-Accent4">
    <w:name w:val="Medium List 2 Accent 4"/>
    <w:basedOn w:val="TableNormal"/>
    <w:uiPriority w:val="66"/>
    <w:locked/>
    <w:rsid w:val="00F054F3"/>
    <w:rPr>
      <w:rFonts w:eastAsia="MS Gothic"/>
      <w:color w:val="000000"/>
    </w:rPr>
    <w:tblPr>
      <w:tblStyleRowBandSize w:val="1"/>
      <w:tblStyleColBandSize w:val="1"/>
      <w:tblBorders>
        <w:top w:val="single" w:sz="8" w:space="0" w:color="54BCE7"/>
        <w:left w:val="single" w:sz="8" w:space="0" w:color="54BCE7"/>
        <w:bottom w:val="single" w:sz="8" w:space="0" w:color="54BCE7"/>
        <w:right w:val="single" w:sz="8" w:space="0" w:color="54BCE7"/>
      </w:tblBorders>
    </w:tblPr>
    <w:tblStylePr w:type="firstRow">
      <w:rPr>
        <w:sz w:val="24"/>
        <w:szCs w:val="24"/>
      </w:rPr>
      <w:tblPr/>
      <w:tcPr>
        <w:tcBorders>
          <w:top w:val="nil"/>
          <w:left w:val="nil"/>
          <w:bottom w:val="single" w:sz="24" w:space="0" w:color="54BCE7"/>
          <w:right w:val="nil"/>
          <w:insideH w:val="nil"/>
          <w:insideV w:val="nil"/>
        </w:tcBorders>
        <w:shd w:val="clear" w:color="auto" w:fill="FFFFFF"/>
      </w:tcPr>
    </w:tblStylePr>
    <w:tblStylePr w:type="lastRow">
      <w:tblPr/>
      <w:tcPr>
        <w:tcBorders>
          <w:top w:val="single" w:sz="8" w:space="0" w:color="54BCE7"/>
          <w:left w:val="nil"/>
          <w:bottom w:val="nil"/>
          <w:right w:val="nil"/>
          <w:insideH w:val="nil"/>
          <w:insideV w:val="nil"/>
        </w:tcBorders>
        <w:shd w:val="clear" w:color="auto" w:fill="FFFFFF"/>
      </w:tcPr>
    </w:tblStylePr>
    <w:tblStylePr w:type="firstCol">
      <w:tblPr/>
      <w:tcPr>
        <w:tcBorders>
          <w:top w:val="nil"/>
          <w:left w:val="nil"/>
          <w:bottom w:val="nil"/>
          <w:right w:val="single" w:sz="8" w:space="0" w:color="54BCE7"/>
          <w:insideH w:val="nil"/>
          <w:insideV w:val="nil"/>
        </w:tcBorders>
        <w:shd w:val="clear" w:color="auto" w:fill="FFFFFF"/>
      </w:tcPr>
    </w:tblStylePr>
    <w:tblStylePr w:type="lastCol">
      <w:tblPr/>
      <w:tcPr>
        <w:tcBorders>
          <w:top w:val="nil"/>
          <w:left w:val="single" w:sz="8" w:space="0" w:color="54BCE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4EEF9"/>
      </w:tcPr>
    </w:tblStylePr>
    <w:tblStylePr w:type="band1Horz">
      <w:tblPr/>
      <w:tcPr>
        <w:tcBorders>
          <w:top w:val="nil"/>
          <w:bottom w:val="nil"/>
          <w:insideH w:val="nil"/>
          <w:insideV w:val="nil"/>
        </w:tcBorders>
        <w:shd w:val="clear" w:color="auto" w:fill="D4EEF9"/>
      </w:tcPr>
    </w:tblStylePr>
    <w:tblStylePr w:type="nwCell">
      <w:tblPr/>
      <w:tcPr>
        <w:shd w:val="clear" w:color="auto" w:fill="FFFFFF"/>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rPr>
    <w:tblPr>
      <w:tblStyleRowBandSize w:val="1"/>
      <w:tblStyleColBandSize w:val="1"/>
      <w:tblBorders>
        <w:top w:val="single" w:sz="8" w:space="0" w:color="034B89"/>
        <w:bottom w:val="single" w:sz="8" w:space="0" w:color="034B89"/>
      </w:tblBorders>
    </w:tblPr>
    <w:tblStylePr w:type="firstRow">
      <w:pPr>
        <w:spacing w:before="0" w:after="0" w:line="240" w:lineRule="auto"/>
      </w:pPr>
      <w:rPr>
        <w:b/>
        <w:bCs/>
      </w:rPr>
      <w:tblPr/>
      <w:tcPr>
        <w:tcBorders>
          <w:top w:val="single" w:sz="8" w:space="0" w:color="034B89"/>
          <w:left w:val="nil"/>
          <w:bottom w:val="single" w:sz="8" w:space="0" w:color="034B89"/>
          <w:right w:val="nil"/>
          <w:insideH w:val="nil"/>
          <w:insideV w:val="nil"/>
        </w:tcBorders>
      </w:tcPr>
    </w:tblStylePr>
    <w:tblStylePr w:type="lastRow">
      <w:pPr>
        <w:spacing w:before="0" w:after="0" w:line="240" w:lineRule="auto"/>
      </w:pPr>
      <w:rPr>
        <w:b/>
        <w:bCs/>
      </w:rPr>
      <w:tblPr/>
      <w:tcPr>
        <w:tcBorders>
          <w:top w:val="single" w:sz="8" w:space="0" w:color="034B89"/>
          <w:left w:val="nil"/>
          <w:bottom w:val="single" w:sz="8" w:space="0" w:color="034B8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cPr>
    </w:tblStylePr>
    <w:tblStylePr w:type="band1Horz">
      <w:tblPr/>
      <w:tcPr>
        <w:tcBorders>
          <w:left w:val="nil"/>
          <w:right w:val="nil"/>
          <w:insideH w:val="nil"/>
          <w:insideV w:val="nil"/>
        </w:tcBorders>
        <w:shd w:val="clear" w:color="auto" w:fill="A5D4FD"/>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left w:val="single" w:sz="8" w:space="0" w:color="54BCE7"/>
        <w:bottom w:val="single" w:sz="8" w:space="0" w:color="54BCE7"/>
        <w:right w:val="single" w:sz="8" w:space="0" w:color="54BCE7"/>
      </w:tblBorders>
    </w:tblPr>
    <w:tblStylePr w:type="firstRow">
      <w:pPr>
        <w:spacing w:before="0" w:after="0" w:line="240" w:lineRule="auto"/>
      </w:pPr>
      <w:rPr>
        <w:b/>
        <w:bCs/>
        <w:color w:val="FFFFFF"/>
      </w:rPr>
      <w:tblPr/>
      <w:tcPr>
        <w:shd w:val="clear" w:color="auto" w:fill="54BCE7"/>
      </w:tcPr>
    </w:tblStylePr>
    <w:tblStylePr w:type="lastRow">
      <w:pPr>
        <w:spacing w:before="0" w:after="0" w:line="240" w:lineRule="auto"/>
      </w:pPr>
      <w:rPr>
        <w:b/>
        <w:bCs/>
      </w:rPr>
      <w:tblPr/>
      <w:tcPr>
        <w:tcBorders>
          <w:top w:val="double" w:sz="6" w:space="0" w:color="54BCE7"/>
          <w:left w:val="single" w:sz="8" w:space="0" w:color="54BCE7"/>
          <w:bottom w:val="single" w:sz="8" w:space="0" w:color="54BCE7"/>
          <w:right w:val="single" w:sz="8" w:space="0" w:color="54BCE7"/>
        </w:tcBorders>
      </w:tcPr>
    </w:tblStylePr>
    <w:tblStylePr w:type="firstCol">
      <w:rPr>
        <w:b/>
        <w:bCs/>
      </w:rPr>
    </w:tblStylePr>
    <w:tblStylePr w:type="lastCol">
      <w:rPr>
        <w:b/>
        <w:bCs/>
      </w:rPr>
    </w:tblStylePr>
    <w:tblStylePr w:type="band1Vert">
      <w:tblPr/>
      <w:tcPr>
        <w:tcBorders>
          <w:top w:val="single" w:sz="8" w:space="0" w:color="54BCE7"/>
          <w:left w:val="single" w:sz="8" w:space="0" w:color="54BCE7"/>
          <w:bottom w:val="single" w:sz="8" w:space="0" w:color="54BCE7"/>
          <w:right w:val="single" w:sz="8" w:space="0" w:color="54BCE7"/>
        </w:tcBorders>
      </w:tcPr>
    </w:tblStylePr>
    <w:tblStylePr w:type="band1Horz">
      <w:tblPr/>
      <w:tcPr>
        <w:tcBorders>
          <w:top w:val="single" w:sz="8" w:space="0" w:color="54BCE7"/>
          <w:left w:val="single" w:sz="8" w:space="0" w:color="54BCE7"/>
          <w:bottom w:val="single" w:sz="8" w:space="0" w:color="54BCE7"/>
          <w:right w:val="single" w:sz="8" w:space="0" w:color="54BCE7"/>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left w:val="single" w:sz="8" w:space="0" w:color="D95F15"/>
        <w:bottom w:val="single" w:sz="8" w:space="0" w:color="D95F15"/>
        <w:right w:val="single" w:sz="8" w:space="0" w:color="D95F15"/>
      </w:tblBorders>
    </w:tblPr>
    <w:tblStylePr w:type="firstRow">
      <w:pPr>
        <w:spacing w:before="0" w:after="0" w:line="240" w:lineRule="auto"/>
      </w:pPr>
      <w:rPr>
        <w:b/>
        <w:bCs/>
        <w:color w:val="FFFFFF"/>
      </w:rPr>
      <w:tblPr/>
      <w:tcPr>
        <w:shd w:val="clear" w:color="auto" w:fill="D95F15"/>
      </w:tcPr>
    </w:tblStylePr>
    <w:tblStylePr w:type="lastRow">
      <w:pPr>
        <w:spacing w:before="0" w:after="0" w:line="240" w:lineRule="auto"/>
      </w:pPr>
      <w:rPr>
        <w:b/>
        <w:bCs/>
      </w:rPr>
      <w:tblPr/>
      <w:tcPr>
        <w:tcBorders>
          <w:top w:val="double" w:sz="6" w:space="0" w:color="D95F15"/>
          <w:left w:val="single" w:sz="8" w:space="0" w:color="D95F15"/>
          <w:bottom w:val="single" w:sz="8" w:space="0" w:color="D95F15"/>
          <w:right w:val="single" w:sz="8" w:space="0" w:color="D95F15"/>
        </w:tcBorders>
      </w:tcPr>
    </w:tblStylePr>
    <w:tblStylePr w:type="firstCol">
      <w:rPr>
        <w:b/>
        <w:bCs/>
      </w:rPr>
    </w:tblStylePr>
    <w:tblStylePr w:type="lastCol">
      <w:rPr>
        <w:b/>
        <w:bCs/>
      </w:rPr>
    </w:tblStylePr>
    <w:tblStylePr w:type="band1Vert">
      <w:tblPr/>
      <w:tcPr>
        <w:tcBorders>
          <w:top w:val="single" w:sz="8" w:space="0" w:color="D95F15"/>
          <w:left w:val="single" w:sz="8" w:space="0" w:color="D95F15"/>
          <w:bottom w:val="single" w:sz="8" w:space="0" w:color="D95F15"/>
          <w:right w:val="single" w:sz="8" w:space="0" w:color="D95F15"/>
        </w:tcBorders>
      </w:tcPr>
    </w:tblStylePr>
    <w:tblStylePr w:type="band1Horz">
      <w:tblPr/>
      <w:tcPr>
        <w:tcBorders>
          <w:top w:val="single" w:sz="8" w:space="0" w:color="D95F15"/>
          <w:left w:val="single" w:sz="8" w:space="0" w:color="D95F15"/>
          <w:bottom w:val="single" w:sz="8" w:space="0" w:color="D95F15"/>
          <w:right w:val="single" w:sz="8" w:space="0" w:color="D95F15"/>
        </w:tcBorders>
      </w:tcPr>
    </w:tblStylePr>
  </w:style>
  <w:style w:type="table" w:styleId="LightShading-Accent3">
    <w:name w:val="Light Shading Accent 3"/>
    <w:basedOn w:val="TableNormal"/>
    <w:uiPriority w:val="60"/>
    <w:locked/>
    <w:rsid w:val="00441990"/>
    <w:rPr>
      <w:color w:val="84911C"/>
    </w:rPr>
    <w:tblPr>
      <w:tblStyleRowBandSize w:val="1"/>
      <w:tblStyleColBandSize w:val="1"/>
      <w:tblBorders>
        <w:top w:val="single" w:sz="8" w:space="0" w:color="B2C326"/>
        <w:bottom w:val="single" w:sz="8" w:space="0" w:color="B2C326"/>
      </w:tblBorders>
    </w:tblPr>
    <w:tblStylePr w:type="firstRow">
      <w:pPr>
        <w:spacing w:before="0" w:after="0" w:line="240" w:lineRule="auto"/>
      </w:pPr>
      <w:rPr>
        <w:b/>
        <w:bCs/>
      </w:rPr>
      <w:tblPr/>
      <w:tcPr>
        <w:tcBorders>
          <w:top w:val="single" w:sz="8" w:space="0" w:color="B2C326"/>
          <w:left w:val="nil"/>
          <w:bottom w:val="single" w:sz="8" w:space="0" w:color="B2C326"/>
          <w:right w:val="nil"/>
          <w:insideH w:val="nil"/>
          <w:insideV w:val="nil"/>
        </w:tcBorders>
      </w:tcPr>
    </w:tblStylePr>
    <w:tblStylePr w:type="lastRow">
      <w:pPr>
        <w:spacing w:before="0" w:after="0" w:line="240" w:lineRule="auto"/>
      </w:pPr>
      <w:rPr>
        <w:b/>
        <w:bCs/>
      </w:rPr>
      <w:tblPr/>
      <w:tcPr>
        <w:tcBorders>
          <w:top w:val="single" w:sz="8" w:space="0" w:color="B2C326"/>
          <w:left w:val="nil"/>
          <w:bottom w:val="single" w:sz="8" w:space="0" w:color="B2C32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cPr>
    </w:tblStylePr>
    <w:tblStylePr w:type="band1Horz">
      <w:tblPr/>
      <w:tcPr>
        <w:tcBorders>
          <w:left w:val="nil"/>
          <w:right w:val="nil"/>
          <w:insideH w:val="nil"/>
          <w:insideV w:val="nil"/>
        </w:tcBorders>
        <w:shd w:val="clear" w:color="auto" w:fill="EEF3C5"/>
      </w:tcPr>
    </w:tblStylePr>
  </w:style>
  <w:style w:type="table" w:styleId="LightShading-Accent6">
    <w:name w:val="Light Shading Accent 6"/>
    <w:basedOn w:val="TableNormal"/>
    <w:uiPriority w:val="60"/>
    <w:locked/>
    <w:rsid w:val="00441990"/>
    <w:rPr>
      <w:color w:val="5F5F5F"/>
    </w:rPr>
    <w:tblPr>
      <w:tblStyleRowBandSize w:val="1"/>
      <w:tblStyleColBandSize w:val="1"/>
      <w:tblBorders>
        <w:top w:val="single" w:sz="8" w:space="0" w:color="7F7F7F"/>
        <w:bottom w:val="single" w:sz="8" w:space="0" w:color="7F7F7F"/>
      </w:tblBorders>
    </w:tblPr>
    <w:tblStylePr w:type="firstRow">
      <w:pPr>
        <w:spacing w:before="0" w:after="0" w:line="240" w:lineRule="auto"/>
      </w:pPr>
      <w:rPr>
        <w:b/>
        <w:bCs/>
      </w:rPr>
      <w:tblPr/>
      <w:tcPr>
        <w:tcBorders>
          <w:top w:val="single" w:sz="8" w:space="0" w:color="7F7F7F"/>
          <w:left w:val="nil"/>
          <w:bottom w:val="single" w:sz="8" w:space="0" w:color="7F7F7F"/>
          <w:right w:val="nil"/>
          <w:insideH w:val="nil"/>
          <w:insideV w:val="nil"/>
        </w:tcBorders>
      </w:tcPr>
    </w:tblStylePr>
    <w:tblStylePr w:type="lastRow">
      <w:pPr>
        <w:spacing w:before="0" w:after="0" w:line="240" w:lineRule="auto"/>
      </w:pPr>
      <w:rPr>
        <w:b/>
        <w:bCs/>
      </w:rPr>
      <w:tblPr/>
      <w:tcPr>
        <w:tcBorders>
          <w:top w:val="single" w:sz="8" w:space="0" w:color="7F7F7F"/>
          <w:left w:val="nil"/>
          <w:bottom w:val="single" w:sz="8" w:space="0" w:color="7F7F7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cPr>
    </w:tblStylePr>
    <w:tblStylePr w:type="band1Horz">
      <w:tblPr/>
      <w:tcPr>
        <w:tcBorders>
          <w:left w:val="nil"/>
          <w:right w:val="nil"/>
          <w:insideH w:val="nil"/>
          <w:insideV w:val="nil"/>
        </w:tcBorders>
        <w:shd w:val="clear" w:color="auto" w:fill="DFDFDF"/>
      </w:tcPr>
    </w:tblStylePr>
  </w:style>
  <w:style w:type="character" w:styleId="CommentReference">
    <w:name w:val="annotation reference"/>
    <w:uiPriority w:val="99"/>
    <w:unhideWhenUsed/>
    <w:rsid w:val="00582C4F"/>
    <w:rPr>
      <w:sz w:val="16"/>
      <w:szCs w:val="16"/>
    </w:rPr>
  </w:style>
  <w:style w:type="paragraph" w:styleId="CommentText">
    <w:name w:val="annotation text"/>
    <w:basedOn w:val="Normal"/>
    <w:link w:val="CommentTextChar"/>
    <w:unhideWhenUsed/>
    <w:rsid w:val="00582C4F"/>
    <w:rPr>
      <w:sz w:val="20"/>
      <w:szCs w:val="20"/>
    </w:rPr>
  </w:style>
  <w:style w:type="character" w:customStyle="1" w:styleId="CommentTextChar">
    <w:name w:val="Comment Text Char"/>
    <w:link w:val="CommentText"/>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rPr>
    <w:tblPr>
      <w:tblBorders>
        <w:top w:val="single" w:sz="8" w:space="0" w:color="00AF41"/>
        <w:bottom w:val="single" w:sz="8" w:space="0" w:color="00AF41"/>
      </w:tblBorders>
      <w:tblCellMar>
        <w:left w:w="0" w:type="dxa"/>
        <w:right w:w="0" w:type="dxa"/>
      </w:tblCellMar>
    </w:tblPr>
    <w:tblStylePr w:type="firstRow">
      <w:rPr>
        <w:b/>
      </w:rPr>
      <w:tblPr/>
      <w:tcPr>
        <w:tcBorders>
          <w:bottom w:val="single" w:sz="8" w:space="0" w:color="00AF41"/>
        </w:tcBorders>
      </w:tcPr>
    </w:tblStylePr>
    <w:tblStylePr w:type="lastRow">
      <w:rPr>
        <w:b/>
      </w:rPr>
      <w:tblPr/>
      <w:tcPr>
        <w:tcBorders>
          <w:top w:val="single" w:sz="8" w:space="0" w:color="00AF41"/>
        </w:tcBorders>
      </w:tcPr>
    </w:tblStylePr>
  </w:style>
  <w:style w:type="table" w:customStyle="1" w:styleId="TableStyle3">
    <w:name w:val="Table Style 3"/>
    <w:basedOn w:val="TableNormal"/>
    <w:uiPriority w:val="99"/>
    <w:qFormat/>
    <w:rsid w:val="005019EF"/>
    <w:pPr>
      <w:ind w:left="85" w:right="85"/>
      <w:jc w:val="right"/>
    </w:pPr>
    <w:rPr>
      <w:color w:val="000000"/>
    </w:rPr>
    <w:tblPr>
      <w:tblBorders>
        <w:top w:val="single" w:sz="8" w:space="0" w:color="00AF41"/>
        <w:left w:val="single" w:sz="8" w:space="0" w:color="00AF41"/>
        <w:bottom w:val="single" w:sz="8" w:space="0" w:color="00AF41"/>
        <w:right w:val="single" w:sz="8" w:space="0" w:color="00AF41"/>
        <w:insideH w:val="single" w:sz="8" w:space="0" w:color="00AF41"/>
      </w:tblBorders>
      <w:tblCellMar>
        <w:left w:w="0" w:type="dxa"/>
        <w:right w:w="0" w:type="dxa"/>
      </w:tblCellMar>
    </w:tblPr>
    <w:tblStylePr w:type="firstRow">
      <w:rPr>
        <w:b/>
        <w:color w:val="FFFFFF"/>
      </w:rPr>
      <w:tblPr/>
      <w:tcPr>
        <w:shd w:val="clear" w:color="auto" w:fill="00AF41"/>
      </w:tcPr>
    </w:tblStylePr>
    <w:tblStylePr w:type="firstCol">
      <w:pPr>
        <w:wordWrap/>
        <w:jc w:val="left"/>
      </w:pPr>
      <w:rPr>
        <w:b/>
      </w:rPr>
    </w:tblStylePr>
  </w:style>
  <w:style w:type="table" w:customStyle="1" w:styleId="TableStyle4">
    <w:name w:val="Table Style 4"/>
    <w:basedOn w:val="BlankTableStyle"/>
    <w:uiPriority w:val="99"/>
    <w:qFormat/>
    <w:rsid w:val="00066C0C"/>
    <w:pPr>
      <w:ind w:left="85" w:right="85"/>
    </w:pPr>
    <w:tblPr>
      <w:tblBorders>
        <w:top w:val="single" w:sz="8" w:space="0" w:color="008938"/>
        <w:left w:val="single" w:sz="8" w:space="0" w:color="008938"/>
        <w:bottom w:val="single" w:sz="8" w:space="0" w:color="008938"/>
        <w:right w:val="single" w:sz="8" w:space="0" w:color="008938"/>
        <w:insideH w:val="single" w:sz="8" w:space="0" w:color="008938"/>
        <w:insideV w:val="single" w:sz="8" w:space="0" w:color="008938"/>
      </w:tblBorders>
    </w:tblPr>
    <w:tcPr>
      <w:shd w:val="clear" w:color="auto" w:fill="auto"/>
    </w:tcPr>
    <w:tblStylePr w:type="firstRow">
      <w:rPr>
        <w:rFonts w:ascii="Arial" w:hAnsi="Arial"/>
        <w:b/>
        <w:color w:val="FFFFFF"/>
        <w:sz w:val="28"/>
        <w:u w:val="none" w:color="FFFFFF"/>
      </w:rPr>
      <w:tblPr/>
      <w:tcPr>
        <w:shd w:val="clear" w:color="auto" w:fill="008938"/>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Pr>
    <w:tcPr>
      <w:shd w:val="clear" w:color="auto" w:fill="auto"/>
    </w:tcPr>
    <w:tblStylePr w:type="firstRow">
      <w:rPr>
        <w:rFonts w:ascii="Arial" w:hAnsi="Arial"/>
        <w:b/>
        <w:color w:val="FFFFFF"/>
        <w:sz w:val="28"/>
        <w:u w:val="none" w:color="FFFFFF"/>
      </w:rPr>
      <w:tblPr/>
      <w:tcPr>
        <w:shd w:val="clear" w:color="auto" w:fill="7F7F7F"/>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left w:val="single" w:sz="8" w:space="0" w:color="7F7F7F"/>
        <w:bottom w:val="single" w:sz="8" w:space="0" w:color="7F7F7F"/>
        <w:right w:val="single" w:sz="8" w:space="0" w:color="7F7F7F"/>
        <w:insideH w:val="single" w:sz="8" w:space="0" w:color="7F7F7F"/>
      </w:tblBorders>
    </w:tblPr>
    <w:tcPr>
      <w:shd w:val="clear" w:color="auto" w:fill="FFFFFF"/>
    </w:tcPr>
    <w:tblStylePr w:type="firstRow">
      <w:rPr>
        <w:b/>
        <w:color w:val="FFFFFF"/>
      </w:rPr>
      <w:tblPr/>
      <w:tcPr>
        <w:shd w:val="clear" w:color="auto" w:fill="7F7F7F"/>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rPr>
    <w:tblPr>
      <w:tblBorders>
        <w:top w:val="single" w:sz="8" w:space="0" w:color="7F7F7F"/>
        <w:bottom w:val="single" w:sz="4" w:space="0" w:color="7F7F7F"/>
      </w:tblBorders>
    </w:tblPr>
    <w:tblStylePr w:type="firstRow">
      <w:rPr>
        <w:b/>
      </w:rPr>
      <w:tblPr/>
      <w:tcPr>
        <w:tcBorders>
          <w:bottom w:val="single" w:sz="4" w:space="0" w:color="7F7F7F"/>
        </w:tcBorders>
      </w:tcPr>
    </w:tblStylePr>
    <w:tblStylePr w:type="lastRow">
      <w:rPr>
        <w:b/>
      </w:rPr>
      <w:tblPr/>
      <w:tcPr>
        <w:tcBorders>
          <w:top w:val="single" w:sz="4" w:space="0" w:color="7F7F7F"/>
        </w:tcBorders>
      </w:tcPr>
    </w:tblStylePr>
  </w:style>
  <w:style w:type="table" w:customStyle="1" w:styleId="TableGridGreen">
    <w:name w:val="Table Grid (Green)"/>
    <w:basedOn w:val="TableGrid"/>
    <w:uiPriority w:val="99"/>
    <w:qFormat/>
    <w:rsid w:val="001728CC"/>
    <w:tblPr>
      <w:tblBorders>
        <w:top w:val="single" w:sz="8" w:space="0" w:color="54BCE7"/>
        <w:left w:val="single" w:sz="8" w:space="0" w:color="54BCE7"/>
        <w:bottom w:val="single" w:sz="8" w:space="0" w:color="54BCE7"/>
        <w:right w:val="single" w:sz="8" w:space="0" w:color="54BCE7"/>
        <w:insideH w:val="single" w:sz="8" w:space="0" w:color="54BCE7"/>
        <w:insideV w:val="single" w:sz="8" w:space="0" w:color="54BCE7"/>
      </w:tblBorders>
    </w:tblPr>
    <w:tblStylePr w:type="firstRow">
      <w:rPr>
        <w:b/>
        <w:color w:val="FFFFFF"/>
      </w:rPr>
      <w:tblPr/>
      <w:tcPr>
        <w:tcBorders>
          <w:insideV w:val="single" w:sz="8" w:space="0" w:color="FFFFFF"/>
        </w:tcBorders>
        <w:shd w:val="clear" w:color="auto" w:fill="7F7F7F"/>
      </w:tcPr>
    </w:tblStylePr>
    <w:tblStylePr w:type="firstCol">
      <w:rPr>
        <w:b/>
      </w:rPr>
    </w:tblStylePr>
    <w:tblStylePr w:type="band2Horz">
      <w:tblPr/>
      <w:tcPr>
        <w:shd w:val="clear" w:color="auto" w:fill="E5E5E5"/>
      </w:tcPr>
    </w:tblStylePr>
  </w:style>
  <w:style w:type="character" w:customStyle="1" w:styleId="Boldtextblack">
    <w:name w:val="Bold text black"/>
    <w:uiPriority w:val="1"/>
    <w:rsid w:val="00BE345D"/>
    <w:rPr>
      <w:b/>
    </w:rPr>
  </w:style>
  <w:style w:type="character" w:styleId="PlaceholderText">
    <w:name w:val="Placeholder Tex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eastAsia="MS Gothic"/>
      <w:spacing w:val="-10"/>
      <w:kern w:val="28"/>
      <w:sz w:val="56"/>
      <w:szCs w:val="56"/>
    </w:rPr>
  </w:style>
  <w:style w:type="character" w:customStyle="1" w:styleId="TitleChar">
    <w:name w:val="Title Char"/>
    <w:link w:val="Title"/>
    <w:uiPriority w:val="10"/>
    <w:rsid w:val="00227951"/>
    <w:rPr>
      <w:rFonts w:ascii="Arial" w:eastAsia="MS Gothic" w:hAnsi="Arial" w:cs="Times New Roman"/>
      <w:spacing w:val="-10"/>
      <w:kern w:val="28"/>
      <w:sz w:val="56"/>
      <w:szCs w:val="56"/>
      <w:lang w:eastAsia="en-US"/>
    </w:rPr>
  </w:style>
  <w:style w:type="character" w:styleId="Strong">
    <w:name w:val="Strong"/>
    <w:uiPriority w:val="22"/>
    <w:rsid w:val="00227951"/>
    <w:rPr>
      <w:b/>
      <w:bCs/>
    </w:rPr>
  </w:style>
  <w:style w:type="character" w:customStyle="1" w:styleId="Normalbold">
    <w:name w:val="Normal bold"/>
    <w:uiPriority w:val="1"/>
    <w:rsid w:val="009554C2"/>
    <w:rPr>
      <w:rFonts w:ascii="Arial" w:hAnsi="Arial" w:cs="Calibri"/>
      <w:b/>
      <w:color w:val="000000"/>
      <w:sz w:val="24"/>
      <w:szCs w:val="22"/>
    </w:rPr>
  </w:style>
  <w:style w:type="character" w:styleId="IntenseEmphasis">
    <w:name w:val="Intense Emphasis"/>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bottom w:val="single" w:sz="4" w:space="10" w:color="00AF41"/>
      </w:pBdr>
      <w:spacing w:before="360" w:after="360"/>
      <w:ind w:left="864" w:right="864"/>
      <w:jc w:val="center"/>
    </w:pPr>
    <w:rPr>
      <w:i/>
      <w:iCs/>
      <w:color w:val="008631"/>
    </w:rPr>
  </w:style>
  <w:style w:type="character" w:customStyle="1" w:styleId="IntenseQuoteChar">
    <w:name w:val="Intense Quote Char"/>
    <w:link w:val="IntenseQuote"/>
    <w:uiPriority w:val="30"/>
    <w:rsid w:val="00742965"/>
    <w:rPr>
      <w:i/>
      <w:iCs/>
      <w:color w:val="008631"/>
      <w:sz w:val="24"/>
      <w:szCs w:val="22"/>
      <w:lang w:eastAsia="en-US"/>
    </w:rPr>
  </w:style>
  <w:style w:type="character" w:styleId="IntenseReference">
    <w:name w:val="Intense Reference"/>
    <w:uiPriority w:val="32"/>
    <w:rsid w:val="00742965"/>
    <w:rPr>
      <w:b/>
      <w:bCs/>
      <w:smallCaps/>
      <w:color w:val="008631"/>
      <w:spacing w:val="5"/>
    </w:rPr>
  </w:style>
  <w:style w:type="character" w:styleId="FollowedHyperlink">
    <w:name w:val="FollowedHyperlink"/>
    <w:uiPriority w:val="99"/>
    <w:semiHidden/>
    <w:unhideWhenUsed/>
    <w:rsid w:val="0095191D"/>
    <w:rPr>
      <w:color w:val="B2C326"/>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qFormat/>
    <w:rsid w:val="005E791A"/>
    <w:pPr>
      <w:spacing w:before="360" w:after="0"/>
    </w:pPr>
    <w:rPr>
      <w:b/>
      <w:iCs/>
      <w:sz w:val="22"/>
      <w:szCs w:val="18"/>
    </w:rPr>
  </w:style>
  <w:style w:type="paragraph" w:customStyle="1" w:styleId="Contents">
    <w:name w:val="Contents"/>
    <w:basedOn w:val="Normal"/>
    <w:next w:val="Normal"/>
    <w:uiPriority w:val="2"/>
    <w:qFormat/>
    <w:rsid w:val="00482975"/>
    <w:rPr>
      <w:b/>
      <w:color w:val="008938"/>
      <w:sz w:val="28"/>
      <w:lang w:eastAsia="en-GB"/>
    </w:rPr>
  </w:style>
  <w:style w:type="paragraph" w:styleId="ListParagraph">
    <w:name w:val="List Paragraph"/>
    <w:basedOn w:val="Normal"/>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styleId="UnresolvedMention">
    <w:name w:val="Unresolved Mention"/>
    <w:uiPriority w:val="99"/>
    <w:unhideWhenUsed/>
    <w:rsid w:val="00DB646E"/>
    <w:rPr>
      <w:color w:val="605E5C"/>
      <w:shd w:val="clear" w:color="auto" w:fill="E1DFDD"/>
    </w:rPr>
  </w:style>
  <w:style w:type="paragraph" w:styleId="NormalWeb">
    <w:name w:val="Normal (Web)"/>
    <w:basedOn w:val="Normal"/>
    <w:uiPriority w:val="99"/>
    <w:unhideWhenUsed/>
    <w:rsid w:val="00706BBA"/>
    <w:pPr>
      <w:spacing w:before="0" w:after="360" w:line="240" w:lineRule="auto"/>
    </w:pPr>
    <w:rPr>
      <w:rFonts w:ascii="Times New Roman" w:eastAsia="Times New Roman" w:hAnsi="Times New Roman"/>
      <w:szCs w:val="24"/>
      <w:lang w:eastAsia="en-GB"/>
    </w:rPr>
  </w:style>
  <w:style w:type="character" w:styleId="FootnoteReference">
    <w:name w:val="footnote reference"/>
    <w:uiPriority w:val="99"/>
    <w:unhideWhenUsed/>
    <w:rsid w:val="00844711"/>
    <w:rPr>
      <w:vertAlign w:val="superscript"/>
    </w:rPr>
  </w:style>
  <w:style w:type="paragraph" w:styleId="EndnoteText">
    <w:name w:val="endnote text"/>
    <w:basedOn w:val="Normal"/>
    <w:link w:val="EndnoteTextChar"/>
    <w:uiPriority w:val="99"/>
    <w:semiHidden/>
    <w:unhideWhenUsed/>
    <w:rsid w:val="00B638A0"/>
    <w:pPr>
      <w:spacing w:before="0" w:after="0" w:line="240" w:lineRule="auto"/>
    </w:pPr>
    <w:rPr>
      <w:sz w:val="20"/>
      <w:szCs w:val="20"/>
    </w:rPr>
  </w:style>
  <w:style w:type="character" w:customStyle="1" w:styleId="EndnoteTextChar">
    <w:name w:val="Endnote Text Char"/>
    <w:link w:val="EndnoteText"/>
    <w:uiPriority w:val="99"/>
    <w:semiHidden/>
    <w:rsid w:val="00B638A0"/>
    <w:rPr>
      <w:lang w:eastAsia="en-US"/>
    </w:rPr>
  </w:style>
  <w:style w:type="character" w:styleId="EndnoteReference">
    <w:name w:val="endnote reference"/>
    <w:uiPriority w:val="99"/>
    <w:semiHidden/>
    <w:unhideWhenUsed/>
    <w:rsid w:val="00B638A0"/>
    <w:rPr>
      <w:vertAlign w:val="superscript"/>
    </w:rPr>
  </w:style>
  <w:style w:type="table" w:customStyle="1" w:styleId="TableGrid0">
    <w:name w:val="TableGrid"/>
    <w:rsid w:val="00135751"/>
    <w:rPr>
      <w:rFonts w:eastAsia="MS Mincho"/>
      <w:sz w:val="22"/>
      <w:szCs w:val="22"/>
      <w:lang w:val="en-US" w:eastAsia="en-US"/>
    </w:rPr>
    <w:tblPr>
      <w:tblCellMar>
        <w:top w:w="0" w:type="dxa"/>
        <w:left w:w="0" w:type="dxa"/>
        <w:bottom w:w="0" w:type="dxa"/>
        <w:right w:w="0" w:type="dxa"/>
      </w:tblCellMar>
    </w:tblPr>
  </w:style>
  <w:style w:type="character" w:customStyle="1" w:styleId="legds">
    <w:name w:val="legds"/>
    <w:basedOn w:val="DefaultParagraphFont"/>
    <w:rsid w:val="002E1B14"/>
  </w:style>
  <w:style w:type="paragraph" w:customStyle="1" w:styleId="legclearfix">
    <w:name w:val="legclearfix"/>
    <w:basedOn w:val="Normal"/>
    <w:rsid w:val="002E1B14"/>
    <w:pPr>
      <w:spacing w:before="100" w:beforeAutospacing="1" w:after="100" w:afterAutospacing="1" w:line="240" w:lineRule="auto"/>
    </w:pPr>
    <w:rPr>
      <w:rFonts w:ascii="Times New Roman" w:eastAsia="Times New Roman" w:hAnsi="Times New Roman"/>
      <w:szCs w:val="24"/>
      <w:lang w:eastAsia="en-GB"/>
    </w:rPr>
  </w:style>
  <w:style w:type="paragraph" w:customStyle="1" w:styleId="legrhs">
    <w:name w:val="legrhs"/>
    <w:basedOn w:val="Normal"/>
    <w:rsid w:val="002E1B14"/>
    <w:pPr>
      <w:spacing w:before="100" w:beforeAutospacing="1" w:after="100" w:afterAutospacing="1" w:line="240" w:lineRule="auto"/>
    </w:pPr>
    <w:rPr>
      <w:rFonts w:ascii="Times New Roman" w:eastAsia="Times New Roman" w:hAnsi="Times New Roman"/>
      <w:szCs w:val="24"/>
      <w:lang w:eastAsia="en-GB"/>
    </w:rPr>
  </w:style>
  <w:style w:type="character" w:styleId="Mention">
    <w:name w:val="Mention"/>
    <w:uiPriority w:val="99"/>
    <w:unhideWhenUsed/>
    <w:rPr>
      <w:color w:val="2B579A"/>
      <w:shd w:val="clear" w:color="auto" w:fill="E6E6E6"/>
    </w:rPr>
  </w:style>
  <w:style w:type="paragraph" w:styleId="Revision">
    <w:name w:val="Revision"/>
    <w:hidden/>
    <w:uiPriority w:val="99"/>
    <w:semiHidden/>
    <w:rsid w:val="00707F46"/>
    <w:rPr>
      <w:sz w:val="24"/>
      <w:szCs w:val="22"/>
      <w:lang w:eastAsia="en-US"/>
    </w:rPr>
  </w:style>
  <w:style w:type="paragraph" w:customStyle="1" w:styleId="legp2paratext">
    <w:name w:val="legp2paratext"/>
    <w:basedOn w:val="Normal"/>
    <w:rsid w:val="00076AAE"/>
    <w:pPr>
      <w:spacing w:before="100" w:beforeAutospacing="1" w:after="100" w:afterAutospacing="1" w:line="240" w:lineRule="auto"/>
    </w:pPr>
    <w:rPr>
      <w:rFonts w:ascii="Times New Roman" w:eastAsia="Times New Roman" w:hAnsi="Times New Roman"/>
      <w:szCs w:val="24"/>
      <w:lang w:eastAsia="en-GB"/>
    </w:rPr>
  </w:style>
  <w:style w:type="character" w:customStyle="1" w:styleId="legaddition">
    <w:name w:val="legaddition"/>
    <w:basedOn w:val="DefaultParagraphFont"/>
    <w:rsid w:val="00076AAE"/>
  </w:style>
  <w:style w:type="character" w:customStyle="1" w:styleId="legchangedelimiter">
    <w:name w:val="legchangedelimiter"/>
    <w:basedOn w:val="DefaultParagraphFont"/>
    <w:rsid w:val="00076AAE"/>
  </w:style>
  <w:style w:type="paragraph" w:customStyle="1" w:styleId="paragraph">
    <w:name w:val="paragraph"/>
    <w:basedOn w:val="Normal"/>
    <w:rsid w:val="00173F5B"/>
    <w:pPr>
      <w:spacing w:before="100" w:beforeAutospacing="1" w:after="100" w:afterAutospacing="1" w:line="240" w:lineRule="auto"/>
    </w:pPr>
    <w:rPr>
      <w:rFonts w:ascii="Times New Roman" w:eastAsia="Times New Roman" w:hAnsi="Times New Roman"/>
      <w:szCs w:val="24"/>
      <w:lang w:eastAsia="en-GB"/>
    </w:rPr>
  </w:style>
  <w:style w:type="character" w:customStyle="1" w:styleId="normaltextrun">
    <w:name w:val="normaltextrun"/>
    <w:basedOn w:val="DefaultParagraphFont"/>
    <w:rsid w:val="00173F5B"/>
  </w:style>
  <w:style w:type="character" w:customStyle="1" w:styleId="eop">
    <w:name w:val="eop"/>
    <w:basedOn w:val="DefaultParagraphFont"/>
    <w:rsid w:val="00173F5B"/>
  </w:style>
  <w:style w:type="character" w:customStyle="1" w:styleId="superscript0">
    <w:name w:val="superscript"/>
    <w:basedOn w:val="DefaultParagraphFont"/>
    <w:rsid w:val="00173F5B"/>
  </w:style>
  <w:style w:type="table" w:styleId="PlainTable1">
    <w:name w:val="Plain Table 1"/>
    <w:basedOn w:val="TableNormal"/>
    <w:uiPriority w:val="99"/>
    <w:rsid w:val="00065E89"/>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1Light-Accent1">
    <w:name w:val="Grid Table 1 Light Accent 1"/>
    <w:basedOn w:val="TableNormal"/>
    <w:uiPriority w:val="46"/>
    <w:rsid w:val="00065E89"/>
    <w:tblPr>
      <w:tblStyleRowBandSize w:val="1"/>
      <w:tblStyleColBandSize w:val="1"/>
      <w:tblBorders>
        <w:top w:val="single" w:sz="4" w:space="0" w:color="79FFAA"/>
        <w:left w:val="single" w:sz="4" w:space="0" w:color="79FFAA"/>
        <w:bottom w:val="single" w:sz="4" w:space="0" w:color="79FFAA"/>
        <w:right w:val="single" w:sz="4" w:space="0" w:color="79FFAA"/>
        <w:insideH w:val="single" w:sz="4" w:space="0" w:color="79FFAA"/>
        <w:insideV w:val="single" w:sz="4" w:space="0" w:color="79FFAA"/>
      </w:tblBorders>
    </w:tblPr>
    <w:tblStylePr w:type="firstRow">
      <w:rPr>
        <w:b/>
        <w:bCs/>
      </w:rPr>
      <w:tblPr/>
      <w:tcPr>
        <w:tcBorders>
          <w:bottom w:val="single" w:sz="12" w:space="0" w:color="36FF80"/>
        </w:tcBorders>
      </w:tcPr>
    </w:tblStylePr>
    <w:tblStylePr w:type="lastRow">
      <w:rPr>
        <w:b/>
        <w:bCs/>
      </w:rPr>
      <w:tblPr/>
      <w:tcPr>
        <w:tcBorders>
          <w:top w:val="double" w:sz="2" w:space="0" w:color="36FF80"/>
        </w:tcBorders>
      </w:tcPr>
    </w:tblStylePr>
    <w:tblStylePr w:type="firstCol">
      <w:rPr>
        <w:b/>
        <w:bCs/>
      </w:rPr>
    </w:tblStylePr>
    <w:tblStylePr w:type="lastCol">
      <w:rPr>
        <w:b/>
        <w:bCs/>
      </w:rPr>
    </w:tblStylePr>
  </w:style>
  <w:style w:type="paragraph" w:styleId="NoSpacing">
    <w:name w:val="No Spacing"/>
    <w:uiPriority w:val="1"/>
    <w:qFormat/>
    <w:rsid w:val="004C1EA1"/>
  </w:style>
  <w:style w:type="character" w:customStyle="1" w:styleId="cf01">
    <w:name w:val="cf01"/>
    <w:basedOn w:val="DefaultParagraphFont"/>
    <w:rsid w:val="00E7658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5424">
      <w:bodyDiv w:val="1"/>
      <w:marLeft w:val="0"/>
      <w:marRight w:val="0"/>
      <w:marTop w:val="0"/>
      <w:marBottom w:val="0"/>
      <w:divBdr>
        <w:top w:val="none" w:sz="0" w:space="0" w:color="auto"/>
        <w:left w:val="none" w:sz="0" w:space="0" w:color="auto"/>
        <w:bottom w:val="none" w:sz="0" w:space="0" w:color="auto"/>
        <w:right w:val="none" w:sz="0" w:space="0" w:color="auto"/>
      </w:divBdr>
    </w:div>
    <w:div w:id="5180433">
      <w:bodyDiv w:val="1"/>
      <w:marLeft w:val="0"/>
      <w:marRight w:val="0"/>
      <w:marTop w:val="0"/>
      <w:marBottom w:val="0"/>
      <w:divBdr>
        <w:top w:val="none" w:sz="0" w:space="0" w:color="auto"/>
        <w:left w:val="none" w:sz="0" w:space="0" w:color="auto"/>
        <w:bottom w:val="none" w:sz="0" w:space="0" w:color="auto"/>
        <w:right w:val="none" w:sz="0" w:space="0" w:color="auto"/>
      </w:divBdr>
    </w:div>
    <w:div w:id="69928262">
      <w:bodyDiv w:val="1"/>
      <w:marLeft w:val="0"/>
      <w:marRight w:val="0"/>
      <w:marTop w:val="0"/>
      <w:marBottom w:val="0"/>
      <w:divBdr>
        <w:top w:val="none" w:sz="0" w:space="0" w:color="auto"/>
        <w:left w:val="none" w:sz="0" w:space="0" w:color="auto"/>
        <w:bottom w:val="none" w:sz="0" w:space="0" w:color="auto"/>
        <w:right w:val="none" w:sz="0" w:space="0" w:color="auto"/>
      </w:divBdr>
    </w:div>
    <w:div w:id="100421267">
      <w:bodyDiv w:val="1"/>
      <w:marLeft w:val="0"/>
      <w:marRight w:val="0"/>
      <w:marTop w:val="0"/>
      <w:marBottom w:val="0"/>
      <w:divBdr>
        <w:top w:val="none" w:sz="0" w:space="0" w:color="auto"/>
        <w:left w:val="none" w:sz="0" w:space="0" w:color="auto"/>
        <w:bottom w:val="none" w:sz="0" w:space="0" w:color="auto"/>
        <w:right w:val="none" w:sz="0" w:space="0" w:color="auto"/>
      </w:divBdr>
    </w:div>
    <w:div w:id="163516686">
      <w:bodyDiv w:val="1"/>
      <w:marLeft w:val="0"/>
      <w:marRight w:val="0"/>
      <w:marTop w:val="0"/>
      <w:marBottom w:val="0"/>
      <w:divBdr>
        <w:top w:val="none" w:sz="0" w:space="0" w:color="auto"/>
        <w:left w:val="none" w:sz="0" w:space="0" w:color="auto"/>
        <w:bottom w:val="none" w:sz="0" w:space="0" w:color="auto"/>
        <w:right w:val="none" w:sz="0" w:space="0" w:color="auto"/>
      </w:divBdr>
      <w:divsChild>
        <w:div w:id="96561819">
          <w:marLeft w:val="0"/>
          <w:marRight w:val="0"/>
          <w:marTop w:val="0"/>
          <w:marBottom w:val="0"/>
          <w:divBdr>
            <w:top w:val="none" w:sz="0" w:space="0" w:color="auto"/>
            <w:left w:val="none" w:sz="0" w:space="0" w:color="auto"/>
            <w:bottom w:val="none" w:sz="0" w:space="0" w:color="auto"/>
            <w:right w:val="none" w:sz="0" w:space="0" w:color="auto"/>
          </w:divBdr>
        </w:div>
        <w:div w:id="301428370">
          <w:marLeft w:val="0"/>
          <w:marRight w:val="0"/>
          <w:marTop w:val="0"/>
          <w:marBottom w:val="0"/>
          <w:divBdr>
            <w:top w:val="none" w:sz="0" w:space="0" w:color="auto"/>
            <w:left w:val="none" w:sz="0" w:space="0" w:color="auto"/>
            <w:bottom w:val="none" w:sz="0" w:space="0" w:color="auto"/>
            <w:right w:val="none" w:sz="0" w:space="0" w:color="auto"/>
          </w:divBdr>
        </w:div>
        <w:div w:id="353191926">
          <w:marLeft w:val="0"/>
          <w:marRight w:val="0"/>
          <w:marTop w:val="0"/>
          <w:marBottom w:val="0"/>
          <w:divBdr>
            <w:top w:val="none" w:sz="0" w:space="0" w:color="auto"/>
            <w:left w:val="none" w:sz="0" w:space="0" w:color="auto"/>
            <w:bottom w:val="none" w:sz="0" w:space="0" w:color="auto"/>
            <w:right w:val="none" w:sz="0" w:space="0" w:color="auto"/>
          </w:divBdr>
        </w:div>
        <w:div w:id="433135305">
          <w:marLeft w:val="0"/>
          <w:marRight w:val="0"/>
          <w:marTop w:val="0"/>
          <w:marBottom w:val="0"/>
          <w:divBdr>
            <w:top w:val="none" w:sz="0" w:space="0" w:color="auto"/>
            <w:left w:val="none" w:sz="0" w:space="0" w:color="auto"/>
            <w:bottom w:val="none" w:sz="0" w:space="0" w:color="auto"/>
            <w:right w:val="none" w:sz="0" w:space="0" w:color="auto"/>
          </w:divBdr>
        </w:div>
        <w:div w:id="451630440">
          <w:marLeft w:val="0"/>
          <w:marRight w:val="0"/>
          <w:marTop w:val="0"/>
          <w:marBottom w:val="0"/>
          <w:divBdr>
            <w:top w:val="none" w:sz="0" w:space="0" w:color="auto"/>
            <w:left w:val="none" w:sz="0" w:space="0" w:color="auto"/>
            <w:bottom w:val="none" w:sz="0" w:space="0" w:color="auto"/>
            <w:right w:val="none" w:sz="0" w:space="0" w:color="auto"/>
          </w:divBdr>
        </w:div>
        <w:div w:id="544365903">
          <w:marLeft w:val="0"/>
          <w:marRight w:val="0"/>
          <w:marTop w:val="0"/>
          <w:marBottom w:val="0"/>
          <w:divBdr>
            <w:top w:val="none" w:sz="0" w:space="0" w:color="auto"/>
            <w:left w:val="none" w:sz="0" w:space="0" w:color="auto"/>
            <w:bottom w:val="none" w:sz="0" w:space="0" w:color="auto"/>
            <w:right w:val="none" w:sz="0" w:space="0" w:color="auto"/>
          </w:divBdr>
        </w:div>
        <w:div w:id="746149490">
          <w:marLeft w:val="0"/>
          <w:marRight w:val="0"/>
          <w:marTop w:val="0"/>
          <w:marBottom w:val="0"/>
          <w:divBdr>
            <w:top w:val="none" w:sz="0" w:space="0" w:color="auto"/>
            <w:left w:val="none" w:sz="0" w:space="0" w:color="auto"/>
            <w:bottom w:val="none" w:sz="0" w:space="0" w:color="auto"/>
            <w:right w:val="none" w:sz="0" w:space="0" w:color="auto"/>
          </w:divBdr>
        </w:div>
        <w:div w:id="975916076">
          <w:marLeft w:val="0"/>
          <w:marRight w:val="0"/>
          <w:marTop w:val="0"/>
          <w:marBottom w:val="0"/>
          <w:divBdr>
            <w:top w:val="none" w:sz="0" w:space="0" w:color="auto"/>
            <w:left w:val="none" w:sz="0" w:space="0" w:color="auto"/>
            <w:bottom w:val="none" w:sz="0" w:space="0" w:color="auto"/>
            <w:right w:val="none" w:sz="0" w:space="0" w:color="auto"/>
          </w:divBdr>
        </w:div>
        <w:div w:id="1056852779">
          <w:marLeft w:val="0"/>
          <w:marRight w:val="0"/>
          <w:marTop w:val="0"/>
          <w:marBottom w:val="0"/>
          <w:divBdr>
            <w:top w:val="none" w:sz="0" w:space="0" w:color="auto"/>
            <w:left w:val="none" w:sz="0" w:space="0" w:color="auto"/>
            <w:bottom w:val="none" w:sz="0" w:space="0" w:color="auto"/>
            <w:right w:val="none" w:sz="0" w:space="0" w:color="auto"/>
          </w:divBdr>
        </w:div>
        <w:div w:id="1079790273">
          <w:marLeft w:val="0"/>
          <w:marRight w:val="0"/>
          <w:marTop w:val="0"/>
          <w:marBottom w:val="0"/>
          <w:divBdr>
            <w:top w:val="none" w:sz="0" w:space="0" w:color="auto"/>
            <w:left w:val="none" w:sz="0" w:space="0" w:color="auto"/>
            <w:bottom w:val="none" w:sz="0" w:space="0" w:color="auto"/>
            <w:right w:val="none" w:sz="0" w:space="0" w:color="auto"/>
          </w:divBdr>
        </w:div>
        <w:div w:id="1119185133">
          <w:marLeft w:val="0"/>
          <w:marRight w:val="0"/>
          <w:marTop w:val="0"/>
          <w:marBottom w:val="0"/>
          <w:divBdr>
            <w:top w:val="none" w:sz="0" w:space="0" w:color="auto"/>
            <w:left w:val="none" w:sz="0" w:space="0" w:color="auto"/>
            <w:bottom w:val="none" w:sz="0" w:space="0" w:color="auto"/>
            <w:right w:val="none" w:sz="0" w:space="0" w:color="auto"/>
          </w:divBdr>
        </w:div>
        <w:div w:id="1227646140">
          <w:marLeft w:val="0"/>
          <w:marRight w:val="0"/>
          <w:marTop w:val="0"/>
          <w:marBottom w:val="0"/>
          <w:divBdr>
            <w:top w:val="none" w:sz="0" w:space="0" w:color="auto"/>
            <w:left w:val="none" w:sz="0" w:space="0" w:color="auto"/>
            <w:bottom w:val="none" w:sz="0" w:space="0" w:color="auto"/>
            <w:right w:val="none" w:sz="0" w:space="0" w:color="auto"/>
          </w:divBdr>
        </w:div>
        <w:div w:id="1369186369">
          <w:marLeft w:val="0"/>
          <w:marRight w:val="0"/>
          <w:marTop w:val="0"/>
          <w:marBottom w:val="0"/>
          <w:divBdr>
            <w:top w:val="none" w:sz="0" w:space="0" w:color="auto"/>
            <w:left w:val="none" w:sz="0" w:space="0" w:color="auto"/>
            <w:bottom w:val="none" w:sz="0" w:space="0" w:color="auto"/>
            <w:right w:val="none" w:sz="0" w:space="0" w:color="auto"/>
          </w:divBdr>
        </w:div>
        <w:div w:id="1389036531">
          <w:marLeft w:val="0"/>
          <w:marRight w:val="0"/>
          <w:marTop w:val="0"/>
          <w:marBottom w:val="0"/>
          <w:divBdr>
            <w:top w:val="none" w:sz="0" w:space="0" w:color="auto"/>
            <w:left w:val="none" w:sz="0" w:space="0" w:color="auto"/>
            <w:bottom w:val="none" w:sz="0" w:space="0" w:color="auto"/>
            <w:right w:val="none" w:sz="0" w:space="0" w:color="auto"/>
          </w:divBdr>
        </w:div>
        <w:div w:id="1469276745">
          <w:marLeft w:val="0"/>
          <w:marRight w:val="0"/>
          <w:marTop w:val="0"/>
          <w:marBottom w:val="0"/>
          <w:divBdr>
            <w:top w:val="none" w:sz="0" w:space="0" w:color="auto"/>
            <w:left w:val="none" w:sz="0" w:space="0" w:color="auto"/>
            <w:bottom w:val="none" w:sz="0" w:space="0" w:color="auto"/>
            <w:right w:val="none" w:sz="0" w:space="0" w:color="auto"/>
          </w:divBdr>
        </w:div>
        <w:div w:id="1638219339">
          <w:marLeft w:val="0"/>
          <w:marRight w:val="0"/>
          <w:marTop w:val="0"/>
          <w:marBottom w:val="0"/>
          <w:divBdr>
            <w:top w:val="none" w:sz="0" w:space="0" w:color="auto"/>
            <w:left w:val="none" w:sz="0" w:space="0" w:color="auto"/>
            <w:bottom w:val="none" w:sz="0" w:space="0" w:color="auto"/>
            <w:right w:val="none" w:sz="0" w:space="0" w:color="auto"/>
          </w:divBdr>
        </w:div>
        <w:div w:id="1641156427">
          <w:marLeft w:val="0"/>
          <w:marRight w:val="0"/>
          <w:marTop w:val="0"/>
          <w:marBottom w:val="0"/>
          <w:divBdr>
            <w:top w:val="none" w:sz="0" w:space="0" w:color="auto"/>
            <w:left w:val="none" w:sz="0" w:space="0" w:color="auto"/>
            <w:bottom w:val="none" w:sz="0" w:space="0" w:color="auto"/>
            <w:right w:val="none" w:sz="0" w:space="0" w:color="auto"/>
          </w:divBdr>
        </w:div>
        <w:div w:id="1853643446">
          <w:marLeft w:val="0"/>
          <w:marRight w:val="0"/>
          <w:marTop w:val="0"/>
          <w:marBottom w:val="0"/>
          <w:divBdr>
            <w:top w:val="none" w:sz="0" w:space="0" w:color="auto"/>
            <w:left w:val="none" w:sz="0" w:space="0" w:color="auto"/>
            <w:bottom w:val="none" w:sz="0" w:space="0" w:color="auto"/>
            <w:right w:val="none" w:sz="0" w:space="0" w:color="auto"/>
          </w:divBdr>
        </w:div>
        <w:div w:id="1991517995">
          <w:marLeft w:val="0"/>
          <w:marRight w:val="0"/>
          <w:marTop w:val="0"/>
          <w:marBottom w:val="0"/>
          <w:divBdr>
            <w:top w:val="none" w:sz="0" w:space="0" w:color="auto"/>
            <w:left w:val="none" w:sz="0" w:space="0" w:color="auto"/>
            <w:bottom w:val="none" w:sz="0" w:space="0" w:color="auto"/>
            <w:right w:val="none" w:sz="0" w:space="0" w:color="auto"/>
          </w:divBdr>
        </w:div>
        <w:div w:id="2145849307">
          <w:marLeft w:val="0"/>
          <w:marRight w:val="0"/>
          <w:marTop w:val="0"/>
          <w:marBottom w:val="0"/>
          <w:divBdr>
            <w:top w:val="none" w:sz="0" w:space="0" w:color="auto"/>
            <w:left w:val="none" w:sz="0" w:space="0" w:color="auto"/>
            <w:bottom w:val="none" w:sz="0" w:space="0" w:color="auto"/>
            <w:right w:val="none" w:sz="0" w:space="0" w:color="auto"/>
          </w:divBdr>
        </w:div>
      </w:divsChild>
    </w:div>
    <w:div w:id="200242583">
      <w:bodyDiv w:val="1"/>
      <w:marLeft w:val="0"/>
      <w:marRight w:val="0"/>
      <w:marTop w:val="0"/>
      <w:marBottom w:val="0"/>
      <w:divBdr>
        <w:top w:val="none" w:sz="0" w:space="0" w:color="auto"/>
        <w:left w:val="none" w:sz="0" w:space="0" w:color="auto"/>
        <w:bottom w:val="none" w:sz="0" w:space="0" w:color="auto"/>
        <w:right w:val="none" w:sz="0" w:space="0" w:color="auto"/>
      </w:divBdr>
    </w:div>
    <w:div w:id="207618903">
      <w:bodyDiv w:val="1"/>
      <w:marLeft w:val="0"/>
      <w:marRight w:val="0"/>
      <w:marTop w:val="0"/>
      <w:marBottom w:val="0"/>
      <w:divBdr>
        <w:top w:val="none" w:sz="0" w:space="0" w:color="auto"/>
        <w:left w:val="none" w:sz="0" w:space="0" w:color="auto"/>
        <w:bottom w:val="none" w:sz="0" w:space="0" w:color="auto"/>
        <w:right w:val="none" w:sz="0" w:space="0" w:color="auto"/>
      </w:divBdr>
    </w:div>
    <w:div w:id="263459412">
      <w:bodyDiv w:val="1"/>
      <w:marLeft w:val="0"/>
      <w:marRight w:val="0"/>
      <w:marTop w:val="0"/>
      <w:marBottom w:val="0"/>
      <w:divBdr>
        <w:top w:val="none" w:sz="0" w:space="0" w:color="auto"/>
        <w:left w:val="none" w:sz="0" w:space="0" w:color="auto"/>
        <w:bottom w:val="none" w:sz="0" w:space="0" w:color="auto"/>
        <w:right w:val="none" w:sz="0" w:space="0" w:color="auto"/>
      </w:divBdr>
    </w:div>
    <w:div w:id="308751406">
      <w:bodyDiv w:val="1"/>
      <w:marLeft w:val="0"/>
      <w:marRight w:val="0"/>
      <w:marTop w:val="0"/>
      <w:marBottom w:val="0"/>
      <w:divBdr>
        <w:top w:val="none" w:sz="0" w:space="0" w:color="auto"/>
        <w:left w:val="none" w:sz="0" w:space="0" w:color="auto"/>
        <w:bottom w:val="none" w:sz="0" w:space="0" w:color="auto"/>
        <w:right w:val="none" w:sz="0" w:space="0" w:color="auto"/>
      </w:divBdr>
    </w:div>
    <w:div w:id="327103561">
      <w:bodyDiv w:val="1"/>
      <w:marLeft w:val="0"/>
      <w:marRight w:val="0"/>
      <w:marTop w:val="0"/>
      <w:marBottom w:val="0"/>
      <w:divBdr>
        <w:top w:val="none" w:sz="0" w:space="0" w:color="auto"/>
        <w:left w:val="none" w:sz="0" w:space="0" w:color="auto"/>
        <w:bottom w:val="none" w:sz="0" w:space="0" w:color="auto"/>
        <w:right w:val="none" w:sz="0" w:space="0" w:color="auto"/>
      </w:divBdr>
    </w:div>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373969059">
      <w:bodyDiv w:val="1"/>
      <w:marLeft w:val="0"/>
      <w:marRight w:val="0"/>
      <w:marTop w:val="0"/>
      <w:marBottom w:val="0"/>
      <w:divBdr>
        <w:top w:val="none" w:sz="0" w:space="0" w:color="auto"/>
        <w:left w:val="none" w:sz="0" w:space="0" w:color="auto"/>
        <w:bottom w:val="none" w:sz="0" w:space="0" w:color="auto"/>
        <w:right w:val="none" w:sz="0" w:space="0" w:color="auto"/>
      </w:divBdr>
    </w:div>
    <w:div w:id="399907627">
      <w:bodyDiv w:val="1"/>
      <w:marLeft w:val="0"/>
      <w:marRight w:val="0"/>
      <w:marTop w:val="0"/>
      <w:marBottom w:val="0"/>
      <w:divBdr>
        <w:top w:val="none" w:sz="0" w:space="0" w:color="auto"/>
        <w:left w:val="none" w:sz="0" w:space="0" w:color="auto"/>
        <w:bottom w:val="none" w:sz="0" w:space="0" w:color="auto"/>
        <w:right w:val="none" w:sz="0" w:space="0" w:color="auto"/>
      </w:divBdr>
    </w:div>
    <w:div w:id="415706625">
      <w:bodyDiv w:val="1"/>
      <w:marLeft w:val="0"/>
      <w:marRight w:val="0"/>
      <w:marTop w:val="0"/>
      <w:marBottom w:val="0"/>
      <w:divBdr>
        <w:top w:val="none" w:sz="0" w:space="0" w:color="auto"/>
        <w:left w:val="none" w:sz="0" w:space="0" w:color="auto"/>
        <w:bottom w:val="none" w:sz="0" w:space="0" w:color="auto"/>
        <w:right w:val="none" w:sz="0" w:space="0" w:color="auto"/>
      </w:divBdr>
    </w:div>
    <w:div w:id="471484803">
      <w:bodyDiv w:val="1"/>
      <w:marLeft w:val="0"/>
      <w:marRight w:val="0"/>
      <w:marTop w:val="0"/>
      <w:marBottom w:val="0"/>
      <w:divBdr>
        <w:top w:val="none" w:sz="0" w:space="0" w:color="auto"/>
        <w:left w:val="none" w:sz="0" w:space="0" w:color="auto"/>
        <w:bottom w:val="none" w:sz="0" w:space="0" w:color="auto"/>
        <w:right w:val="none" w:sz="0" w:space="0" w:color="auto"/>
      </w:divBdr>
    </w:div>
    <w:div w:id="508761973">
      <w:bodyDiv w:val="1"/>
      <w:marLeft w:val="0"/>
      <w:marRight w:val="0"/>
      <w:marTop w:val="0"/>
      <w:marBottom w:val="0"/>
      <w:divBdr>
        <w:top w:val="none" w:sz="0" w:space="0" w:color="auto"/>
        <w:left w:val="none" w:sz="0" w:space="0" w:color="auto"/>
        <w:bottom w:val="none" w:sz="0" w:space="0" w:color="auto"/>
        <w:right w:val="none" w:sz="0" w:space="0" w:color="auto"/>
      </w:divBdr>
    </w:div>
    <w:div w:id="512653277">
      <w:bodyDiv w:val="1"/>
      <w:marLeft w:val="0"/>
      <w:marRight w:val="0"/>
      <w:marTop w:val="0"/>
      <w:marBottom w:val="0"/>
      <w:divBdr>
        <w:top w:val="none" w:sz="0" w:space="0" w:color="auto"/>
        <w:left w:val="none" w:sz="0" w:space="0" w:color="auto"/>
        <w:bottom w:val="none" w:sz="0" w:space="0" w:color="auto"/>
        <w:right w:val="none" w:sz="0" w:space="0" w:color="auto"/>
      </w:divBdr>
      <w:divsChild>
        <w:div w:id="320502356">
          <w:marLeft w:val="0"/>
          <w:marRight w:val="0"/>
          <w:marTop w:val="0"/>
          <w:marBottom w:val="0"/>
          <w:divBdr>
            <w:top w:val="none" w:sz="0" w:space="0" w:color="auto"/>
            <w:left w:val="none" w:sz="0" w:space="0" w:color="auto"/>
            <w:bottom w:val="none" w:sz="0" w:space="0" w:color="auto"/>
            <w:right w:val="none" w:sz="0" w:space="0" w:color="auto"/>
          </w:divBdr>
        </w:div>
      </w:divsChild>
    </w:div>
    <w:div w:id="521818188">
      <w:bodyDiv w:val="1"/>
      <w:marLeft w:val="0"/>
      <w:marRight w:val="0"/>
      <w:marTop w:val="0"/>
      <w:marBottom w:val="0"/>
      <w:divBdr>
        <w:top w:val="none" w:sz="0" w:space="0" w:color="auto"/>
        <w:left w:val="none" w:sz="0" w:space="0" w:color="auto"/>
        <w:bottom w:val="none" w:sz="0" w:space="0" w:color="auto"/>
        <w:right w:val="none" w:sz="0" w:space="0" w:color="auto"/>
      </w:divBdr>
    </w:div>
    <w:div w:id="55177475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629556882">
      <w:bodyDiv w:val="1"/>
      <w:marLeft w:val="0"/>
      <w:marRight w:val="0"/>
      <w:marTop w:val="0"/>
      <w:marBottom w:val="0"/>
      <w:divBdr>
        <w:top w:val="none" w:sz="0" w:space="0" w:color="auto"/>
        <w:left w:val="none" w:sz="0" w:space="0" w:color="auto"/>
        <w:bottom w:val="none" w:sz="0" w:space="0" w:color="auto"/>
        <w:right w:val="none" w:sz="0" w:space="0" w:color="auto"/>
      </w:divBdr>
    </w:div>
    <w:div w:id="723141106">
      <w:bodyDiv w:val="1"/>
      <w:marLeft w:val="0"/>
      <w:marRight w:val="0"/>
      <w:marTop w:val="0"/>
      <w:marBottom w:val="0"/>
      <w:divBdr>
        <w:top w:val="none" w:sz="0" w:space="0" w:color="auto"/>
        <w:left w:val="none" w:sz="0" w:space="0" w:color="auto"/>
        <w:bottom w:val="none" w:sz="0" w:space="0" w:color="auto"/>
        <w:right w:val="none" w:sz="0" w:space="0" w:color="auto"/>
      </w:divBdr>
    </w:div>
    <w:div w:id="744497098">
      <w:bodyDiv w:val="1"/>
      <w:marLeft w:val="0"/>
      <w:marRight w:val="0"/>
      <w:marTop w:val="0"/>
      <w:marBottom w:val="0"/>
      <w:divBdr>
        <w:top w:val="none" w:sz="0" w:space="0" w:color="auto"/>
        <w:left w:val="none" w:sz="0" w:space="0" w:color="auto"/>
        <w:bottom w:val="none" w:sz="0" w:space="0" w:color="auto"/>
        <w:right w:val="none" w:sz="0" w:space="0" w:color="auto"/>
      </w:divBdr>
      <w:divsChild>
        <w:div w:id="441807897">
          <w:marLeft w:val="0"/>
          <w:marRight w:val="0"/>
          <w:marTop w:val="0"/>
          <w:marBottom w:val="0"/>
          <w:divBdr>
            <w:top w:val="none" w:sz="0" w:space="0" w:color="auto"/>
            <w:left w:val="none" w:sz="0" w:space="0" w:color="auto"/>
            <w:bottom w:val="none" w:sz="0" w:space="0" w:color="auto"/>
            <w:right w:val="none" w:sz="0" w:space="0" w:color="auto"/>
          </w:divBdr>
        </w:div>
      </w:divsChild>
    </w:div>
    <w:div w:id="767771926">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798456482">
      <w:bodyDiv w:val="1"/>
      <w:marLeft w:val="0"/>
      <w:marRight w:val="0"/>
      <w:marTop w:val="0"/>
      <w:marBottom w:val="0"/>
      <w:divBdr>
        <w:top w:val="none" w:sz="0" w:space="0" w:color="auto"/>
        <w:left w:val="none" w:sz="0" w:space="0" w:color="auto"/>
        <w:bottom w:val="none" w:sz="0" w:space="0" w:color="auto"/>
        <w:right w:val="none" w:sz="0" w:space="0" w:color="auto"/>
      </w:divBdr>
    </w:div>
    <w:div w:id="850027269">
      <w:bodyDiv w:val="1"/>
      <w:marLeft w:val="0"/>
      <w:marRight w:val="0"/>
      <w:marTop w:val="0"/>
      <w:marBottom w:val="0"/>
      <w:divBdr>
        <w:top w:val="none" w:sz="0" w:space="0" w:color="auto"/>
        <w:left w:val="none" w:sz="0" w:space="0" w:color="auto"/>
        <w:bottom w:val="none" w:sz="0" w:space="0" w:color="auto"/>
        <w:right w:val="none" w:sz="0" w:space="0" w:color="auto"/>
      </w:divBdr>
    </w:div>
    <w:div w:id="925958489">
      <w:bodyDiv w:val="1"/>
      <w:marLeft w:val="0"/>
      <w:marRight w:val="0"/>
      <w:marTop w:val="0"/>
      <w:marBottom w:val="0"/>
      <w:divBdr>
        <w:top w:val="none" w:sz="0" w:space="0" w:color="auto"/>
        <w:left w:val="none" w:sz="0" w:space="0" w:color="auto"/>
        <w:bottom w:val="none" w:sz="0" w:space="0" w:color="auto"/>
        <w:right w:val="none" w:sz="0" w:space="0" w:color="auto"/>
      </w:divBdr>
    </w:div>
    <w:div w:id="952522173">
      <w:bodyDiv w:val="1"/>
      <w:marLeft w:val="0"/>
      <w:marRight w:val="0"/>
      <w:marTop w:val="0"/>
      <w:marBottom w:val="0"/>
      <w:divBdr>
        <w:top w:val="none" w:sz="0" w:space="0" w:color="auto"/>
        <w:left w:val="none" w:sz="0" w:space="0" w:color="auto"/>
        <w:bottom w:val="none" w:sz="0" w:space="0" w:color="auto"/>
        <w:right w:val="none" w:sz="0" w:space="0" w:color="auto"/>
      </w:divBdr>
    </w:div>
    <w:div w:id="1108543464">
      <w:bodyDiv w:val="1"/>
      <w:marLeft w:val="0"/>
      <w:marRight w:val="0"/>
      <w:marTop w:val="0"/>
      <w:marBottom w:val="0"/>
      <w:divBdr>
        <w:top w:val="none" w:sz="0" w:space="0" w:color="auto"/>
        <w:left w:val="none" w:sz="0" w:space="0" w:color="auto"/>
        <w:bottom w:val="none" w:sz="0" w:space="0" w:color="auto"/>
        <w:right w:val="none" w:sz="0" w:space="0" w:color="auto"/>
      </w:divBdr>
      <w:divsChild>
        <w:div w:id="9572461">
          <w:marLeft w:val="0"/>
          <w:marRight w:val="0"/>
          <w:marTop w:val="0"/>
          <w:marBottom w:val="0"/>
          <w:divBdr>
            <w:top w:val="none" w:sz="0" w:space="0" w:color="auto"/>
            <w:left w:val="none" w:sz="0" w:space="0" w:color="auto"/>
            <w:bottom w:val="none" w:sz="0" w:space="0" w:color="auto"/>
            <w:right w:val="none" w:sz="0" w:space="0" w:color="auto"/>
          </w:divBdr>
        </w:div>
        <w:div w:id="94984948">
          <w:marLeft w:val="0"/>
          <w:marRight w:val="0"/>
          <w:marTop w:val="0"/>
          <w:marBottom w:val="0"/>
          <w:divBdr>
            <w:top w:val="none" w:sz="0" w:space="0" w:color="auto"/>
            <w:left w:val="none" w:sz="0" w:space="0" w:color="auto"/>
            <w:bottom w:val="none" w:sz="0" w:space="0" w:color="auto"/>
            <w:right w:val="none" w:sz="0" w:space="0" w:color="auto"/>
          </w:divBdr>
        </w:div>
        <w:div w:id="246110420">
          <w:marLeft w:val="0"/>
          <w:marRight w:val="0"/>
          <w:marTop w:val="0"/>
          <w:marBottom w:val="0"/>
          <w:divBdr>
            <w:top w:val="none" w:sz="0" w:space="0" w:color="auto"/>
            <w:left w:val="none" w:sz="0" w:space="0" w:color="auto"/>
            <w:bottom w:val="none" w:sz="0" w:space="0" w:color="auto"/>
            <w:right w:val="none" w:sz="0" w:space="0" w:color="auto"/>
          </w:divBdr>
        </w:div>
        <w:div w:id="330372730">
          <w:marLeft w:val="0"/>
          <w:marRight w:val="0"/>
          <w:marTop w:val="0"/>
          <w:marBottom w:val="0"/>
          <w:divBdr>
            <w:top w:val="none" w:sz="0" w:space="0" w:color="auto"/>
            <w:left w:val="none" w:sz="0" w:space="0" w:color="auto"/>
            <w:bottom w:val="none" w:sz="0" w:space="0" w:color="auto"/>
            <w:right w:val="none" w:sz="0" w:space="0" w:color="auto"/>
          </w:divBdr>
        </w:div>
        <w:div w:id="415324634">
          <w:marLeft w:val="0"/>
          <w:marRight w:val="0"/>
          <w:marTop w:val="0"/>
          <w:marBottom w:val="0"/>
          <w:divBdr>
            <w:top w:val="none" w:sz="0" w:space="0" w:color="auto"/>
            <w:left w:val="none" w:sz="0" w:space="0" w:color="auto"/>
            <w:bottom w:val="none" w:sz="0" w:space="0" w:color="auto"/>
            <w:right w:val="none" w:sz="0" w:space="0" w:color="auto"/>
          </w:divBdr>
        </w:div>
        <w:div w:id="430393263">
          <w:marLeft w:val="0"/>
          <w:marRight w:val="0"/>
          <w:marTop w:val="0"/>
          <w:marBottom w:val="0"/>
          <w:divBdr>
            <w:top w:val="none" w:sz="0" w:space="0" w:color="auto"/>
            <w:left w:val="none" w:sz="0" w:space="0" w:color="auto"/>
            <w:bottom w:val="none" w:sz="0" w:space="0" w:color="auto"/>
            <w:right w:val="none" w:sz="0" w:space="0" w:color="auto"/>
          </w:divBdr>
        </w:div>
        <w:div w:id="545802141">
          <w:marLeft w:val="0"/>
          <w:marRight w:val="0"/>
          <w:marTop w:val="0"/>
          <w:marBottom w:val="0"/>
          <w:divBdr>
            <w:top w:val="none" w:sz="0" w:space="0" w:color="auto"/>
            <w:left w:val="none" w:sz="0" w:space="0" w:color="auto"/>
            <w:bottom w:val="none" w:sz="0" w:space="0" w:color="auto"/>
            <w:right w:val="none" w:sz="0" w:space="0" w:color="auto"/>
          </w:divBdr>
        </w:div>
        <w:div w:id="641545770">
          <w:marLeft w:val="0"/>
          <w:marRight w:val="0"/>
          <w:marTop w:val="0"/>
          <w:marBottom w:val="0"/>
          <w:divBdr>
            <w:top w:val="none" w:sz="0" w:space="0" w:color="auto"/>
            <w:left w:val="none" w:sz="0" w:space="0" w:color="auto"/>
            <w:bottom w:val="none" w:sz="0" w:space="0" w:color="auto"/>
            <w:right w:val="none" w:sz="0" w:space="0" w:color="auto"/>
          </w:divBdr>
        </w:div>
        <w:div w:id="774908482">
          <w:marLeft w:val="0"/>
          <w:marRight w:val="0"/>
          <w:marTop w:val="0"/>
          <w:marBottom w:val="0"/>
          <w:divBdr>
            <w:top w:val="none" w:sz="0" w:space="0" w:color="auto"/>
            <w:left w:val="none" w:sz="0" w:space="0" w:color="auto"/>
            <w:bottom w:val="none" w:sz="0" w:space="0" w:color="auto"/>
            <w:right w:val="none" w:sz="0" w:space="0" w:color="auto"/>
          </w:divBdr>
        </w:div>
        <w:div w:id="954605740">
          <w:marLeft w:val="0"/>
          <w:marRight w:val="0"/>
          <w:marTop w:val="0"/>
          <w:marBottom w:val="0"/>
          <w:divBdr>
            <w:top w:val="none" w:sz="0" w:space="0" w:color="auto"/>
            <w:left w:val="none" w:sz="0" w:space="0" w:color="auto"/>
            <w:bottom w:val="none" w:sz="0" w:space="0" w:color="auto"/>
            <w:right w:val="none" w:sz="0" w:space="0" w:color="auto"/>
          </w:divBdr>
        </w:div>
        <w:div w:id="1007562652">
          <w:marLeft w:val="0"/>
          <w:marRight w:val="0"/>
          <w:marTop w:val="0"/>
          <w:marBottom w:val="0"/>
          <w:divBdr>
            <w:top w:val="none" w:sz="0" w:space="0" w:color="auto"/>
            <w:left w:val="none" w:sz="0" w:space="0" w:color="auto"/>
            <w:bottom w:val="none" w:sz="0" w:space="0" w:color="auto"/>
            <w:right w:val="none" w:sz="0" w:space="0" w:color="auto"/>
          </w:divBdr>
        </w:div>
        <w:div w:id="1201897260">
          <w:marLeft w:val="0"/>
          <w:marRight w:val="0"/>
          <w:marTop w:val="0"/>
          <w:marBottom w:val="0"/>
          <w:divBdr>
            <w:top w:val="none" w:sz="0" w:space="0" w:color="auto"/>
            <w:left w:val="none" w:sz="0" w:space="0" w:color="auto"/>
            <w:bottom w:val="none" w:sz="0" w:space="0" w:color="auto"/>
            <w:right w:val="none" w:sz="0" w:space="0" w:color="auto"/>
          </w:divBdr>
        </w:div>
        <w:div w:id="1529446340">
          <w:marLeft w:val="0"/>
          <w:marRight w:val="0"/>
          <w:marTop w:val="0"/>
          <w:marBottom w:val="0"/>
          <w:divBdr>
            <w:top w:val="none" w:sz="0" w:space="0" w:color="auto"/>
            <w:left w:val="none" w:sz="0" w:space="0" w:color="auto"/>
            <w:bottom w:val="none" w:sz="0" w:space="0" w:color="auto"/>
            <w:right w:val="none" w:sz="0" w:space="0" w:color="auto"/>
          </w:divBdr>
        </w:div>
        <w:div w:id="1646664040">
          <w:marLeft w:val="0"/>
          <w:marRight w:val="0"/>
          <w:marTop w:val="0"/>
          <w:marBottom w:val="0"/>
          <w:divBdr>
            <w:top w:val="none" w:sz="0" w:space="0" w:color="auto"/>
            <w:left w:val="none" w:sz="0" w:space="0" w:color="auto"/>
            <w:bottom w:val="none" w:sz="0" w:space="0" w:color="auto"/>
            <w:right w:val="none" w:sz="0" w:space="0" w:color="auto"/>
          </w:divBdr>
        </w:div>
        <w:div w:id="1685017295">
          <w:marLeft w:val="0"/>
          <w:marRight w:val="0"/>
          <w:marTop w:val="0"/>
          <w:marBottom w:val="0"/>
          <w:divBdr>
            <w:top w:val="none" w:sz="0" w:space="0" w:color="auto"/>
            <w:left w:val="none" w:sz="0" w:space="0" w:color="auto"/>
            <w:bottom w:val="none" w:sz="0" w:space="0" w:color="auto"/>
            <w:right w:val="none" w:sz="0" w:space="0" w:color="auto"/>
          </w:divBdr>
        </w:div>
        <w:div w:id="1701198059">
          <w:marLeft w:val="0"/>
          <w:marRight w:val="0"/>
          <w:marTop w:val="0"/>
          <w:marBottom w:val="0"/>
          <w:divBdr>
            <w:top w:val="none" w:sz="0" w:space="0" w:color="auto"/>
            <w:left w:val="none" w:sz="0" w:space="0" w:color="auto"/>
            <w:bottom w:val="none" w:sz="0" w:space="0" w:color="auto"/>
            <w:right w:val="none" w:sz="0" w:space="0" w:color="auto"/>
          </w:divBdr>
        </w:div>
        <w:div w:id="1721317953">
          <w:marLeft w:val="0"/>
          <w:marRight w:val="0"/>
          <w:marTop w:val="0"/>
          <w:marBottom w:val="0"/>
          <w:divBdr>
            <w:top w:val="none" w:sz="0" w:space="0" w:color="auto"/>
            <w:left w:val="none" w:sz="0" w:space="0" w:color="auto"/>
            <w:bottom w:val="none" w:sz="0" w:space="0" w:color="auto"/>
            <w:right w:val="none" w:sz="0" w:space="0" w:color="auto"/>
          </w:divBdr>
        </w:div>
        <w:div w:id="1734043262">
          <w:marLeft w:val="0"/>
          <w:marRight w:val="0"/>
          <w:marTop w:val="0"/>
          <w:marBottom w:val="0"/>
          <w:divBdr>
            <w:top w:val="none" w:sz="0" w:space="0" w:color="auto"/>
            <w:left w:val="none" w:sz="0" w:space="0" w:color="auto"/>
            <w:bottom w:val="none" w:sz="0" w:space="0" w:color="auto"/>
            <w:right w:val="none" w:sz="0" w:space="0" w:color="auto"/>
          </w:divBdr>
        </w:div>
        <w:div w:id="1768689892">
          <w:marLeft w:val="0"/>
          <w:marRight w:val="0"/>
          <w:marTop w:val="0"/>
          <w:marBottom w:val="0"/>
          <w:divBdr>
            <w:top w:val="none" w:sz="0" w:space="0" w:color="auto"/>
            <w:left w:val="none" w:sz="0" w:space="0" w:color="auto"/>
            <w:bottom w:val="none" w:sz="0" w:space="0" w:color="auto"/>
            <w:right w:val="none" w:sz="0" w:space="0" w:color="auto"/>
          </w:divBdr>
        </w:div>
        <w:div w:id="1791708197">
          <w:marLeft w:val="0"/>
          <w:marRight w:val="0"/>
          <w:marTop w:val="0"/>
          <w:marBottom w:val="0"/>
          <w:divBdr>
            <w:top w:val="none" w:sz="0" w:space="0" w:color="auto"/>
            <w:left w:val="none" w:sz="0" w:space="0" w:color="auto"/>
            <w:bottom w:val="none" w:sz="0" w:space="0" w:color="auto"/>
            <w:right w:val="none" w:sz="0" w:space="0" w:color="auto"/>
          </w:divBdr>
        </w:div>
      </w:divsChild>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322268452">
      <w:bodyDiv w:val="1"/>
      <w:marLeft w:val="0"/>
      <w:marRight w:val="0"/>
      <w:marTop w:val="0"/>
      <w:marBottom w:val="0"/>
      <w:divBdr>
        <w:top w:val="none" w:sz="0" w:space="0" w:color="auto"/>
        <w:left w:val="none" w:sz="0" w:space="0" w:color="auto"/>
        <w:bottom w:val="none" w:sz="0" w:space="0" w:color="auto"/>
        <w:right w:val="none" w:sz="0" w:space="0" w:color="auto"/>
      </w:divBdr>
    </w:div>
    <w:div w:id="1354500175">
      <w:bodyDiv w:val="1"/>
      <w:marLeft w:val="0"/>
      <w:marRight w:val="0"/>
      <w:marTop w:val="0"/>
      <w:marBottom w:val="0"/>
      <w:divBdr>
        <w:top w:val="none" w:sz="0" w:space="0" w:color="auto"/>
        <w:left w:val="none" w:sz="0" w:space="0" w:color="auto"/>
        <w:bottom w:val="none" w:sz="0" w:space="0" w:color="auto"/>
        <w:right w:val="none" w:sz="0" w:space="0" w:color="auto"/>
      </w:divBdr>
    </w:div>
    <w:div w:id="1363630896">
      <w:bodyDiv w:val="1"/>
      <w:marLeft w:val="0"/>
      <w:marRight w:val="0"/>
      <w:marTop w:val="0"/>
      <w:marBottom w:val="0"/>
      <w:divBdr>
        <w:top w:val="none" w:sz="0" w:space="0" w:color="auto"/>
        <w:left w:val="none" w:sz="0" w:space="0" w:color="auto"/>
        <w:bottom w:val="none" w:sz="0" w:space="0" w:color="auto"/>
        <w:right w:val="none" w:sz="0" w:space="0" w:color="auto"/>
      </w:divBdr>
    </w:div>
    <w:div w:id="1386879059">
      <w:bodyDiv w:val="1"/>
      <w:marLeft w:val="0"/>
      <w:marRight w:val="0"/>
      <w:marTop w:val="0"/>
      <w:marBottom w:val="0"/>
      <w:divBdr>
        <w:top w:val="none" w:sz="0" w:space="0" w:color="auto"/>
        <w:left w:val="none" w:sz="0" w:space="0" w:color="auto"/>
        <w:bottom w:val="none" w:sz="0" w:space="0" w:color="auto"/>
        <w:right w:val="none" w:sz="0" w:space="0" w:color="auto"/>
      </w:divBdr>
      <w:divsChild>
        <w:div w:id="604652254">
          <w:marLeft w:val="0"/>
          <w:marRight w:val="0"/>
          <w:marTop w:val="0"/>
          <w:marBottom w:val="0"/>
          <w:divBdr>
            <w:top w:val="none" w:sz="0" w:space="0" w:color="auto"/>
            <w:left w:val="none" w:sz="0" w:space="0" w:color="auto"/>
            <w:bottom w:val="none" w:sz="0" w:space="0" w:color="auto"/>
            <w:right w:val="none" w:sz="0" w:space="0" w:color="auto"/>
          </w:divBdr>
        </w:div>
        <w:div w:id="1511530341">
          <w:marLeft w:val="0"/>
          <w:marRight w:val="0"/>
          <w:marTop w:val="0"/>
          <w:marBottom w:val="0"/>
          <w:divBdr>
            <w:top w:val="none" w:sz="0" w:space="0" w:color="auto"/>
            <w:left w:val="none" w:sz="0" w:space="0" w:color="auto"/>
            <w:bottom w:val="none" w:sz="0" w:space="0" w:color="auto"/>
            <w:right w:val="none" w:sz="0" w:space="0" w:color="auto"/>
          </w:divBdr>
        </w:div>
        <w:div w:id="2124304301">
          <w:marLeft w:val="0"/>
          <w:marRight w:val="0"/>
          <w:marTop w:val="0"/>
          <w:marBottom w:val="0"/>
          <w:divBdr>
            <w:top w:val="none" w:sz="0" w:space="0" w:color="auto"/>
            <w:left w:val="none" w:sz="0" w:space="0" w:color="auto"/>
            <w:bottom w:val="none" w:sz="0" w:space="0" w:color="auto"/>
            <w:right w:val="none" w:sz="0" w:space="0" w:color="auto"/>
          </w:divBdr>
        </w:div>
      </w:divsChild>
    </w:div>
    <w:div w:id="1389572807">
      <w:bodyDiv w:val="1"/>
      <w:marLeft w:val="0"/>
      <w:marRight w:val="0"/>
      <w:marTop w:val="0"/>
      <w:marBottom w:val="0"/>
      <w:divBdr>
        <w:top w:val="none" w:sz="0" w:space="0" w:color="auto"/>
        <w:left w:val="none" w:sz="0" w:space="0" w:color="auto"/>
        <w:bottom w:val="none" w:sz="0" w:space="0" w:color="auto"/>
        <w:right w:val="none" w:sz="0" w:space="0" w:color="auto"/>
      </w:divBdr>
    </w:div>
    <w:div w:id="1438718293">
      <w:bodyDiv w:val="1"/>
      <w:marLeft w:val="0"/>
      <w:marRight w:val="0"/>
      <w:marTop w:val="0"/>
      <w:marBottom w:val="0"/>
      <w:divBdr>
        <w:top w:val="none" w:sz="0" w:space="0" w:color="auto"/>
        <w:left w:val="none" w:sz="0" w:space="0" w:color="auto"/>
        <w:bottom w:val="none" w:sz="0" w:space="0" w:color="auto"/>
        <w:right w:val="none" w:sz="0" w:space="0" w:color="auto"/>
      </w:divBdr>
    </w:div>
    <w:div w:id="1461798812">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31340787">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6861608">
      <w:bodyDiv w:val="1"/>
      <w:marLeft w:val="0"/>
      <w:marRight w:val="0"/>
      <w:marTop w:val="0"/>
      <w:marBottom w:val="0"/>
      <w:divBdr>
        <w:top w:val="none" w:sz="0" w:space="0" w:color="auto"/>
        <w:left w:val="none" w:sz="0" w:space="0" w:color="auto"/>
        <w:bottom w:val="none" w:sz="0" w:space="0" w:color="auto"/>
        <w:right w:val="none" w:sz="0" w:space="0" w:color="auto"/>
      </w:divBdr>
      <w:divsChild>
        <w:div w:id="957762020">
          <w:marLeft w:val="1267"/>
          <w:marRight w:val="0"/>
          <w:marTop w:val="0"/>
          <w:marBottom w:val="0"/>
          <w:divBdr>
            <w:top w:val="none" w:sz="0" w:space="0" w:color="auto"/>
            <w:left w:val="none" w:sz="0" w:space="0" w:color="auto"/>
            <w:bottom w:val="none" w:sz="0" w:space="0" w:color="auto"/>
            <w:right w:val="none" w:sz="0" w:space="0" w:color="auto"/>
          </w:divBdr>
        </w:div>
      </w:divsChild>
    </w:div>
    <w:div w:id="1645887940">
      <w:bodyDiv w:val="1"/>
      <w:marLeft w:val="0"/>
      <w:marRight w:val="0"/>
      <w:marTop w:val="0"/>
      <w:marBottom w:val="0"/>
      <w:divBdr>
        <w:top w:val="none" w:sz="0" w:space="0" w:color="auto"/>
        <w:left w:val="none" w:sz="0" w:space="0" w:color="auto"/>
        <w:bottom w:val="none" w:sz="0" w:space="0" w:color="auto"/>
        <w:right w:val="none" w:sz="0" w:space="0" w:color="auto"/>
      </w:divBdr>
    </w:div>
    <w:div w:id="1853301775">
      <w:bodyDiv w:val="1"/>
      <w:marLeft w:val="0"/>
      <w:marRight w:val="0"/>
      <w:marTop w:val="0"/>
      <w:marBottom w:val="0"/>
      <w:divBdr>
        <w:top w:val="none" w:sz="0" w:space="0" w:color="auto"/>
        <w:left w:val="none" w:sz="0" w:space="0" w:color="auto"/>
        <w:bottom w:val="none" w:sz="0" w:space="0" w:color="auto"/>
        <w:right w:val="none" w:sz="0" w:space="0" w:color="auto"/>
      </w:divBdr>
    </w:div>
    <w:div w:id="195428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uidance/construction-alteration-or-improvement-of-works" TargetMode="External"/><Relationship Id="rId21" Type="http://schemas.openxmlformats.org/officeDocument/2006/relationships/hyperlink" Target="https://www.legislation.gov.uk/ukpga/2009/23/part/4" TargetMode="External"/><Relationship Id="rId42" Type="http://schemas.openxmlformats.org/officeDocument/2006/relationships/hyperlink" Target="https://www.gov.uk/government/publications/a-coastal-concordat-for-england/a-coastal-concordat-for-england-revised-december-2019" TargetMode="External"/><Relationship Id="rId47" Type="http://schemas.openxmlformats.org/officeDocument/2006/relationships/hyperlink" Target="mailto:marine.licensing@defra.gov.uk" TargetMode="External"/><Relationship Id="rId63" Type="http://schemas.openxmlformats.org/officeDocument/2006/relationships/hyperlink" Target="https://www.legislation.gov.uk/uksi/2011/409/article/27A" TargetMode="External"/><Relationship Id="rId68"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gov.uk/government/publications" TargetMode="External"/><Relationship Id="rId29" Type="http://schemas.openxmlformats.org/officeDocument/2006/relationships/hyperlink" Target="https://www.gov.uk/guidance/incineration-of-any-substance-or-object" TargetMode="External"/><Relationship Id="rId11" Type="http://schemas.openxmlformats.org/officeDocument/2006/relationships/footnotes" Target="footnotes.xml"/><Relationship Id="rId24" Type="http://schemas.openxmlformats.org/officeDocument/2006/relationships/hyperlink" Target="https://www.gov.uk/guidance/scuttling-of-any-floating-vessel-or-container" TargetMode="External"/><Relationship Id="rId32" Type="http://schemas.openxmlformats.org/officeDocument/2006/relationships/hyperlink" Target="https://www.gov.uk/guidance/make-a-marine-licence-application" TargetMode="External"/><Relationship Id="rId37" Type="http://schemas.openxmlformats.org/officeDocument/2006/relationships/hyperlink" Target="https://www.gov.uk/government/publications/marine-licensing-exempted-activities" TargetMode="External"/><Relationship Id="rId40" Type="http://schemas.openxmlformats.org/officeDocument/2006/relationships/hyperlink" Target="https://eur03.safelinks.protection.outlook.com/?url=https%3A%2F%2Fassets.publishing.service.gov.uk%2Fmedia%2F5aafa4f2e5274a7fbe4fbacb%2FConsultation_Principles__1_.pdf&amp;data=05%7C02%7CAlastair.Welch%40defra.gov.uk%7Ccdfae16a2823498ad81908dd3553ca75%7C770a245002274c6290c74e38537f1102%7C0%7C0%7C638725356168446924%7CUnknown%7CTWFpbGZsb3d8eyJFbXB0eU1hcGkiOnRydWUsIlYiOiIwLjAuMDAwMCIsIlAiOiJXaW4zMiIsIkFOIjoiTWFpbCIsIldUIjoyfQ%3D%3D%7C0%7C%7C%7C&amp;sdata=HyBSI0vqY3lF70JTVFlT3cE39brSPivuMhlkdTrax1o%3D&amp;reserved=0" TargetMode="External"/><Relationship Id="rId45" Type="http://schemas.openxmlformats.org/officeDocument/2006/relationships/hyperlink" Target="https://www.gov.uk/government/publications/marine-licensing-fees/marine-licensing-fees" TargetMode="External"/><Relationship Id="rId53" Type="http://schemas.openxmlformats.org/officeDocument/2006/relationships/hyperlink" Target="https://www.legislation.gov.uk/uksi/2011/409/article/21A" TargetMode="External"/><Relationship Id="rId58" Type="http://schemas.openxmlformats.org/officeDocument/2006/relationships/hyperlink" Target="https://www.legislation.gov.uk/uksi/2011/409/article/23" TargetMode="External"/><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legislation.gov.uk/uksi/2011/409/article/13" TargetMode="External"/><Relationship Id="rId19" Type="http://schemas.openxmlformats.org/officeDocument/2006/relationships/hyperlink" Target="https://www.legislation.gov.uk/ukpga/2009/23/contents" TargetMode="External"/><Relationship Id="rId14" Type="http://schemas.openxmlformats.org/officeDocument/2006/relationships/image" Target="media/image2.png"/><Relationship Id="rId22" Type="http://schemas.openxmlformats.org/officeDocument/2006/relationships/hyperlink" Target="https://www.legislation.gov.uk/ukpga/2009/23/part/4" TargetMode="External"/><Relationship Id="rId27" Type="http://schemas.openxmlformats.org/officeDocument/2006/relationships/hyperlink" Target="https://www.gov.uk/guidance/removal-of-any-substance-or-object" TargetMode="External"/><Relationship Id="rId30" Type="http://schemas.openxmlformats.org/officeDocument/2006/relationships/hyperlink" Target="https://www.legislation.gov.uk/uksi/2011/409/contents" TargetMode="External"/><Relationship Id="rId35" Type="http://schemas.openxmlformats.org/officeDocument/2006/relationships/hyperlink" Target="https://www.gov.uk/government/publications/self-service-marine-licensing/self-service-marine-licensing" TargetMode="External"/><Relationship Id="rId43" Type="http://schemas.openxmlformats.org/officeDocument/2006/relationships/hyperlink" Target="https://www.legislation.gov.uk/ukpga/2009/23/part/4" TargetMode="External"/><Relationship Id="rId48" Type="http://schemas.openxmlformats.org/officeDocument/2006/relationships/hyperlink" Target="mailto:marine.licensing@defra.gov.uk" TargetMode="External"/><Relationship Id="rId56" Type="http://schemas.openxmlformats.org/officeDocument/2006/relationships/hyperlink" Target="https://www.legislation.gov.uk/uksi/2011/409/article/17" TargetMode="External"/><Relationship Id="rId64" Type="http://schemas.openxmlformats.org/officeDocument/2006/relationships/hyperlink" Target="https://www.legislation.gov.uk/uksi/2011/409/article/28" TargetMode="External"/><Relationship Id="rId69"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legislation.gov.uk/uksi/2011/409/article/25A"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marine.licensing@defra.gov.uk" TargetMode="External"/><Relationship Id="rId25" Type="http://schemas.openxmlformats.org/officeDocument/2006/relationships/hyperlink" Target="https://www.gov.uk/guidance/dredging" TargetMode="External"/><Relationship Id="rId33" Type="http://schemas.openxmlformats.org/officeDocument/2006/relationships/hyperlink" Target="https://www.gov.uk/guidance/the-marine-licence-application-timeline" TargetMode="External"/><Relationship Id="rId38" Type="http://schemas.openxmlformats.org/officeDocument/2006/relationships/hyperlink" Target="https://www.gov.uk/government/publications/marine-licensing-exempted-activities/marine-licensing-exempted-activities--2" TargetMode="External"/><Relationship Id="rId46" Type="http://schemas.openxmlformats.org/officeDocument/2006/relationships/hyperlink" Target="https://www.gov.uk/government/publications/marine-licensing-fees/marine-licensing-fees" TargetMode="External"/><Relationship Id="rId59" Type="http://schemas.openxmlformats.org/officeDocument/2006/relationships/hyperlink" Target="https://www.legislation.gov.uk/uksi/2011/409/article/19" TargetMode="External"/><Relationship Id="rId67" Type="http://schemas.openxmlformats.org/officeDocument/2006/relationships/footer" Target="footer2.xml"/><Relationship Id="rId20" Type="http://schemas.openxmlformats.org/officeDocument/2006/relationships/hyperlink" Target="https://consult.defra.gov.uk/marine-licensing/marine-licences" TargetMode="External"/><Relationship Id="rId41" Type="http://schemas.openxmlformats.org/officeDocument/2006/relationships/hyperlink" Target="https://www.legislation.gov.uk/uksi/2014/615/contents" TargetMode="External"/><Relationship Id="rId54" Type="http://schemas.openxmlformats.org/officeDocument/2006/relationships/hyperlink" Target="https://www.legislation.gov.uk/uksi/2011/409/article/24A" TargetMode="External"/><Relationship Id="rId62" Type="http://schemas.openxmlformats.org/officeDocument/2006/relationships/hyperlink" Target="https://www.legislation.gov.uk/uksi/2011/409/article/22" TargetMode="External"/><Relationship Id="rId7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nationalarchives.gov.uk/doc/open-government-licence/" TargetMode="External"/><Relationship Id="rId23" Type="http://schemas.openxmlformats.org/officeDocument/2006/relationships/hyperlink" Target="https://www.gov.uk/guidance/deposits" TargetMode="External"/><Relationship Id="rId28" Type="http://schemas.openxmlformats.org/officeDocument/2006/relationships/hyperlink" Target="https://www.gov.uk/guidance/deposits" TargetMode="External"/><Relationship Id="rId36" Type="http://schemas.openxmlformats.org/officeDocument/2006/relationships/hyperlink" Target="https://www.gov.uk/government/publications/self-service-marine-licensing" TargetMode="External"/><Relationship Id="rId49" Type="http://schemas.openxmlformats.org/officeDocument/2006/relationships/hyperlink" Target="https://www.legislation.gov.uk/uksi/2011/409/article/25A" TargetMode="External"/><Relationship Id="rId57" Type="http://schemas.openxmlformats.org/officeDocument/2006/relationships/hyperlink" Target="https://www.legislation.gov.uk/uksi/2011/409/article/17A" TargetMode="External"/><Relationship Id="rId10" Type="http://schemas.openxmlformats.org/officeDocument/2006/relationships/webSettings" Target="webSettings.xml"/><Relationship Id="rId31" Type="http://schemas.openxmlformats.org/officeDocument/2006/relationships/hyperlink" Target="https://www.legislation.gov.uk/ukpga/2009/23/part/3" TargetMode="External"/><Relationship Id="rId44" Type="http://schemas.openxmlformats.org/officeDocument/2006/relationships/hyperlink" Target="https://www.gov.uk/government/publications/marine-licensing-fees/marine-licensing-fees" TargetMode="External"/><Relationship Id="rId52" Type="http://schemas.openxmlformats.org/officeDocument/2006/relationships/hyperlink" Target="https://www.legislation.gov.uk/uksi/2011/409/article/31" TargetMode="External"/><Relationship Id="rId60" Type="http://schemas.openxmlformats.org/officeDocument/2006/relationships/hyperlink" Target="https://www.legislation.gov.uk/uksi/2011/409/article/18A" TargetMode="External"/><Relationship Id="rId65" Type="http://schemas.openxmlformats.org/officeDocument/2006/relationships/hyperlink" Target="https://www.legislation.gov.uk/uksi/2011/409/article/17B"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jpg"/><Relationship Id="rId18" Type="http://schemas.openxmlformats.org/officeDocument/2006/relationships/hyperlink" Target="http://www.gov.uk/defra" TargetMode="External"/><Relationship Id="rId39" Type="http://schemas.openxmlformats.org/officeDocument/2006/relationships/hyperlink" Target="https://eur03.safelinks.protection.outlook.com/?url=https%3A%2F%2Fwww.gov.uk%2Fgovernment%2Fpublications%2Fdefras-consultations-and-call-for-evidence-exercises-privacy-notice&amp;data=05%7C02%7CAlastair.Welch%40defra.gov.uk%7Ccdfae16a2823498ad81908dd3553ca75%7C770a245002274c6290c74e38537f1102%7C0%7C0%7C638725356168425626%7CUnknown%7CTWFpbGZsb3d8eyJFbXB0eU1hcGkiOnRydWUsIlYiOiIwLjAuMDAwMCIsIlAiOiJXaW4zMiIsIkFOIjoiTWFpbCIsIldUIjoyfQ%3D%3D%7C0%7C%7C%7C&amp;sdata=lL%2FZKdN%2BioSpzLr94Bci5Y4yNOQx890yU2lX%2FSMnr7M%3D&amp;reserved=0" TargetMode="External"/><Relationship Id="rId34" Type="http://schemas.openxmlformats.org/officeDocument/2006/relationships/hyperlink" Target="https://www.gov.uk/government/publications/marine-licensing-fees/marine-licensing-fees" TargetMode="External"/><Relationship Id="rId50" Type="http://schemas.openxmlformats.org/officeDocument/2006/relationships/hyperlink" Target="https://www.legislation.gov.uk/uksi/2011/409/article/26A" TargetMode="External"/><Relationship Id="rId55" Type="http://schemas.openxmlformats.org/officeDocument/2006/relationships/hyperlink" Target="https://www.legislation.gov.uk/uksi/2011/409/article/2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gov.uk/uksi/2011/409/article/27A" TargetMode="External"/><Relationship Id="rId13" Type="http://schemas.openxmlformats.org/officeDocument/2006/relationships/hyperlink" Target="https://www.gov.uk/government/publications/marine-licensing-fees/marine-licensing-fees" TargetMode="External"/><Relationship Id="rId3" Type="http://schemas.openxmlformats.org/officeDocument/2006/relationships/hyperlink" Target="https://www.legislation.gov.uk/uksi/2011/627" TargetMode="External"/><Relationship Id="rId7" Type="http://schemas.openxmlformats.org/officeDocument/2006/relationships/hyperlink" Target="https://mnr.jncc.gov.uk/" TargetMode="External"/><Relationship Id="rId12" Type="http://schemas.openxmlformats.org/officeDocument/2006/relationships/hyperlink" Target="https://www.gov.uk/government/publications/marine-licensing-fees/marine-licensing-fees" TargetMode="External"/><Relationship Id="rId2" Type="http://schemas.openxmlformats.org/officeDocument/2006/relationships/hyperlink" Target="mailto:https://www.legislation.gov.uk/ukpga/2009/23/section/113" TargetMode="External"/><Relationship Id="rId16" Type="http://schemas.openxmlformats.org/officeDocument/2006/relationships/hyperlink" Target="https://www.ospar.org/site/assets/files/1169/ospar_convention.pdf" TargetMode="External"/><Relationship Id="rId1" Type="http://schemas.openxmlformats.org/officeDocument/2006/relationships/hyperlink" Target="https://assets.publishing.service.gov.uk/government/uploads/system/uploads/attachment_data/file/1153523/Managing_Public_Money_-_May_2023_.pdf" TargetMode="External"/><Relationship Id="rId6" Type="http://schemas.openxmlformats.org/officeDocument/2006/relationships/hyperlink" Target="https://www.legislation.gov.uk/ukpga/2009/23/part/4" TargetMode="External"/><Relationship Id="rId11" Type="http://schemas.openxmlformats.org/officeDocument/2006/relationships/hyperlink" Target="https://www.legislation.gov.uk/ukdsi/2014/9780111114797" TargetMode="External"/><Relationship Id="rId5" Type="http://schemas.openxmlformats.org/officeDocument/2006/relationships/hyperlink" Target="https://www.legislation.gov.uk/uksi/2019/893/contents/made" TargetMode="External"/><Relationship Id="rId15" Type="http://schemas.openxmlformats.org/officeDocument/2006/relationships/hyperlink" Target="https://www.legislation.gov.uk/ukpga/2009/23/section/72" TargetMode="External"/><Relationship Id="rId10" Type="http://schemas.openxmlformats.org/officeDocument/2006/relationships/hyperlink" Target="https://www.legislation.gov.uk/uksi/2014/615/contents/made" TargetMode="External"/><Relationship Id="rId4" Type="http://schemas.openxmlformats.org/officeDocument/2006/relationships/hyperlink" Target="https://www.legislation.gov.uk/uksi/2011/409/contents/made" TargetMode="External"/><Relationship Id="rId9" Type="http://schemas.openxmlformats.org/officeDocument/2006/relationships/hyperlink" Target="https://www.legislation.gov.uk/uksi/2011/409" TargetMode="External"/><Relationship Id="rId14" Type="http://schemas.openxmlformats.org/officeDocument/2006/relationships/hyperlink" Target="https://www.gov.uk/government/publications/marine-licensing-fees/marine-licensing-fe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161586\Desktop\Branding\Document-templates\corporate-document-template-defr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4FEC6D46EF9F1246A7A5736A60928D36" ma:contentTypeVersion="44" ma:contentTypeDescription="new Document or upload" ma:contentTypeScope="" ma:versionID="f3df0e96fb381d793f8d0d84698c8783">
  <xsd:schema xmlns:xsd="http://www.w3.org/2001/XMLSchema" xmlns:xs="http://www.w3.org/2001/XMLSchema" xmlns:p="http://schemas.microsoft.com/office/2006/metadata/properties" xmlns:ns2="662745e8-e224-48e8-a2e3-254862b8c2f5" xmlns:ns3="01f5ea41-7e48-4e68-91b3-675ca7359689" targetNamespace="http://schemas.microsoft.com/office/2006/metadata/properties" ma:root="true" ma:fieldsID="b87662059c5ace4bd2ad7fbd308edfa0" ns2:_="" ns3:_="">
    <xsd:import namespace="662745e8-e224-48e8-a2e3-254862b8c2f5"/>
    <xsd:import namespace="01f5ea41-7e48-4e68-91b3-675ca735968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dlc_EmailReceivedUTC" minOccurs="0"/>
                <xsd:element ref="ns3:peb8f3fab875401ca34a9f28cac46400" minOccurs="0"/>
                <xsd:element ref="ns3:dlc_EmailCC" minOccurs="0"/>
                <xsd:element ref="ns3:dlc_EmailSubject" minOccurs="0"/>
                <xsd:element ref="ns3:dlc_EmailTo" minOccurs="0"/>
                <xsd:element ref="ns3:bcb1675984d34ae3a1ed6b6e433c98de" minOccurs="0"/>
                <xsd:element ref="ns3:dlc_EmailFrom" minOccurs="0"/>
                <xsd:element ref="ns3:dlc_EmailSentU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1430912-0a6c-449f-b02c-9cd993c0bbb3}" ma:internalName="TaxCatchAll" ma:showField="CatchAllData" ma:web="01f5ea41-7e48-4e68-91b3-675ca735968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1430912-0a6c-449f-b02c-9cd993c0bbb3}" ma:internalName="TaxCatchAllLabel" ma:readOnly="true" ma:showField="CatchAllDataLabel" ma:web="01f5ea41-7e48-4e68-91b3-675ca735968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readOnly="fals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readOnly="fals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Marine" ma:internalName="Team" ma:readOnly="false">
      <xsd:simpleType>
        <xsd:restriction base="dms:Text"/>
      </xsd:simpleType>
    </xsd:element>
    <xsd:element name="Topic" ma:index="20" nillable="true" ma:displayName="Topic" ma:default="Marine_Licensing"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f5ea41-7e48-4e68-91b3-675ca7359689" elementFormDefault="qualified">
    <xsd:import namespace="http://schemas.microsoft.com/office/2006/documentManagement/types"/>
    <xsd:import namespace="http://schemas.microsoft.com/office/infopath/2007/PartnerControls"/>
    <xsd:element name="dlc_EmailReceivedUTC" ma:index="25" nillable="true" ma:displayName="Date Received" ma:format="DateTime" ma:internalName="dlc_EmailReceivedUTC" ma:readOnly="false">
      <xsd:simpleType>
        <xsd:restriction base="dms:DateTime"/>
      </xsd:simpleType>
    </xsd:element>
    <xsd:element name="peb8f3fab875401ca34a9f28cac46400" ma:index="26" nillable="true" ma:taxonomy="true" ma:internalName="peb8f3fab875401ca34a9f28cac46400" ma:taxonomyFieldName="SecurityClassification" ma:displayName="SecurityClassification" ma:readOnly="false" ma:fieldId="{9eb8f3fa-b875-401c-a34a-9f28cac46400}" ma:sspId="d1117845-93f6-4da3-abaa-fcb4fa669c78" ma:termSetId="cb8bbbf2-2a11-43af-a18e-40ed7c8e4b19" ma:anchorId="00000000-0000-0000-0000-000000000000" ma:open="false" ma:isKeyword="false">
      <xsd:complexType>
        <xsd:sequence>
          <xsd:element ref="pc:Terms" minOccurs="0" maxOccurs="1"/>
        </xsd:sequence>
      </xsd:complexType>
    </xsd:element>
    <xsd:element name="dlc_EmailCC" ma:index="28" nillable="true" ma:displayName="CC" ma:internalName="dlc_EmailCC" ma:readOnly="false">
      <xsd:simpleType>
        <xsd:restriction base="dms:Note">
          <xsd:maxLength value="255"/>
        </xsd:restriction>
      </xsd:simpleType>
    </xsd:element>
    <xsd:element name="dlc_EmailSubject" ma:index="29" nillable="true" ma:displayName="Subject" ma:internalName="dlc_EmailSubject" ma:readOnly="false">
      <xsd:simpleType>
        <xsd:restriction base="dms:Note"/>
      </xsd:simpleType>
    </xsd:element>
    <xsd:element name="dlc_EmailTo" ma:index="30" nillable="true" ma:displayName="To" ma:internalName="dlc_EmailTo" ma:readOnly="false">
      <xsd:simpleType>
        <xsd:restriction base="dms:Note"/>
      </xsd:simpleType>
    </xsd:element>
    <xsd:element name="bcb1675984d34ae3a1ed6b6e433c98de" ma:index="31" nillable="true" ma:taxonomy="true" ma:internalName="bcb1675984d34ae3a1ed6b6e433c98de" ma:taxonomyFieldName="Directorate" ma:displayName="Directorate" ma:readOnly="false" ma:fieldId="{bcb16759-84d3-4ae3-a1ed-6b6e433c98de}" ma:sspId="d1117845-93f6-4da3-abaa-fcb4fa669c78" ma:termSetId="a3042207-bc74-4e42-93b3-dbb4e6115b83" ma:anchorId="00000000-0000-0000-0000-000000000000" ma:open="false" ma:isKeyword="false">
      <xsd:complexType>
        <xsd:sequence>
          <xsd:element ref="pc:Terms" minOccurs="0" maxOccurs="1"/>
        </xsd:sequence>
      </xsd:complexType>
    </xsd:element>
    <xsd:element name="dlc_EmailFrom" ma:index="33" nillable="true" ma:displayName="From" ma:internalName="dlc_EmailFrom" ma:readOnly="false">
      <xsd:simpleType>
        <xsd:restriction base="dms:Text">
          <xsd:maxLength value="255"/>
        </xsd:restriction>
      </xsd:simpleType>
    </xsd:element>
    <xsd:element name="dlc_EmailSentUTC" ma:index="34" nillable="true" ma:displayName="Date Sent" ma:format="DateTime" ma:internalName="dlc_EmailSentUTC"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k85d23755b3a46b5a51451cf336b2e9b xmlns="662745e8-e224-48e8-a2e3-254862b8c2f5">
      <Terms xmlns="http://schemas.microsoft.com/office/infopath/2007/PartnerControls"/>
    </k85d23755b3a46b5a51451cf336b2e9b>
    <Topic xmlns="662745e8-e224-48e8-a2e3-254862b8c2f5">Marine_Licensing</Topic>
    <bcb1675984d34ae3a1ed6b6e433c98de xmlns="01f5ea41-7e48-4e68-91b3-675ca7359689">
      <Terms xmlns="http://schemas.microsoft.com/office/infopath/2007/PartnerControls"/>
    </bcb1675984d34ae3a1ed6b6e433c98de>
    <dlc_EmailReceivedUTC xmlns="01f5ea41-7e48-4e68-91b3-675ca7359689" xsi:nil="true"/>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lc_EmailFrom xmlns="01f5ea41-7e48-4e68-91b3-675ca7359689" xsi:nil="true"/>
    <peb8f3fab875401ca34a9f28cac46400 xmlns="01f5ea41-7e48-4e68-91b3-675ca7359689">
      <Terms xmlns="http://schemas.microsoft.com/office/infopath/2007/PartnerControls"/>
    </peb8f3fab875401ca34a9f28cac46400>
    <dlc_EmailCC xmlns="01f5ea41-7e48-4e68-91b3-675ca7359689" xsi:nil="true"/>
    <dlc_EmailSubject xmlns="01f5ea41-7e48-4e68-91b3-675ca7359689" xsi:nil="true"/>
    <dlc_EmailTo xmlns="01f5ea41-7e48-4e68-91b3-675ca7359689" xsi:nil="true"/>
    <TaxCatchAll xmlns="662745e8-e224-48e8-a2e3-254862b8c2f5">
      <Value>6</Value>
      <Value>10</Value>
      <Value>9</Value>
      <Value>8</Value>
      <Value>7</Value>
    </TaxCatchAll>
    <Team xmlns="662745e8-e224-48e8-a2e3-254862b8c2f5">Marine</Team>
    <dlc_EmailSentUTC xmlns="01f5ea41-7e48-4e68-91b3-675ca7359689" xsi:nil="true"/>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BADCA42A-56EE-4BCD-9A14-37A8E7A20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01f5ea41-7e48-4e68-91b3-675ca735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40C080-2124-4E06-9386-057657953A10}">
  <ds:schemaRefs>
    <ds:schemaRef ds:uri="http://schemas.microsoft.com/office/2006/metadata/properties"/>
    <ds:schemaRef ds:uri="http://schemas.microsoft.com/office/infopath/2007/PartnerControls"/>
    <ds:schemaRef ds:uri="662745e8-e224-48e8-a2e3-254862b8c2f5"/>
    <ds:schemaRef ds:uri="01f5ea41-7e48-4e68-91b3-675ca7359689"/>
  </ds:schemaRefs>
</ds:datastoreItem>
</file>

<file path=customXml/itemProps3.xml><?xml version="1.0" encoding="utf-8"?>
<ds:datastoreItem xmlns:ds="http://schemas.openxmlformats.org/officeDocument/2006/customXml" ds:itemID="{6CD97DAD-E98C-4933-950A-30C8AA13EAAD}">
  <ds:schemaRefs>
    <ds:schemaRef ds:uri="http://schemas.microsoft.com/sharepoint/v3/contenttype/forms"/>
  </ds:schemaRefs>
</ds:datastoreItem>
</file>

<file path=customXml/itemProps4.xml><?xml version="1.0" encoding="utf-8"?>
<ds:datastoreItem xmlns:ds="http://schemas.openxmlformats.org/officeDocument/2006/customXml" ds:itemID="{BE9C8300-0F43-41A4-A082-B16A2A406E1D}">
  <ds:schemaRefs>
    <ds:schemaRef ds:uri="http://schemas.openxmlformats.org/officeDocument/2006/bibliography"/>
  </ds:schemaRefs>
</ds:datastoreItem>
</file>

<file path=customXml/itemProps5.xml><?xml version="1.0" encoding="utf-8"?>
<ds:datastoreItem xmlns:ds="http://schemas.openxmlformats.org/officeDocument/2006/customXml" ds:itemID="{CD3E2581-C71A-49DC-AD53-50A91641366E}">
  <ds:schemaRefs>
    <ds:schemaRef ds:uri="http://schemas.microsoft.com/office/2006/metadata/longProperties"/>
  </ds:schemaRefs>
</ds:datastoreItem>
</file>

<file path=customXml/itemProps6.xml><?xml version="1.0" encoding="utf-8"?>
<ds:datastoreItem xmlns:ds="http://schemas.openxmlformats.org/officeDocument/2006/customXml" ds:itemID="{F351BCDA-41DD-4DDF-95C7-C197D17C434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corporate-document-template-defra</Template>
  <TotalTime>1623</TotalTime>
  <Pages>40</Pages>
  <Words>10563</Words>
  <Characters>60215</Characters>
  <Application>Microsoft Office Word</Application>
  <DocSecurity>0</DocSecurity>
  <Lines>501</Lines>
  <Paragraphs>141</Paragraphs>
  <ScaleCrop>false</ScaleCrop>
  <Manager/>
  <Company>Environment Agency</Company>
  <LinksUpToDate>false</LinksUpToDate>
  <CharactersWithSpaces>70637</CharactersWithSpaces>
  <SharedDoc>false</SharedDoc>
  <HyperlinkBase/>
  <HLinks>
    <vt:vector size="546" baseType="variant">
      <vt:variant>
        <vt:i4>5374027</vt:i4>
      </vt:variant>
      <vt:variant>
        <vt:i4>309</vt:i4>
      </vt:variant>
      <vt:variant>
        <vt:i4>0</vt:i4>
      </vt:variant>
      <vt:variant>
        <vt:i4>5</vt:i4>
      </vt:variant>
      <vt:variant>
        <vt:lpwstr>https://www.legislation.gov.uk/uksi/2011/409/article/17B</vt:lpwstr>
      </vt:variant>
      <vt:variant>
        <vt:lpwstr/>
      </vt:variant>
      <vt:variant>
        <vt:i4>3342460</vt:i4>
      </vt:variant>
      <vt:variant>
        <vt:i4>306</vt:i4>
      </vt:variant>
      <vt:variant>
        <vt:i4>0</vt:i4>
      </vt:variant>
      <vt:variant>
        <vt:i4>5</vt:i4>
      </vt:variant>
      <vt:variant>
        <vt:lpwstr>https://www.legislation.gov.uk/uksi/2011/409/article/28</vt:lpwstr>
      </vt:variant>
      <vt:variant>
        <vt:lpwstr/>
      </vt:variant>
      <vt:variant>
        <vt:i4>5374027</vt:i4>
      </vt:variant>
      <vt:variant>
        <vt:i4>303</vt:i4>
      </vt:variant>
      <vt:variant>
        <vt:i4>0</vt:i4>
      </vt:variant>
      <vt:variant>
        <vt:i4>5</vt:i4>
      </vt:variant>
      <vt:variant>
        <vt:lpwstr>https://www.legislation.gov.uk/uksi/2011/409/article/27A</vt:lpwstr>
      </vt:variant>
      <vt:variant>
        <vt:lpwstr/>
      </vt:variant>
      <vt:variant>
        <vt:i4>3342460</vt:i4>
      </vt:variant>
      <vt:variant>
        <vt:i4>300</vt:i4>
      </vt:variant>
      <vt:variant>
        <vt:i4>0</vt:i4>
      </vt:variant>
      <vt:variant>
        <vt:i4>5</vt:i4>
      </vt:variant>
      <vt:variant>
        <vt:lpwstr>https://www.legislation.gov.uk/uksi/2011/409/article/22</vt:lpwstr>
      </vt:variant>
      <vt:variant>
        <vt:lpwstr/>
      </vt:variant>
      <vt:variant>
        <vt:i4>3145852</vt:i4>
      </vt:variant>
      <vt:variant>
        <vt:i4>297</vt:i4>
      </vt:variant>
      <vt:variant>
        <vt:i4>0</vt:i4>
      </vt:variant>
      <vt:variant>
        <vt:i4>5</vt:i4>
      </vt:variant>
      <vt:variant>
        <vt:lpwstr>https://www.legislation.gov.uk/uksi/2011/409/article/13</vt:lpwstr>
      </vt:variant>
      <vt:variant>
        <vt:lpwstr/>
      </vt:variant>
      <vt:variant>
        <vt:i4>5308484</vt:i4>
      </vt:variant>
      <vt:variant>
        <vt:i4>294</vt:i4>
      </vt:variant>
      <vt:variant>
        <vt:i4>0</vt:i4>
      </vt:variant>
      <vt:variant>
        <vt:i4>5</vt:i4>
      </vt:variant>
      <vt:variant>
        <vt:lpwstr>https://www.legislation.gov.uk/uksi/2011/409/article/18A</vt:lpwstr>
      </vt:variant>
      <vt:variant>
        <vt:lpwstr/>
      </vt:variant>
      <vt:variant>
        <vt:i4>3145852</vt:i4>
      </vt:variant>
      <vt:variant>
        <vt:i4>291</vt:i4>
      </vt:variant>
      <vt:variant>
        <vt:i4>0</vt:i4>
      </vt:variant>
      <vt:variant>
        <vt:i4>5</vt:i4>
      </vt:variant>
      <vt:variant>
        <vt:lpwstr>https://www.legislation.gov.uk/uksi/2011/409/article/19</vt:lpwstr>
      </vt:variant>
      <vt:variant>
        <vt:lpwstr/>
      </vt:variant>
      <vt:variant>
        <vt:i4>3342460</vt:i4>
      </vt:variant>
      <vt:variant>
        <vt:i4>288</vt:i4>
      </vt:variant>
      <vt:variant>
        <vt:i4>0</vt:i4>
      </vt:variant>
      <vt:variant>
        <vt:i4>5</vt:i4>
      </vt:variant>
      <vt:variant>
        <vt:lpwstr>https://www.legislation.gov.uk/uksi/2011/409/article/23</vt:lpwstr>
      </vt:variant>
      <vt:variant>
        <vt:lpwstr/>
      </vt:variant>
      <vt:variant>
        <vt:i4>5308491</vt:i4>
      </vt:variant>
      <vt:variant>
        <vt:i4>285</vt:i4>
      </vt:variant>
      <vt:variant>
        <vt:i4>0</vt:i4>
      </vt:variant>
      <vt:variant>
        <vt:i4>5</vt:i4>
      </vt:variant>
      <vt:variant>
        <vt:lpwstr>https://www.legislation.gov.uk/uksi/2011/409/article/17A</vt:lpwstr>
      </vt:variant>
      <vt:variant>
        <vt:lpwstr/>
      </vt:variant>
      <vt:variant>
        <vt:i4>3145852</vt:i4>
      </vt:variant>
      <vt:variant>
        <vt:i4>282</vt:i4>
      </vt:variant>
      <vt:variant>
        <vt:i4>0</vt:i4>
      </vt:variant>
      <vt:variant>
        <vt:i4>5</vt:i4>
      </vt:variant>
      <vt:variant>
        <vt:lpwstr>https://www.legislation.gov.uk/uksi/2011/409/article/17</vt:lpwstr>
      </vt:variant>
      <vt:variant>
        <vt:lpwstr/>
      </vt:variant>
      <vt:variant>
        <vt:i4>3342460</vt:i4>
      </vt:variant>
      <vt:variant>
        <vt:i4>279</vt:i4>
      </vt:variant>
      <vt:variant>
        <vt:i4>0</vt:i4>
      </vt:variant>
      <vt:variant>
        <vt:i4>5</vt:i4>
      </vt:variant>
      <vt:variant>
        <vt:lpwstr>https://www.legislation.gov.uk/uksi/2011/409/article/21</vt:lpwstr>
      </vt:variant>
      <vt:variant>
        <vt:lpwstr/>
      </vt:variant>
      <vt:variant>
        <vt:i4>5374024</vt:i4>
      </vt:variant>
      <vt:variant>
        <vt:i4>276</vt:i4>
      </vt:variant>
      <vt:variant>
        <vt:i4>0</vt:i4>
      </vt:variant>
      <vt:variant>
        <vt:i4>5</vt:i4>
      </vt:variant>
      <vt:variant>
        <vt:lpwstr>https://www.legislation.gov.uk/uksi/2011/409/article/24A</vt:lpwstr>
      </vt:variant>
      <vt:variant>
        <vt:lpwstr/>
      </vt:variant>
      <vt:variant>
        <vt:i4>5374029</vt:i4>
      </vt:variant>
      <vt:variant>
        <vt:i4>273</vt:i4>
      </vt:variant>
      <vt:variant>
        <vt:i4>0</vt:i4>
      </vt:variant>
      <vt:variant>
        <vt:i4>5</vt:i4>
      </vt:variant>
      <vt:variant>
        <vt:lpwstr>https://www.legislation.gov.uk/uksi/2011/409/article/21A</vt:lpwstr>
      </vt:variant>
      <vt:variant>
        <vt:lpwstr/>
      </vt:variant>
      <vt:variant>
        <vt:i4>3276924</vt:i4>
      </vt:variant>
      <vt:variant>
        <vt:i4>270</vt:i4>
      </vt:variant>
      <vt:variant>
        <vt:i4>0</vt:i4>
      </vt:variant>
      <vt:variant>
        <vt:i4>5</vt:i4>
      </vt:variant>
      <vt:variant>
        <vt:lpwstr>https://www.legislation.gov.uk/uksi/2011/409/article/31</vt:lpwstr>
      </vt:variant>
      <vt:variant>
        <vt:lpwstr/>
      </vt:variant>
      <vt:variant>
        <vt:i4>5374025</vt:i4>
      </vt:variant>
      <vt:variant>
        <vt:i4>267</vt:i4>
      </vt:variant>
      <vt:variant>
        <vt:i4>0</vt:i4>
      </vt:variant>
      <vt:variant>
        <vt:i4>5</vt:i4>
      </vt:variant>
      <vt:variant>
        <vt:lpwstr>https://www.legislation.gov.uk/uksi/2011/409/article/25A</vt:lpwstr>
      </vt:variant>
      <vt:variant>
        <vt:lpwstr/>
      </vt:variant>
      <vt:variant>
        <vt:i4>5374026</vt:i4>
      </vt:variant>
      <vt:variant>
        <vt:i4>264</vt:i4>
      </vt:variant>
      <vt:variant>
        <vt:i4>0</vt:i4>
      </vt:variant>
      <vt:variant>
        <vt:i4>5</vt:i4>
      </vt:variant>
      <vt:variant>
        <vt:lpwstr>https://www.legislation.gov.uk/uksi/2011/409/article/26A</vt:lpwstr>
      </vt:variant>
      <vt:variant>
        <vt:lpwstr/>
      </vt:variant>
      <vt:variant>
        <vt:i4>5374025</vt:i4>
      </vt:variant>
      <vt:variant>
        <vt:i4>261</vt:i4>
      </vt:variant>
      <vt:variant>
        <vt:i4>0</vt:i4>
      </vt:variant>
      <vt:variant>
        <vt:i4>5</vt:i4>
      </vt:variant>
      <vt:variant>
        <vt:lpwstr>https://www.legislation.gov.uk/uksi/2011/409/article/25A</vt:lpwstr>
      </vt:variant>
      <vt:variant>
        <vt:lpwstr/>
      </vt:variant>
      <vt:variant>
        <vt:i4>8323151</vt:i4>
      </vt:variant>
      <vt:variant>
        <vt:i4>258</vt:i4>
      </vt:variant>
      <vt:variant>
        <vt:i4>0</vt:i4>
      </vt:variant>
      <vt:variant>
        <vt:i4>5</vt:i4>
      </vt:variant>
      <vt:variant>
        <vt:lpwstr>mailto:marine.licensing@defra.gov.uk</vt:lpwstr>
      </vt:variant>
      <vt:variant>
        <vt:lpwstr/>
      </vt:variant>
      <vt:variant>
        <vt:i4>8323151</vt:i4>
      </vt:variant>
      <vt:variant>
        <vt:i4>255</vt:i4>
      </vt:variant>
      <vt:variant>
        <vt:i4>0</vt:i4>
      </vt:variant>
      <vt:variant>
        <vt:i4>5</vt:i4>
      </vt:variant>
      <vt:variant>
        <vt:lpwstr>mailto:marine.licensing@defra.gov.uk</vt:lpwstr>
      </vt:variant>
      <vt:variant>
        <vt:lpwstr/>
      </vt:variant>
      <vt:variant>
        <vt:i4>589890</vt:i4>
      </vt:variant>
      <vt:variant>
        <vt:i4>249</vt:i4>
      </vt:variant>
      <vt:variant>
        <vt:i4>0</vt:i4>
      </vt:variant>
      <vt:variant>
        <vt:i4>5</vt:i4>
      </vt:variant>
      <vt:variant>
        <vt:lpwstr>https://www.gov.uk/government/publications/marine-licensing-fees/marine-licensing-fees</vt:lpwstr>
      </vt:variant>
      <vt:variant>
        <vt:lpwstr>band-3</vt:lpwstr>
      </vt:variant>
      <vt:variant>
        <vt:i4>524354</vt:i4>
      </vt:variant>
      <vt:variant>
        <vt:i4>243</vt:i4>
      </vt:variant>
      <vt:variant>
        <vt:i4>0</vt:i4>
      </vt:variant>
      <vt:variant>
        <vt:i4>5</vt:i4>
      </vt:variant>
      <vt:variant>
        <vt:lpwstr>https://www.gov.uk/government/publications/marine-licensing-fees/marine-licensing-fees</vt:lpwstr>
      </vt:variant>
      <vt:variant>
        <vt:lpwstr>band-2</vt:lpwstr>
      </vt:variant>
      <vt:variant>
        <vt:i4>3211297</vt:i4>
      </vt:variant>
      <vt:variant>
        <vt:i4>240</vt:i4>
      </vt:variant>
      <vt:variant>
        <vt:i4>0</vt:i4>
      </vt:variant>
      <vt:variant>
        <vt:i4>5</vt:i4>
      </vt:variant>
      <vt:variant>
        <vt:lpwstr>https://www.gov.uk/government/publications/marine-licensing-fees/marine-licensing-fees</vt:lpwstr>
      </vt:variant>
      <vt:variant>
        <vt:lpwstr>self-service</vt:lpwstr>
      </vt:variant>
      <vt:variant>
        <vt:i4>6291511</vt:i4>
      </vt:variant>
      <vt:variant>
        <vt:i4>237</vt:i4>
      </vt:variant>
      <vt:variant>
        <vt:i4>0</vt:i4>
      </vt:variant>
      <vt:variant>
        <vt:i4>5</vt:i4>
      </vt:variant>
      <vt:variant>
        <vt:lpwstr>https://www.legislation.gov.uk/ukpga/2009/23/part/4</vt:lpwstr>
      </vt:variant>
      <vt:variant>
        <vt:lpwstr/>
      </vt:variant>
      <vt:variant>
        <vt:i4>458777</vt:i4>
      </vt:variant>
      <vt:variant>
        <vt:i4>231</vt:i4>
      </vt:variant>
      <vt:variant>
        <vt:i4>0</vt:i4>
      </vt:variant>
      <vt:variant>
        <vt:i4>5</vt:i4>
      </vt:variant>
      <vt:variant>
        <vt:lpwstr>https://www.gov.uk/government/publications/a-coastal-concordat-for-england/a-coastal-concordat-for-england-revised-december-2019</vt:lpwstr>
      </vt:variant>
      <vt:variant>
        <vt:lpwstr/>
      </vt:variant>
      <vt:variant>
        <vt:i4>327760</vt:i4>
      </vt:variant>
      <vt:variant>
        <vt:i4>228</vt:i4>
      </vt:variant>
      <vt:variant>
        <vt:i4>0</vt:i4>
      </vt:variant>
      <vt:variant>
        <vt:i4>5</vt:i4>
      </vt:variant>
      <vt:variant>
        <vt:lpwstr>https://www.legislation.gov.uk/uksi/2014/615/contents</vt:lpwstr>
      </vt:variant>
      <vt:variant>
        <vt:lpwstr/>
      </vt:variant>
      <vt:variant>
        <vt:i4>4980802</vt:i4>
      </vt:variant>
      <vt:variant>
        <vt:i4>225</vt:i4>
      </vt:variant>
      <vt:variant>
        <vt:i4>0</vt:i4>
      </vt:variant>
      <vt:variant>
        <vt:i4>5</vt:i4>
      </vt:variant>
      <vt:variant>
        <vt:lpwstr>https://eur03.safelinks.protection.outlook.com/?url=https%3A%2F%2Fassets.publishing.service.gov.uk%2Fmedia%2F5aafa4f2e5274a7fbe4fbacb%2FConsultation_Principles__1_.pdf&amp;data=05%7C02%7CAlastair.Welch%40defra.gov.uk%7Ccdfae16a2823498ad81908dd3553ca75%7C770a245002274c6290c74e38537f1102%7C0%7C0%7C638725356168446924%7CUnknown%7CTWFpbGZsb3d8eyJFbXB0eU1hcGkiOnRydWUsIlYiOiIwLjAuMDAwMCIsIlAiOiJXaW4zMiIsIkFOIjoiTWFpbCIsIldUIjoyfQ%3D%3D%7C0%7C%7C%7C&amp;sdata=HyBSI0vqY3lF70JTVFlT3cE39brSPivuMhlkdTrax1o%3D&amp;reserved=0</vt:lpwstr>
      </vt:variant>
      <vt:variant>
        <vt:lpwstr/>
      </vt:variant>
      <vt:variant>
        <vt:i4>7471202</vt:i4>
      </vt:variant>
      <vt:variant>
        <vt:i4>222</vt:i4>
      </vt:variant>
      <vt:variant>
        <vt:i4>0</vt:i4>
      </vt:variant>
      <vt:variant>
        <vt:i4>5</vt:i4>
      </vt:variant>
      <vt:variant>
        <vt:lpwstr>https://eur03.safelinks.protection.outlook.com/?url=https%3A%2F%2Fwww.gov.uk%2Fgovernment%2Fpublications%2Fdefras-consultations-and-call-for-evidence-exercises-privacy-notice&amp;data=05%7C02%7CAlastair.Welch%40defra.gov.uk%7Ccdfae16a2823498ad81908dd3553ca75%7C770a245002274c6290c74e38537f1102%7C0%7C0%7C638725356168425626%7CUnknown%7CTWFpbGZsb3d8eyJFbXB0eU1hcGkiOnRydWUsIlYiOiIwLjAuMDAwMCIsIlAiOiJXaW4zMiIsIkFOIjoiTWFpbCIsIldUIjoyfQ%3D%3D%7C0%7C%7C%7C&amp;sdata=lL%2FZKdN%2BioSpzLr94Bci5Y4yNOQx890yU2lX%2FSMnr7M%3D&amp;reserved=0</vt:lpwstr>
      </vt:variant>
      <vt:variant>
        <vt:lpwstr/>
      </vt:variant>
      <vt:variant>
        <vt:i4>6881333</vt:i4>
      </vt:variant>
      <vt:variant>
        <vt:i4>219</vt:i4>
      </vt:variant>
      <vt:variant>
        <vt:i4>0</vt:i4>
      </vt:variant>
      <vt:variant>
        <vt:i4>5</vt:i4>
      </vt:variant>
      <vt:variant>
        <vt:lpwstr>https://www.gov.uk/government/publications/marine-licensing-exempted-activities/marine-licensing-exempted-activities--2</vt:lpwstr>
      </vt:variant>
      <vt:variant>
        <vt:lpwstr/>
      </vt:variant>
      <vt:variant>
        <vt:i4>2621564</vt:i4>
      </vt:variant>
      <vt:variant>
        <vt:i4>216</vt:i4>
      </vt:variant>
      <vt:variant>
        <vt:i4>0</vt:i4>
      </vt:variant>
      <vt:variant>
        <vt:i4>5</vt:i4>
      </vt:variant>
      <vt:variant>
        <vt:lpwstr>https://www.gov.uk/government/publications/marine-licensing-exempted-activities</vt:lpwstr>
      </vt:variant>
      <vt:variant>
        <vt:lpwstr/>
      </vt:variant>
      <vt:variant>
        <vt:i4>5373967</vt:i4>
      </vt:variant>
      <vt:variant>
        <vt:i4>213</vt:i4>
      </vt:variant>
      <vt:variant>
        <vt:i4>0</vt:i4>
      </vt:variant>
      <vt:variant>
        <vt:i4>5</vt:i4>
      </vt:variant>
      <vt:variant>
        <vt:lpwstr>https://www.gov.uk/government/publications/self-service-marine-licensing</vt:lpwstr>
      </vt:variant>
      <vt:variant>
        <vt:lpwstr/>
      </vt:variant>
      <vt:variant>
        <vt:i4>7733307</vt:i4>
      </vt:variant>
      <vt:variant>
        <vt:i4>210</vt:i4>
      </vt:variant>
      <vt:variant>
        <vt:i4>0</vt:i4>
      </vt:variant>
      <vt:variant>
        <vt:i4>5</vt:i4>
      </vt:variant>
      <vt:variant>
        <vt:lpwstr>https://www.gov.uk/government/publications/self-service-marine-licensing/self-service-marine-licensing</vt:lpwstr>
      </vt:variant>
      <vt:variant>
        <vt:lpwstr>basic-criteria-for-self-service-marine-licensing</vt:lpwstr>
      </vt:variant>
      <vt:variant>
        <vt:i4>4128867</vt:i4>
      </vt:variant>
      <vt:variant>
        <vt:i4>207</vt:i4>
      </vt:variant>
      <vt:variant>
        <vt:i4>0</vt:i4>
      </vt:variant>
      <vt:variant>
        <vt:i4>5</vt:i4>
      </vt:variant>
      <vt:variant>
        <vt:lpwstr>https://www.gov.uk/government/publications/marine-licensing-fees/marine-licensing-fees</vt:lpwstr>
      </vt:variant>
      <vt:variant>
        <vt:lpwstr/>
      </vt:variant>
      <vt:variant>
        <vt:i4>6815794</vt:i4>
      </vt:variant>
      <vt:variant>
        <vt:i4>204</vt:i4>
      </vt:variant>
      <vt:variant>
        <vt:i4>0</vt:i4>
      </vt:variant>
      <vt:variant>
        <vt:i4>5</vt:i4>
      </vt:variant>
      <vt:variant>
        <vt:lpwstr>https://www.gov.uk/guidance/the-marine-licence-application-timeline</vt:lpwstr>
      </vt:variant>
      <vt:variant>
        <vt:lpwstr/>
      </vt:variant>
      <vt:variant>
        <vt:i4>6160398</vt:i4>
      </vt:variant>
      <vt:variant>
        <vt:i4>201</vt:i4>
      </vt:variant>
      <vt:variant>
        <vt:i4>0</vt:i4>
      </vt:variant>
      <vt:variant>
        <vt:i4>5</vt:i4>
      </vt:variant>
      <vt:variant>
        <vt:lpwstr>https://www.gov.uk/guidance/make-a-marine-licence-application</vt:lpwstr>
      </vt:variant>
      <vt:variant>
        <vt:lpwstr/>
      </vt:variant>
      <vt:variant>
        <vt:i4>6291511</vt:i4>
      </vt:variant>
      <vt:variant>
        <vt:i4>198</vt:i4>
      </vt:variant>
      <vt:variant>
        <vt:i4>0</vt:i4>
      </vt:variant>
      <vt:variant>
        <vt:i4>5</vt:i4>
      </vt:variant>
      <vt:variant>
        <vt:lpwstr>https://www.legislation.gov.uk/ukpga/2009/23/part/3</vt:lpwstr>
      </vt:variant>
      <vt:variant>
        <vt:lpwstr/>
      </vt:variant>
      <vt:variant>
        <vt:i4>917585</vt:i4>
      </vt:variant>
      <vt:variant>
        <vt:i4>195</vt:i4>
      </vt:variant>
      <vt:variant>
        <vt:i4>0</vt:i4>
      </vt:variant>
      <vt:variant>
        <vt:i4>5</vt:i4>
      </vt:variant>
      <vt:variant>
        <vt:lpwstr>https://www.legislation.gov.uk/uksi/2011/409/contents</vt:lpwstr>
      </vt:variant>
      <vt:variant>
        <vt:lpwstr/>
      </vt:variant>
      <vt:variant>
        <vt:i4>7929956</vt:i4>
      </vt:variant>
      <vt:variant>
        <vt:i4>192</vt:i4>
      </vt:variant>
      <vt:variant>
        <vt:i4>0</vt:i4>
      </vt:variant>
      <vt:variant>
        <vt:i4>5</vt:i4>
      </vt:variant>
      <vt:variant>
        <vt:lpwstr>https://www.gov.uk/guidance/incineration-of-any-substance-or-object</vt:lpwstr>
      </vt:variant>
      <vt:variant>
        <vt:lpwstr/>
      </vt:variant>
      <vt:variant>
        <vt:i4>6094877</vt:i4>
      </vt:variant>
      <vt:variant>
        <vt:i4>189</vt:i4>
      </vt:variant>
      <vt:variant>
        <vt:i4>0</vt:i4>
      </vt:variant>
      <vt:variant>
        <vt:i4>5</vt:i4>
      </vt:variant>
      <vt:variant>
        <vt:lpwstr>https://www.gov.uk/guidance/deposits</vt:lpwstr>
      </vt:variant>
      <vt:variant>
        <vt:lpwstr>deposit-or-use-of-explosives</vt:lpwstr>
      </vt:variant>
      <vt:variant>
        <vt:i4>2490408</vt:i4>
      </vt:variant>
      <vt:variant>
        <vt:i4>186</vt:i4>
      </vt:variant>
      <vt:variant>
        <vt:i4>0</vt:i4>
      </vt:variant>
      <vt:variant>
        <vt:i4>5</vt:i4>
      </vt:variant>
      <vt:variant>
        <vt:lpwstr>https://www.gov.uk/guidance/removal-of-any-substance-or-object</vt:lpwstr>
      </vt:variant>
      <vt:variant>
        <vt:lpwstr/>
      </vt:variant>
      <vt:variant>
        <vt:i4>2883618</vt:i4>
      </vt:variant>
      <vt:variant>
        <vt:i4>183</vt:i4>
      </vt:variant>
      <vt:variant>
        <vt:i4>0</vt:i4>
      </vt:variant>
      <vt:variant>
        <vt:i4>5</vt:i4>
      </vt:variant>
      <vt:variant>
        <vt:lpwstr>https://www.gov.uk/guidance/construction-alteration-or-improvement-of-works</vt:lpwstr>
      </vt:variant>
      <vt:variant>
        <vt:lpwstr/>
      </vt:variant>
      <vt:variant>
        <vt:i4>5832729</vt:i4>
      </vt:variant>
      <vt:variant>
        <vt:i4>180</vt:i4>
      </vt:variant>
      <vt:variant>
        <vt:i4>0</vt:i4>
      </vt:variant>
      <vt:variant>
        <vt:i4>5</vt:i4>
      </vt:variant>
      <vt:variant>
        <vt:lpwstr>https://www.gov.uk/guidance/dredging</vt:lpwstr>
      </vt:variant>
      <vt:variant>
        <vt:lpwstr/>
      </vt:variant>
      <vt:variant>
        <vt:i4>1441874</vt:i4>
      </vt:variant>
      <vt:variant>
        <vt:i4>177</vt:i4>
      </vt:variant>
      <vt:variant>
        <vt:i4>0</vt:i4>
      </vt:variant>
      <vt:variant>
        <vt:i4>5</vt:i4>
      </vt:variant>
      <vt:variant>
        <vt:lpwstr>https://www.gov.uk/guidance/scuttling-of-any-floating-vessel-or-container</vt:lpwstr>
      </vt:variant>
      <vt:variant>
        <vt:lpwstr/>
      </vt:variant>
      <vt:variant>
        <vt:i4>4063277</vt:i4>
      </vt:variant>
      <vt:variant>
        <vt:i4>174</vt:i4>
      </vt:variant>
      <vt:variant>
        <vt:i4>0</vt:i4>
      </vt:variant>
      <vt:variant>
        <vt:i4>5</vt:i4>
      </vt:variant>
      <vt:variant>
        <vt:lpwstr>https://www.gov.uk/guidance/deposits</vt:lpwstr>
      </vt:variant>
      <vt:variant>
        <vt:lpwstr>deposit-of-any-substance-or-object</vt:lpwstr>
      </vt:variant>
      <vt:variant>
        <vt:i4>6291511</vt:i4>
      </vt:variant>
      <vt:variant>
        <vt:i4>171</vt:i4>
      </vt:variant>
      <vt:variant>
        <vt:i4>0</vt:i4>
      </vt:variant>
      <vt:variant>
        <vt:i4>5</vt:i4>
      </vt:variant>
      <vt:variant>
        <vt:lpwstr>https://www.legislation.gov.uk/ukpga/2009/23/part/4</vt:lpwstr>
      </vt:variant>
      <vt:variant>
        <vt:lpwstr/>
      </vt:variant>
      <vt:variant>
        <vt:i4>6291511</vt:i4>
      </vt:variant>
      <vt:variant>
        <vt:i4>168</vt:i4>
      </vt:variant>
      <vt:variant>
        <vt:i4>0</vt:i4>
      </vt:variant>
      <vt:variant>
        <vt:i4>5</vt:i4>
      </vt:variant>
      <vt:variant>
        <vt:lpwstr>https://www.legislation.gov.uk/ukpga/2009/23/part/4</vt:lpwstr>
      </vt:variant>
      <vt:variant>
        <vt:lpwstr/>
      </vt:variant>
      <vt:variant>
        <vt:i4>5308503</vt:i4>
      </vt:variant>
      <vt:variant>
        <vt:i4>165</vt:i4>
      </vt:variant>
      <vt:variant>
        <vt:i4>0</vt:i4>
      </vt:variant>
      <vt:variant>
        <vt:i4>5</vt:i4>
      </vt:variant>
      <vt:variant>
        <vt:lpwstr>https://www.legislation.gov.uk/ukpga/2009/23/contents</vt:lpwstr>
      </vt:variant>
      <vt:variant>
        <vt:lpwstr/>
      </vt:variant>
      <vt:variant>
        <vt:i4>1114173</vt:i4>
      </vt:variant>
      <vt:variant>
        <vt:i4>158</vt:i4>
      </vt:variant>
      <vt:variant>
        <vt:i4>0</vt:i4>
      </vt:variant>
      <vt:variant>
        <vt:i4>5</vt:i4>
      </vt:variant>
      <vt:variant>
        <vt:lpwstr/>
      </vt:variant>
      <vt:variant>
        <vt:lpwstr>_Toc190089464</vt:lpwstr>
      </vt:variant>
      <vt:variant>
        <vt:i4>1114173</vt:i4>
      </vt:variant>
      <vt:variant>
        <vt:i4>152</vt:i4>
      </vt:variant>
      <vt:variant>
        <vt:i4>0</vt:i4>
      </vt:variant>
      <vt:variant>
        <vt:i4>5</vt:i4>
      </vt:variant>
      <vt:variant>
        <vt:lpwstr/>
      </vt:variant>
      <vt:variant>
        <vt:lpwstr>_Toc190089463</vt:lpwstr>
      </vt:variant>
      <vt:variant>
        <vt:i4>1114173</vt:i4>
      </vt:variant>
      <vt:variant>
        <vt:i4>146</vt:i4>
      </vt:variant>
      <vt:variant>
        <vt:i4>0</vt:i4>
      </vt:variant>
      <vt:variant>
        <vt:i4>5</vt:i4>
      </vt:variant>
      <vt:variant>
        <vt:lpwstr/>
      </vt:variant>
      <vt:variant>
        <vt:lpwstr>_Toc190089462</vt:lpwstr>
      </vt:variant>
      <vt:variant>
        <vt:i4>1114173</vt:i4>
      </vt:variant>
      <vt:variant>
        <vt:i4>140</vt:i4>
      </vt:variant>
      <vt:variant>
        <vt:i4>0</vt:i4>
      </vt:variant>
      <vt:variant>
        <vt:i4>5</vt:i4>
      </vt:variant>
      <vt:variant>
        <vt:lpwstr/>
      </vt:variant>
      <vt:variant>
        <vt:lpwstr>_Toc190089461</vt:lpwstr>
      </vt:variant>
      <vt:variant>
        <vt:i4>1114173</vt:i4>
      </vt:variant>
      <vt:variant>
        <vt:i4>134</vt:i4>
      </vt:variant>
      <vt:variant>
        <vt:i4>0</vt:i4>
      </vt:variant>
      <vt:variant>
        <vt:i4>5</vt:i4>
      </vt:variant>
      <vt:variant>
        <vt:lpwstr/>
      </vt:variant>
      <vt:variant>
        <vt:lpwstr>_Toc190089460</vt:lpwstr>
      </vt:variant>
      <vt:variant>
        <vt:i4>1179709</vt:i4>
      </vt:variant>
      <vt:variant>
        <vt:i4>128</vt:i4>
      </vt:variant>
      <vt:variant>
        <vt:i4>0</vt:i4>
      </vt:variant>
      <vt:variant>
        <vt:i4>5</vt:i4>
      </vt:variant>
      <vt:variant>
        <vt:lpwstr/>
      </vt:variant>
      <vt:variant>
        <vt:lpwstr>_Toc190089459</vt:lpwstr>
      </vt:variant>
      <vt:variant>
        <vt:i4>1179709</vt:i4>
      </vt:variant>
      <vt:variant>
        <vt:i4>122</vt:i4>
      </vt:variant>
      <vt:variant>
        <vt:i4>0</vt:i4>
      </vt:variant>
      <vt:variant>
        <vt:i4>5</vt:i4>
      </vt:variant>
      <vt:variant>
        <vt:lpwstr/>
      </vt:variant>
      <vt:variant>
        <vt:lpwstr>_Toc190089458</vt:lpwstr>
      </vt:variant>
      <vt:variant>
        <vt:i4>1179709</vt:i4>
      </vt:variant>
      <vt:variant>
        <vt:i4>116</vt:i4>
      </vt:variant>
      <vt:variant>
        <vt:i4>0</vt:i4>
      </vt:variant>
      <vt:variant>
        <vt:i4>5</vt:i4>
      </vt:variant>
      <vt:variant>
        <vt:lpwstr/>
      </vt:variant>
      <vt:variant>
        <vt:lpwstr>_Toc190089457</vt:lpwstr>
      </vt:variant>
      <vt:variant>
        <vt:i4>1179709</vt:i4>
      </vt:variant>
      <vt:variant>
        <vt:i4>110</vt:i4>
      </vt:variant>
      <vt:variant>
        <vt:i4>0</vt:i4>
      </vt:variant>
      <vt:variant>
        <vt:i4>5</vt:i4>
      </vt:variant>
      <vt:variant>
        <vt:lpwstr/>
      </vt:variant>
      <vt:variant>
        <vt:lpwstr>_Toc190089456</vt:lpwstr>
      </vt:variant>
      <vt:variant>
        <vt:i4>1179709</vt:i4>
      </vt:variant>
      <vt:variant>
        <vt:i4>104</vt:i4>
      </vt:variant>
      <vt:variant>
        <vt:i4>0</vt:i4>
      </vt:variant>
      <vt:variant>
        <vt:i4>5</vt:i4>
      </vt:variant>
      <vt:variant>
        <vt:lpwstr/>
      </vt:variant>
      <vt:variant>
        <vt:lpwstr>_Toc190089455</vt:lpwstr>
      </vt:variant>
      <vt:variant>
        <vt:i4>1179709</vt:i4>
      </vt:variant>
      <vt:variant>
        <vt:i4>98</vt:i4>
      </vt:variant>
      <vt:variant>
        <vt:i4>0</vt:i4>
      </vt:variant>
      <vt:variant>
        <vt:i4>5</vt:i4>
      </vt:variant>
      <vt:variant>
        <vt:lpwstr/>
      </vt:variant>
      <vt:variant>
        <vt:lpwstr>_Toc190089454</vt:lpwstr>
      </vt:variant>
      <vt:variant>
        <vt:i4>1179709</vt:i4>
      </vt:variant>
      <vt:variant>
        <vt:i4>92</vt:i4>
      </vt:variant>
      <vt:variant>
        <vt:i4>0</vt:i4>
      </vt:variant>
      <vt:variant>
        <vt:i4>5</vt:i4>
      </vt:variant>
      <vt:variant>
        <vt:lpwstr/>
      </vt:variant>
      <vt:variant>
        <vt:lpwstr>_Toc190089453</vt:lpwstr>
      </vt:variant>
      <vt:variant>
        <vt:i4>1179709</vt:i4>
      </vt:variant>
      <vt:variant>
        <vt:i4>86</vt:i4>
      </vt:variant>
      <vt:variant>
        <vt:i4>0</vt:i4>
      </vt:variant>
      <vt:variant>
        <vt:i4>5</vt:i4>
      </vt:variant>
      <vt:variant>
        <vt:lpwstr/>
      </vt:variant>
      <vt:variant>
        <vt:lpwstr>_Toc190089452</vt:lpwstr>
      </vt:variant>
      <vt:variant>
        <vt:i4>1179709</vt:i4>
      </vt:variant>
      <vt:variant>
        <vt:i4>80</vt:i4>
      </vt:variant>
      <vt:variant>
        <vt:i4>0</vt:i4>
      </vt:variant>
      <vt:variant>
        <vt:i4>5</vt:i4>
      </vt:variant>
      <vt:variant>
        <vt:lpwstr/>
      </vt:variant>
      <vt:variant>
        <vt:lpwstr>_Toc190089451</vt:lpwstr>
      </vt:variant>
      <vt:variant>
        <vt:i4>1179709</vt:i4>
      </vt:variant>
      <vt:variant>
        <vt:i4>74</vt:i4>
      </vt:variant>
      <vt:variant>
        <vt:i4>0</vt:i4>
      </vt:variant>
      <vt:variant>
        <vt:i4>5</vt:i4>
      </vt:variant>
      <vt:variant>
        <vt:lpwstr/>
      </vt:variant>
      <vt:variant>
        <vt:lpwstr>_Toc190089450</vt:lpwstr>
      </vt:variant>
      <vt:variant>
        <vt:i4>1245245</vt:i4>
      </vt:variant>
      <vt:variant>
        <vt:i4>68</vt:i4>
      </vt:variant>
      <vt:variant>
        <vt:i4>0</vt:i4>
      </vt:variant>
      <vt:variant>
        <vt:i4>5</vt:i4>
      </vt:variant>
      <vt:variant>
        <vt:lpwstr/>
      </vt:variant>
      <vt:variant>
        <vt:lpwstr>_Toc190089449</vt:lpwstr>
      </vt:variant>
      <vt:variant>
        <vt:i4>1245245</vt:i4>
      </vt:variant>
      <vt:variant>
        <vt:i4>62</vt:i4>
      </vt:variant>
      <vt:variant>
        <vt:i4>0</vt:i4>
      </vt:variant>
      <vt:variant>
        <vt:i4>5</vt:i4>
      </vt:variant>
      <vt:variant>
        <vt:lpwstr/>
      </vt:variant>
      <vt:variant>
        <vt:lpwstr>_Toc190089448</vt:lpwstr>
      </vt:variant>
      <vt:variant>
        <vt:i4>1245245</vt:i4>
      </vt:variant>
      <vt:variant>
        <vt:i4>56</vt:i4>
      </vt:variant>
      <vt:variant>
        <vt:i4>0</vt:i4>
      </vt:variant>
      <vt:variant>
        <vt:i4>5</vt:i4>
      </vt:variant>
      <vt:variant>
        <vt:lpwstr/>
      </vt:variant>
      <vt:variant>
        <vt:lpwstr>_Toc190089447</vt:lpwstr>
      </vt:variant>
      <vt:variant>
        <vt:i4>1245245</vt:i4>
      </vt:variant>
      <vt:variant>
        <vt:i4>50</vt:i4>
      </vt:variant>
      <vt:variant>
        <vt:i4>0</vt:i4>
      </vt:variant>
      <vt:variant>
        <vt:i4>5</vt:i4>
      </vt:variant>
      <vt:variant>
        <vt:lpwstr/>
      </vt:variant>
      <vt:variant>
        <vt:lpwstr>_Toc190089446</vt:lpwstr>
      </vt:variant>
      <vt:variant>
        <vt:i4>1245245</vt:i4>
      </vt:variant>
      <vt:variant>
        <vt:i4>44</vt:i4>
      </vt:variant>
      <vt:variant>
        <vt:i4>0</vt:i4>
      </vt:variant>
      <vt:variant>
        <vt:i4>5</vt:i4>
      </vt:variant>
      <vt:variant>
        <vt:lpwstr/>
      </vt:variant>
      <vt:variant>
        <vt:lpwstr>_Toc190089445</vt:lpwstr>
      </vt:variant>
      <vt:variant>
        <vt:i4>1245245</vt:i4>
      </vt:variant>
      <vt:variant>
        <vt:i4>38</vt:i4>
      </vt:variant>
      <vt:variant>
        <vt:i4>0</vt:i4>
      </vt:variant>
      <vt:variant>
        <vt:i4>5</vt:i4>
      </vt:variant>
      <vt:variant>
        <vt:lpwstr/>
      </vt:variant>
      <vt:variant>
        <vt:lpwstr>_Toc190089444</vt:lpwstr>
      </vt:variant>
      <vt:variant>
        <vt:i4>1245245</vt:i4>
      </vt:variant>
      <vt:variant>
        <vt:i4>32</vt:i4>
      </vt:variant>
      <vt:variant>
        <vt:i4>0</vt:i4>
      </vt:variant>
      <vt:variant>
        <vt:i4>5</vt:i4>
      </vt:variant>
      <vt:variant>
        <vt:lpwstr/>
      </vt:variant>
      <vt:variant>
        <vt:lpwstr>_Toc190089443</vt:lpwstr>
      </vt:variant>
      <vt:variant>
        <vt:i4>1245245</vt:i4>
      </vt:variant>
      <vt:variant>
        <vt:i4>26</vt:i4>
      </vt:variant>
      <vt:variant>
        <vt:i4>0</vt:i4>
      </vt:variant>
      <vt:variant>
        <vt:i4>5</vt:i4>
      </vt:variant>
      <vt:variant>
        <vt:lpwstr/>
      </vt:variant>
      <vt:variant>
        <vt:lpwstr>_Toc190089442</vt:lpwstr>
      </vt:variant>
      <vt:variant>
        <vt:i4>1245245</vt:i4>
      </vt:variant>
      <vt:variant>
        <vt:i4>20</vt:i4>
      </vt:variant>
      <vt:variant>
        <vt:i4>0</vt:i4>
      </vt:variant>
      <vt:variant>
        <vt:i4>5</vt:i4>
      </vt:variant>
      <vt:variant>
        <vt:lpwstr/>
      </vt:variant>
      <vt:variant>
        <vt:lpwstr>_Toc190089441</vt:lpwstr>
      </vt:variant>
      <vt:variant>
        <vt:i4>1245245</vt:i4>
      </vt:variant>
      <vt:variant>
        <vt:i4>14</vt:i4>
      </vt:variant>
      <vt:variant>
        <vt:i4>0</vt:i4>
      </vt:variant>
      <vt:variant>
        <vt:i4>5</vt:i4>
      </vt:variant>
      <vt:variant>
        <vt:lpwstr/>
      </vt:variant>
      <vt:variant>
        <vt:lpwstr>_Toc190089440</vt:lpwstr>
      </vt:variant>
      <vt:variant>
        <vt:i4>7798904</vt:i4>
      </vt:variant>
      <vt:variant>
        <vt:i4>9</vt:i4>
      </vt:variant>
      <vt:variant>
        <vt:i4>0</vt:i4>
      </vt:variant>
      <vt:variant>
        <vt:i4>5</vt:i4>
      </vt:variant>
      <vt:variant>
        <vt:lpwstr>http://www.gov.uk/defra</vt:lpwstr>
      </vt:variant>
      <vt:variant>
        <vt:lpwstr/>
      </vt:variant>
      <vt:variant>
        <vt:i4>8323151</vt:i4>
      </vt:variant>
      <vt:variant>
        <vt:i4>6</vt:i4>
      </vt:variant>
      <vt:variant>
        <vt:i4>0</vt:i4>
      </vt:variant>
      <vt:variant>
        <vt:i4>5</vt:i4>
      </vt:variant>
      <vt:variant>
        <vt:lpwstr>mailto:marine.licensing@defra.gov.uk</vt:lpwstr>
      </vt:variant>
      <vt:variant>
        <vt:lpwstr/>
      </vt:variant>
      <vt:variant>
        <vt:i4>524372</vt:i4>
      </vt:variant>
      <vt:variant>
        <vt:i4>3</vt:i4>
      </vt:variant>
      <vt:variant>
        <vt:i4>0</vt:i4>
      </vt:variant>
      <vt:variant>
        <vt:i4>5</vt:i4>
      </vt:variant>
      <vt:variant>
        <vt:lpwstr>http://www.gov.uk/government/publications</vt:lpwstr>
      </vt:variant>
      <vt:variant>
        <vt:lpwstr/>
      </vt:variant>
      <vt:variant>
        <vt:i4>6553714</vt:i4>
      </vt:variant>
      <vt:variant>
        <vt:i4>0</vt:i4>
      </vt:variant>
      <vt:variant>
        <vt:i4>0</vt:i4>
      </vt:variant>
      <vt:variant>
        <vt:i4>5</vt:i4>
      </vt:variant>
      <vt:variant>
        <vt:lpwstr>http://www.nationalarchives.gov.uk/doc/open-government-licence/</vt:lpwstr>
      </vt:variant>
      <vt:variant>
        <vt:lpwstr/>
      </vt:variant>
      <vt:variant>
        <vt:i4>1245300</vt:i4>
      </vt:variant>
      <vt:variant>
        <vt:i4>54</vt:i4>
      </vt:variant>
      <vt:variant>
        <vt:i4>0</vt:i4>
      </vt:variant>
      <vt:variant>
        <vt:i4>5</vt:i4>
      </vt:variant>
      <vt:variant>
        <vt:lpwstr>https://www.ospar.org/site/assets/files/1169/ospar_convention.pdf</vt:lpwstr>
      </vt:variant>
      <vt:variant>
        <vt:lpwstr/>
      </vt:variant>
      <vt:variant>
        <vt:i4>7143539</vt:i4>
      </vt:variant>
      <vt:variant>
        <vt:i4>48</vt:i4>
      </vt:variant>
      <vt:variant>
        <vt:i4>0</vt:i4>
      </vt:variant>
      <vt:variant>
        <vt:i4>5</vt:i4>
      </vt:variant>
      <vt:variant>
        <vt:lpwstr>https://www.legislation.gov.uk/ukpga/2009/23/section/72</vt:lpwstr>
      </vt:variant>
      <vt:variant>
        <vt:lpwstr/>
      </vt:variant>
      <vt:variant>
        <vt:i4>4128867</vt:i4>
      </vt:variant>
      <vt:variant>
        <vt:i4>45</vt:i4>
      </vt:variant>
      <vt:variant>
        <vt:i4>0</vt:i4>
      </vt:variant>
      <vt:variant>
        <vt:i4>5</vt:i4>
      </vt:variant>
      <vt:variant>
        <vt:lpwstr>https://www.gov.uk/government/publications/marine-licensing-fees/marine-licensing-fees</vt:lpwstr>
      </vt:variant>
      <vt:variant>
        <vt:lpwstr/>
      </vt:variant>
      <vt:variant>
        <vt:i4>6291494</vt:i4>
      </vt:variant>
      <vt:variant>
        <vt:i4>42</vt:i4>
      </vt:variant>
      <vt:variant>
        <vt:i4>0</vt:i4>
      </vt:variant>
      <vt:variant>
        <vt:i4>5</vt:i4>
      </vt:variant>
      <vt:variant>
        <vt:lpwstr>https://www.gov.uk/government/publications/marine-licensing-fees/marine-licensing-fees</vt:lpwstr>
      </vt:variant>
      <vt:variant>
        <vt:lpwstr>complex-case-characteristics</vt:lpwstr>
      </vt:variant>
      <vt:variant>
        <vt:i4>4128867</vt:i4>
      </vt:variant>
      <vt:variant>
        <vt:i4>39</vt:i4>
      </vt:variant>
      <vt:variant>
        <vt:i4>0</vt:i4>
      </vt:variant>
      <vt:variant>
        <vt:i4>5</vt:i4>
      </vt:variant>
      <vt:variant>
        <vt:lpwstr>https://www.gov.uk/government/publications/marine-licensing-fees/marine-licensing-fees</vt:lpwstr>
      </vt:variant>
      <vt:variant>
        <vt:lpwstr/>
      </vt:variant>
      <vt:variant>
        <vt:i4>6881313</vt:i4>
      </vt:variant>
      <vt:variant>
        <vt:i4>36</vt:i4>
      </vt:variant>
      <vt:variant>
        <vt:i4>0</vt:i4>
      </vt:variant>
      <vt:variant>
        <vt:i4>5</vt:i4>
      </vt:variant>
      <vt:variant>
        <vt:lpwstr>https://www.legislation.gov.uk/ukdsi/2014/9780111114797</vt:lpwstr>
      </vt:variant>
      <vt:variant>
        <vt:lpwstr/>
      </vt:variant>
      <vt:variant>
        <vt:i4>3014698</vt:i4>
      </vt:variant>
      <vt:variant>
        <vt:i4>33</vt:i4>
      </vt:variant>
      <vt:variant>
        <vt:i4>0</vt:i4>
      </vt:variant>
      <vt:variant>
        <vt:i4>5</vt:i4>
      </vt:variant>
      <vt:variant>
        <vt:lpwstr>https://www.legislation.gov.uk/uksi/2014/615/contents/made</vt:lpwstr>
      </vt:variant>
      <vt:variant>
        <vt:lpwstr/>
      </vt:variant>
      <vt:variant>
        <vt:i4>1179659</vt:i4>
      </vt:variant>
      <vt:variant>
        <vt:i4>30</vt:i4>
      </vt:variant>
      <vt:variant>
        <vt:i4>0</vt:i4>
      </vt:variant>
      <vt:variant>
        <vt:i4>5</vt:i4>
      </vt:variant>
      <vt:variant>
        <vt:lpwstr>https://www.legislation.gov.uk/uksi/2011/409</vt:lpwstr>
      </vt:variant>
      <vt:variant>
        <vt:lpwstr/>
      </vt:variant>
      <vt:variant>
        <vt:i4>5374027</vt:i4>
      </vt:variant>
      <vt:variant>
        <vt:i4>27</vt:i4>
      </vt:variant>
      <vt:variant>
        <vt:i4>0</vt:i4>
      </vt:variant>
      <vt:variant>
        <vt:i4>5</vt:i4>
      </vt:variant>
      <vt:variant>
        <vt:lpwstr>https://www.legislation.gov.uk/uksi/2011/409/article/27A</vt:lpwstr>
      </vt:variant>
      <vt:variant>
        <vt:lpwstr/>
      </vt:variant>
      <vt:variant>
        <vt:i4>1507410</vt:i4>
      </vt:variant>
      <vt:variant>
        <vt:i4>18</vt:i4>
      </vt:variant>
      <vt:variant>
        <vt:i4>0</vt:i4>
      </vt:variant>
      <vt:variant>
        <vt:i4>5</vt:i4>
      </vt:variant>
      <vt:variant>
        <vt:lpwstr>https://mnr.jncc.gov.uk/</vt:lpwstr>
      </vt:variant>
      <vt:variant>
        <vt:lpwstr/>
      </vt:variant>
      <vt:variant>
        <vt:i4>6291511</vt:i4>
      </vt:variant>
      <vt:variant>
        <vt:i4>15</vt:i4>
      </vt:variant>
      <vt:variant>
        <vt:i4>0</vt:i4>
      </vt:variant>
      <vt:variant>
        <vt:i4>5</vt:i4>
      </vt:variant>
      <vt:variant>
        <vt:lpwstr>https://www.legislation.gov.uk/ukpga/2009/23/part/4</vt:lpwstr>
      </vt:variant>
      <vt:variant>
        <vt:lpwstr/>
      </vt:variant>
      <vt:variant>
        <vt:i4>2818082</vt:i4>
      </vt:variant>
      <vt:variant>
        <vt:i4>12</vt:i4>
      </vt:variant>
      <vt:variant>
        <vt:i4>0</vt:i4>
      </vt:variant>
      <vt:variant>
        <vt:i4>5</vt:i4>
      </vt:variant>
      <vt:variant>
        <vt:lpwstr>https://www.legislation.gov.uk/uksi/2019/893/contents/made</vt:lpwstr>
      </vt:variant>
      <vt:variant>
        <vt:lpwstr/>
      </vt:variant>
      <vt:variant>
        <vt:i4>2424875</vt:i4>
      </vt:variant>
      <vt:variant>
        <vt:i4>9</vt:i4>
      </vt:variant>
      <vt:variant>
        <vt:i4>0</vt:i4>
      </vt:variant>
      <vt:variant>
        <vt:i4>5</vt:i4>
      </vt:variant>
      <vt:variant>
        <vt:lpwstr>https://www.legislation.gov.uk/uksi/2011/409/contents/made</vt:lpwstr>
      </vt:variant>
      <vt:variant>
        <vt:lpwstr/>
      </vt:variant>
      <vt:variant>
        <vt:i4>1966089</vt:i4>
      </vt:variant>
      <vt:variant>
        <vt:i4>6</vt:i4>
      </vt:variant>
      <vt:variant>
        <vt:i4>0</vt:i4>
      </vt:variant>
      <vt:variant>
        <vt:i4>5</vt:i4>
      </vt:variant>
      <vt:variant>
        <vt:lpwstr>https://www.legislation.gov.uk/uksi/2011/627</vt:lpwstr>
      </vt:variant>
      <vt:variant>
        <vt:lpwstr/>
      </vt:variant>
      <vt:variant>
        <vt:i4>2097185</vt:i4>
      </vt:variant>
      <vt:variant>
        <vt:i4>3</vt:i4>
      </vt:variant>
      <vt:variant>
        <vt:i4>0</vt:i4>
      </vt:variant>
      <vt:variant>
        <vt:i4>5</vt:i4>
      </vt:variant>
      <vt:variant>
        <vt:lpwstr>mailto:https://www.legislation.gov.uk/ukpga/2009/23/section/113</vt:lpwstr>
      </vt:variant>
      <vt:variant>
        <vt:lpwstr/>
      </vt:variant>
      <vt:variant>
        <vt:i4>6553684</vt:i4>
      </vt:variant>
      <vt:variant>
        <vt:i4>0</vt:i4>
      </vt:variant>
      <vt:variant>
        <vt:i4>0</vt:i4>
      </vt:variant>
      <vt:variant>
        <vt:i4>5</vt:i4>
      </vt:variant>
      <vt:variant>
        <vt:lpwstr>https://assets.publishing.service.gov.uk/government/uploads/system/uploads/attachment_data/file/1153523/Managing_Public_Money_-_May_2023_.pdf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Banks, Mathew (Defra)</dc:creator>
  <cp:keywords/>
  <cp:lastModifiedBy>Alastair Welch</cp:lastModifiedBy>
  <cp:revision>849</cp:revision>
  <cp:lastPrinted>2018-08-21T14:39:00Z</cp:lastPrinted>
  <dcterms:created xsi:type="dcterms:W3CDTF">2024-08-08T00:38:00Z</dcterms:created>
  <dcterms:modified xsi:type="dcterms:W3CDTF">2025-06-20T10:24:00Z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0x010100A5BF1C78D9F64B679A5EBDE1C6598EBC01004FEC6D46EF9F1246A7A5736A60928D36</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Directorate">
    <vt:lpwstr/>
  </property>
  <property fmtid="{D5CDD505-2E9C-101B-9397-08002B2CF9AE}" pid="13" name="SecurityClassification">
    <vt:lpwstr/>
  </property>
  <property fmtid="{D5CDD505-2E9C-101B-9397-08002B2CF9AE}" pid="14" name="MediaServiceImageTags">
    <vt:lpwstr/>
  </property>
  <property fmtid="{D5CDD505-2E9C-101B-9397-08002B2CF9AE}" pid="15" name="lcf76f155ced4ddcb4097134ff3c332f">
    <vt:lpwstr/>
  </property>
  <property fmtid="{D5CDD505-2E9C-101B-9397-08002B2CF9AE}" pid="16" name="SharedWithUsers">
    <vt:lpwstr>2041;#Skeldon, Fern;#1375;#Ludgate, Claire;#446;#Breedon, Jess;#1371;#Stephenson, Paul;#370;#Allin, Ruth;#145;#Catahan, Sara;#325;#Bennett, Steve;#61;#Kang, Amrita;#3460;#Organ, Sarah;#2540;#Tiwana, Nadia;#1850;#Coe, Esme;#2555;#Wilson, Lara;#7990;#McCaffrey, Ella Sophie McCaffrey;#585;#Robertshaw, Henry</vt:lpwstr>
  </property>
  <property fmtid="{D5CDD505-2E9C-101B-9397-08002B2CF9AE}" pid="17" name="TaxCatchAll">
    <vt:lpwstr>6;#Official|14c80daa-741b-422c-9722-f71693c9ede4;#10;#Team|ff0485df-0575-416f-802f-e999165821b7;#9;#Internal Core Defra|836ac8df-3ab9-4c95-a1f0-07f825804935;#8;#Core Defra|026223dd-2e56-4615-868d-7c5bfd566810;#7;#Crown|69589897-2828-4761-976e-717fd8e631c9</vt:lpwstr>
  </property>
  <property fmtid="{D5CDD505-2E9C-101B-9397-08002B2CF9AE}" pid="18" name="cf401361b24e474cb011be6eb76c0e76">
    <vt:lpwstr>Crown|69589897-2828-4761-976e-717fd8e631c9</vt:lpwstr>
  </property>
  <property fmtid="{D5CDD505-2E9C-101B-9397-08002B2CF9AE}" pid="19" name="k85d23755b3a46b5a51451cf336b2e9b">
    <vt:lpwstr/>
  </property>
  <property fmtid="{D5CDD505-2E9C-101B-9397-08002B2CF9AE}" pid="20" name="Topic">
    <vt:lpwstr>Marine_Licensing</vt:lpwstr>
  </property>
  <property fmtid="{D5CDD505-2E9C-101B-9397-08002B2CF9AE}" pid="21" name="HOMigrated">
    <vt:lpwstr>0</vt:lpwstr>
  </property>
  <property fmtid="{D5CDD505-2E9C-101B-9397-08002B2CF9AE}" pid="22" name="ddeb1fd0a9ad4436a96525d34737dc44">
    <vt:lpwstr>Internal Core Defra|836ac8df-3ab9-4c95-a1f0-07f825804935</vt:lpwstr>
  </property>
  <property fmtid="{D5CDD505-2E9C-101B-9397-08002B2CF9AE}" pid="23" name="lae2bfa7b6474897ab4a53f76ea236c7">
    <vt:lpwstr>Official|14c80daa-741b-422c-9722-f71693c9ede4</vt:lpwstr>
  </property>
  <property fmtid="{D5CDD505-2E9C-101B-9397-08002B2CF9AE}" pid="24" name="fe59e9859d6a491389c5b03567f5dda5">
    <vt:lpwstr>Core Defra|026223dd-2e56-4615-868d-7c5bfd566810</vt:lpwstr>
  </property>
  <property fmtid="{D5CDD505-2E9C-101B-9397-08002B2CF9AE}" pid="25" name="Team">
    <vt:lpwstr>Marine</vt:lpwstr>
  </property>
  <property fmtid="{D5CDD505-2E9C-101B-9397-08002B2CF9AE}" pid="26" name="n7493b4506bf40e28c373b1e51a33445">
    <vt:lpwstr>Team|ff0485df-0575-416f-802f-e999165821b7</vt:lpwstr>
  </property>
  <property fmtid="{D5CDD505-2E9C-101B-9397-08002B2CF9AE}" pid="27" name="bcb1675984d34ae3a1ed6b6e433c98de">
    <vt:lpwstr/>
  </property>
  <property fmtid="{D5CDD505-2E9C-101B-9397-08002B2CF9AE}" pid="28" name="dlc_EmailSubject">
    <vt:lpwstr/>
  </property>
  <property fmtid="{D5CDD505-2E9C-101B-9397-08002B2CF9AE}" pid="29" name="dlc_EmailFrom">
    <vt:lpwstr/>
  </property>
  <property fmtid="{D5CDD505-2E9C-101B-9397-08002B2CF9AE}" pid="30" name="dlc_EmailReceivedUTC">
    <vt:lpwstr/>
  </property>
  <property fmtid="{D5CDD505-2E9C-101B-9397-08002B2CF9AE}" pid="31" name="dlc_EmailSentUTC">
    <vt:lpwstr/>
  </property>
  <property fmtid="{D5CDD505-2E9C-101B-9397-08002B2CF9AE}" pid="32" name="dlc_EmailTo">
    <vt:lpwstr/>
  </property>
  <property fmtid="{D5CDD505-2E9C-101B-9397-08002B2CF9AE}" pid="33" name="dlc_EmailCC">
    <vt:lpwstr/>
  </property>
  <property fmtid="{D5CDD505-2E9C-101B-9397-08002B2CF9AE}" pid="34" name="peb8f3fab875401ca34a9f28cac46400">
    <vt:lpwstr/>
  </property>
  <property fmtid="{D5CDD505-2E9C-101B-9397-08002B2CF9AE}" pid="35" name="SI template version">
    <vt:lpwstr>Version 9.1</vt:lpwstr>
  </property>
  <property fmtid="{D5CDD505-2E9C-101B-9397-08002B2CF9AE}" pid="36" name="LastOSversion">
    <vt:lpwstr>16.0</vt:lpwstr>
  </property>
</Properties>
</file>