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6"/>
        <w:gridCol w:w="1619"/>
        <w:gridCol w:w="2516"/>
        <w:gridCol w:w="1980"/>
        <w:gridCol w:w="2106"/>
        <w:gridCol w:w="12"/>
      </w:tblGrid>
      <w:tr w:rsidR="00B50649" w:rsidTr="00092C07">
        <w:trPr>
          <w:trHeight w:hRule="exact" w:val="2890"/>
        </w:trPr>
        <w:tc>
          <w:tcPr>
            <w:tcW w:w="6118" w:type="dxa"/>
            <w:gridSpan w:val="3"/>
            <w:tcBorders>
              <w:top w:val="single" w:sz="4" w:space="0" w:color="auto"/>
              <w:bottom w:val="single" w:sz="4" w:space="0" w:color="auto"/>
            </w:tcBorders>
            <w:shd w:val="clear" w:color="auto" w:fill="auto"/>
          </w:tcPr>
          <w:p w:rsidR="00463490" w:rsidRDefault="00495404" w:rsidP="00092C07">
            <w:pPr>
              <w:pStyle w:val="IAHeadLabel0"/>
              <w:spacing w:before="50"/>
              <w:ind w:left="113"/>
            </w:pPr>
            <w:r w:rsidRPr="003E0510">
              <w:t>Title</w:t>
            </w:r>
            <w:r w:rsidR="00463490">
              <w:t>:</w:t>
            </w:r>
            <w:r w:rsidR="000F78F1">
              <w:t xml:space="preserve"> </w:t>
            </w:r>
            <w:r w:rsidR="00051AA8" w:rsidRPr="00051AA8">
              <w:rPr>
                <w:b w:val="0"/>
              </w:rPr>
              <w:t>Implementation of the Common Organisation of the Market in Fishery and Aquaculture Products (CMO) Regulation  in England and Wales</w:t>
            </w:r>
          </w:p>
          <w:p w:rsidR="00E14792" w:rsidRPr="00CB1B2E" w:rsidRDefault="00D50283" w:rsidP="00092C07">
            <w:pPr>
              <w:pStyle w:val="IAHeadTitle"/>
              <w:ind w:left="113"/>
              <w:rPr>
                <w:rStyle w:val="IANoChar"/>
                <w:b w:val="0"/>
              </w:rPr>
            </w:pPr>
            <w:r w:rsidRPr="00CB1B2E">
              <w:rPr>
                <w:b/>
                <w:color w:val="auto"/>
                <w:sz w:val="20"/>
                <w:szCs w:val="20"/>
              </w:rPr>
              <w:t xml:space="preserve">IA No: </w:t>
            </w:r>
            <w:r w:rsidR="00E90462" w:rsidRPr="00CB1B2E">
              <w:rPr>
                <w:color w:val="auto"/>
                <w:sz w:val="20"/>
                <w:szCs w:val="20"/>
              </w:rPr>
              <w:t xml:space="preserve">Defra </w:t>
            </w:r>
            <w:r w:rsidR="004311A7">
              <w:rPr>
                <w:color w:val="auto"/>
                <w:sz w:val="20"/>
                <w:szCs w:val="20"/>
              </w:rPr>
              <w:t>1725</w:t>
            </w:r>
            <w:bookmarkStart w:id="0" w:name="_GoBack"/>
            <w:bookmarkEnd w:id="0"/>
          </w:p>
          <w:p w:rsidR="00495404" w:rsidRDefault="00495404" w:rsidP="00092C07">
            <w:pPr>
              <w:pStyle w:val="IAHeadLabel"/>
              <w:ind w:left="113"/>
            </w:pPr>
            <w:r w:rsidRPr="003E0510">
              <w:t>Lead department or agency</w:t>
            </w:r>
            <w:r>
              <w:t>:</w:t>
            </w:r>
          </w:p>
          <w:bookmarkStart w:id="1" w:name="IALeadDept"/>
          <w:p w:rsidR="001D5EC9" w:rsidRPr="005F32E7" w:rsidRDefault="00D65CF1" w:rsidP="005F32E7">
            <w:pPr>
              <w:pStyle w:val="IALeadDept"/>
            </w:pPr>
            <w:r w:rsidRPr="005F32E7">
              <w:fldChar w:fldCharType="begin">
                <w:ffData>
                  <w:name w:val="IALeadDept"/>
                  <w:enabled/>
                  <w:calcOnExit w:val="0"/>
                  <w:textInput>
                    <w:maxLength w:val="100"/>
                  </w:textInput>
                </w:ffData>
              </w:fldChar>
            </w:r>
            <w:r w:rsidR="00290335" w:rsidRPr="005F32E7">
              <w:instrText xml:space="preserve"> FORMTEXT </w:instrText>
            </w:r>
            <w:r w:rsidRPr="005F32E7">
              <w:fldChar w:fldCharType="separate"/>
            </w:r>
            <w:r w:rsidR="00F9776A">
              <w:t>Department for Environment, Food and Rural Affairs</w:t>
            </w:r>
            <w:r w:rsidRPr="005F32E7">
              <w:fldChar w:fldCharType="end"/>
            </w:r>
            <w:bookmarkEnd w:id="1"/>
          </w:p>
          <w:p w:rsidR="00DF2F4B" w:rsidRDefault="00495404" w:rsidP="00092C07">
            <w:pPr>
              <w:pStyle w:val="IATableLabel"/>
              <w:spacing w:after="0"/>
            </w:pPr>
            <w:r w:rsidRPr="003E0510">
              <w:t>Other dep</w:t>
            </w:r>
            <w:r w:rsidRPr="00E217A2">
              <w:t>a</w:t>
            </w:r>
            <w:r w:rsidRPr="003E0510">
              <w:t>rtments or agencies:</w:t>
            </w:r>
          </w:p>
          <w:p w:rsidR="00C60925" w:rsidRDefault="00C60925" w:rsidP="00092C07">
            <w:pPr>
              <w:pStyle w:val="IATableLabel"/>
              <w:spacing w:after="0"/>
              <w:rPr>
                <w:b w:val="0"/>
              </w:rPr>
            </w:pPr>
            <w:r>
              <w:rPr>
                <w:b w:val="0"/>
              </w:rPr>
              <w:t>Marine Management Organisation</w:t>
            </w:r>
          </w:p>
          <w:p w:rsidR="00EF63A0" w:rsidRPr="00C60925" w:rsidRDefault="00EF63A0" w:rsidP="00092C07">
            <w:pPr>
              <w:pStyle w:val="IATableLabel"/>
              <w:spacing w:after="0"/>
              <w:rPr>
                <w:b w:val="0"/>
              </w:rPr>
            </w:pPr>
            <w:r>
              <w:rPr>
                <w:b w:val="0"/>
              </w:rPr>
              <w:t>Food Standards Agency</w:t>
            </w:r>
          </w:p>
          <w:p w:rsidR="00B93466" w:rsidRDefault="00B93466" w:rsidP="00F9776A">
            <w:pPr>
              <w:pStyle w:val="IAOtherDepts"/>
            </w:pPr>
          </w:p>
        </w:tc>
        <w:tc>
          <w:tcPr>
            <w:tcW w:w="4098" w:type="dxa"/>
            <w:gridSpan w:val="3"/>
            <w:tcBorders>
              <w:top w:val="single" w:sz="4" w:space="0" w:color="auto"/>
              <w:bottom w:val="single" w:sz="4" w:space="0" w:color="auto"/>
            </w:tcBorders>
            <w:shd w:val="clear" w:color="auto" w:fill="auto"/>
          </w:tcPr>
          <w:tbl>
            <w:tblPr>
              <w:tblW w:w="4088" w:type="dxa"/>
              <w:tblInd w:w="5" w:type="dxa"/>
              <w:tblBorders>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4088"/>
            </w:tblGrid>
            <w:tr w:rsidR="00B50649" w:rsidRPr="00383295" w:rsidTr="00092C07">
              <w:trPr>
                <w:trHeight w:hRule="exact" w:val="539"/>
              </w:trPr>
              <w:tc>
                <w:tcPr>
                  <w:tcW w:w="4088" w:type="dxa"/>
                  <w:shd w:val="clear" w:color="auto" w:fill="333333"/>
                  <w:vAlign w:val="center"/>
                </w:tcPr>
                <w:p w:rsidR="00B50649" w:rsidRPr="00383295" w:rsidRDefault="00B50649" w:rsidP="00E90731">
                  <w:pPr>
                    <w:pStyle w:val="Title"/>
                  </w:pPr>
                  <w:r w:rsidRPr="00383295">
                    <w:t>Impact Assessment (IA)</w:t>
                  </w:r>
                </w:p>
              </w:tc>
            </w:tr>
            <w:tr w:rsidR="00B50649" w:rsidRPr="00966271" w:rsidTr="00092C07">
              <w:tc>
                <w:tcPr>
                  <w:tcW w:w="4088" w:type="dxa"/>
                  <w:shd w:val="clear" w:color="auto" w:fill="auto"/>
                </w:tcPr>
                <w:p w:rsidR="001F69E9" w:rsidRPr="00631B4C" w:rsidRDefault="00B50649" w:rsidP="00D87686">
                  <w:pPr>
                    <w:pStyle w:val="IATableLabel"/>
                  </w:pPr>
                  <w:r w:rsidRPr="00631B4C">
                    <w:t>Date:</w:t>
                  </w:r>
                  <w:r w:rsidR="0071686F">
                    <w:t xml:space="preserve"> </w:t>
                  </w:r>
                  <w:r w:rsidR="00D87686">
                    <w:rPr>
                      <w:b w:val="0"/>
                    </w:rPr>
                    <w:t>31</w:t>
                  </w:r>
                  <w:r w:rsidR="00B24ECD" w:rsidRPr="00716703">
                    <w:rPr>
                      <w:rStyle w:val="IADateChar"/>
                      <w:sz w:val="20"/>
                      <w:szCs w:val="20"/>
                    </w:rPr>
                    <w:t>/03</w:t>
                  </w:r>
                  <w:r w:rsidR="00F50C43" w:rsidRPr="00716703">
                    <w:rPr>
                      <w:rStyle w:val="IADateChar"/>
                      <w:sz w:val="20"/>
                      <w:szCs w:val="20"/>
                    </w:rPr>
                    <w:t>/2014</w:t>
                  </w:r>
                </w:p>
              </w:tc>
            </w:tr>
            <w:tr w:rsidR="00B50649" w:rsidRPr="00966271" w:rsidTr="00092C07">
              <w:tc>
                <w:tcPr>
                  <w:tcW w:w="4088" w:type="dxa"/>
                  <w:shd w:val="clear" w:color="auto" w:fill="auto"/>
                </w:tcPr>
                <w:p w:rsidR="00B50649" w:rsidRPr="00686805" w:rsidRDefault="00941D69" w:rsidP="00686805">
                  <w:pPr>
                    <w:pStyle w:val="IATableLabel"/>
                    <w:rPr>
                      <w:b w:val="0"/>
                    </w:rPr>
                  </w:pPr>
                  <w:bookmarkStart w:id="2" w:name="Stage"/>
                  <w:r w:rsidRPr="007F0ED9">
                    <w:t>Stage:</w:t>
                  </w:r>
                  <w:bookmarkEnd w:id="2"/>
                  <w:r w:rsidR="00686805">
                    <w:t xml:space="preserve"> </w:t>
                  </w:r>
                  <w:r w:rsidR="00686805">
                    <w:rPr>
                      <w:b w:val="0"/>
                    </w:rPr>
                    <w:t>Consultation</w:t>
                  </w:r>
                </w:p>
              </w:tc>
            </w:tr>
            <w:tr w:rsidR="00B50649" w:rsidRPr="00966271" w:rsidTr="00092C07">
              <w:tc>
                <w:tcPr>
                  <w:tcW w:w="4088" w:type="dxa"/>
                  <w:shd w:val="clear" w:color="auto" w:fill="auto"/>
                </w:tcPr>
                <w:p w:rsidR="00B50649" w:rsidRPr="007F0ED9" w:rsidRDefault="0071686F" w:rsidP="007919E4">
                  <w:pPr>
                    <w:pStyle w:val="IATableLabel"/>
                  </w:pPr>
                  <w:r w:rsidRPr="007F0ED9">
                    <w:t xml:space="preserve">Source </w:t>
                  </w:r>
                  <w:r w:rsidR="006A56C1" w:rsidRPr="007F0ED9">
                    <w:t xml:space="preserve">of </w:t>
                  </w:r>
                  <w:r w:rsidRPr="007F0ED9">
                    <w:t>intervention:</w:t>
                  </w:r>
                  <w:r w:rsidR="00B50649" w:rsidRPr="007F0ED9">
                    <w:t xml:space="preserve"> </w:t>
                  </w:r>
                  <w:bookmarkStart w:id="3" w:name="IAInterSource"/>
                  <w:r w:rsidR="00D65CF1">
                    <w:rPr>
                      <w:rStyle w:val="IASOIChar"/>
                      <w:sz w:val="20"/>
                    </w:rPr>
                    <w:fldChar w:fldCharType="begin">
                      <w:ffData>
                        <w:name w:val="IAInterSource"/>
                        <w:enabled/>
                        <w:calcOnExit w:val="0"/>
                        <w:ddList>
                          <w:listEntry w:val="EU"/>
                          <w:listEntry w:val="Domestic"/>
                          <w:listEntry w:val="International"/>
                        </w:ddList>
                      </w:ffData>
                    </w:fldChar>
                  </w:r>
                  <w:r w:rsidR="007919E4">
                    <w:rPr>
                      <w:rStyle w:val="IASOIChar"/>
                      <w:sz w:val="20"/>
                    </w:rPr>
                    <w:instrText xml:space="preserve"> FORMDROPDOWN </w:instrText>
                  </w:r>
                  <w:r w:rsidR="004311A7">
                    <w:rPr>
                      <w:rStyle w:val="IASOIChar"/>
                      <w:sz w:val="20"/>
                    </w:rPr>
                  </w:r>
                  <w:r w:rsidR="004311A7">
                    <w:rPr>
                      <w:rStyle w:val="IASOIChar"/>
                      <w:sz w:val="20"/>
                    </w:rPr>
                    <w:fldChar w:fldCharType="separate"/>
                  </w:r>
                  <w:r w:rsidR="00D65CF1">
                    <w:rPr>
                      <w:rStyle w:val="IASOIChar"/>
                      <w:sz w:val="20"/>
                    </w:rPr>
                    <w:fldChar w:fldCharType="end"/>
                  </w:r>
                  <w:bookmarkEnd w:id="3"/>
                </w:p>
              </w:tc>
            </w:tr>
            <w:tr w:rsidR="00052F44" w:rsidRPr="00092C07" w:rsidTr="00092C07">
              <w:tc>
                <w:tcPr>
                  <w:tcW w:w="4088" w:type="dxa"/>
                  <w:shd w:val="clear" w:color="auto" w:fill="auto"/>
                </w:tcPr>
                <w:p w:rsidR="00052F44" w:rsidRPr="00092C07" w:rsidRDefault="00052F44" w:rsidP="000F78F1">
                  <w:pPr>
                    <w:pStyle w:val="IATableLabel"/>
                    <w:rPr>
                      <w:b w:val="0"/>
                    </w:rPr>
                  </w:pPr>
                  <w:r w:rsidRPr="007F0ED9">
                    <w:t xml:space="preserve">Type of measure: </w:t>
                  </w:r>
                  <w:bookmarkStart w:id="4" w:name="IAMeasureType"/>
                  <w:r w:rsidR="000F78F1">
                    <w:rPr>
                      <w:rStyle w:val="IATOMChar"/>
                      <w:sz w:val="20"/>
                    </w:rPr>
                    <w:fldChar w:fldCharType="begin">
                      <w:ffData>
                        <w:name w:val="IAMeasureType"/>
                        <w:enabled/>
                        <w:calcOnExit w:val="0"/>
                        <w:ddList>
                          <w:listEntry w:val="Secondary legislation"/>
                          <w:listEntry w:val="Primary legislation"/>
                          <w:listEntry w:val="Other"/>
                        </w:ddList>
                      </w:ffData>
                    </w:fldChar>
                  </w:r>
                  <w:r w:rsidR="000F78F1">
                    <w:rPr>
                      <w:rStyle w:val="IATOMChar"/>
                      <w:sz w:val="20"/>
                    </w:rPr>
                    <w:instrText xml:space="preserve"> FORMDROPDOWN </w:instrText>
                  </w:r>
                  <w:r w:rsidR="004311A7">
                    <w:rPr>
                      <w:rStyle w:val="IATOMChar"/>
                      <w:sz w:val="20"/>
                    </w:rPr>
                  </w:r>
                  <w:r w:rsidR="004311A7">
                    <w:rPr>
                      <w:rStyle w:val="IATOMChar"/>
                      <w:sz w:val="20"/>
                    </w:rPr>
                    <w:fldChar w:fldCharType="separate"/>
                  </w:r>
                  <w:r w:rsidR="000F78F1">
                    <w:rPr>
                      <w:rStyle w:val="IATOMChar"/>
                      <w:sz w:val="20"/>
                    </w:rPr>
                    <w:fldChar w:fldCharType="end"/>
                  </w:r>
                  <w:bookmarkEnd w:id="4"/>
                </w:p>
              </w:tc>
            </w:tr>
            <w:tr w:rsidR="00B50649" w:rsidRPr="00092C07" w:rsidTr="00092C07">
              <w:trPr>
                <w:trHeight w:val="1115"/>
              </w:trPr>
              <w:tc>
                <w:tcPr>
                  <w:tcW w:w="4088" w:type="dxa"/>
                  <w:shd w:val="clear" w:color="auto" w:fill="auto"/>
                </w:tcPr>
                <w:p w:rsidR="00682091" w:rsidRPr="00650545" w:rsidRDefault="00DF2F4B" w:rsidP="00682091">
                  <w:pPr>
                    <w:pStyle w:val="IATableLines"/>
                    <w:rPr>
                      <w:b w:val="0"/>
                      <w:color w:val="auto"/>
                    </w:rPr>
                  </w:pPr>
                  <w:r w:rsidRPr="00650545">
                    <w:rPr>
                      <w:sz w:val="20"/>
                    </w:rPr>
                    <w:t>Contact for enquiries</w:t>
                  </w:r>
                  <w:r w:rsidRPr="00650545">
                    <w:rPr>
                      <w:b w:val="0"/>
                      <w:color w:val="auto"/>
                    </w:rPr>
                    <w:t xml:space="preserve">: </w:t>
                  </w:r>
                </w:p>
                <w:p w:rsidR="00A32793" w:rsidRPr="00BC3BAF" w:rsidRDefault="00BC3BAF" w:rsidP="00BC3BAF">
                  <w:pPr>
                    <w:pStyle w:val="IATableLines"/>
                    <w:rPr>
                      <w:b w:val="0"/>
                      <w:color w:val="auto"/>
                      <w:sz w:val="20"/>
                    </w:rPr>
                  </w:pPr>
                  <w:r>
                    <w:rPr>
                      <w:b w:val="0"/>
                      <w:color w:val="auto"/>
                      <w:sz w:val="20"/>
                    </w:rPr>
                    <w:t>cmo.consultation@defra.gsi.gov.uk</w:t>
                  </w:r>
                </w:p>
              </w:tc>
            </w:tr>
            <w:tr w:rsidR="000C1D45" w:rsidRPr="00092C07" w:rsidTr="00092C07">
              <w:trPr>
                <w:trHeight w:val="1115"/>
              </w:trPr>
              <w:tc>
                <w:tcPr>
                  <w:tcW w:w="4088" w:type="dxa"/>
                  <w:shd w:val="clear" w:color="auto" w:fill="auto"/>
                </w:tcPr>
                <w:p w:rsidR="000C1D45" w:rsidRPr="00650545" w:rsidRDefault="000C1D45" w:rsidP="00A32793">
                  <w:pPr>
                    <w:pStyle w:val="IATableLines"/>
                    <w:rPr>
                      <w:sz w:val="20"/>
                    </w:rPr>
                  </w:pPr>
                </w:p>
              </w:tc>
            </w:tr>
            <w:tr w:rsidR="000C1D45" w:rsidRPr="00092C07" w:rsidTr="00092C07">
              <w:trPr>
                <w:trHeight w:val="1115"/>
              </w:trPr>
              <w:tc>
                <w:tcPr>
                  <w:tcW w:w="4088" w:type="dxa"/>
                  <w:shd w:val="clear" w:color="auto" w:fill="auto"/>
                </w:tcPr>
                <w:p w:rsidR="000C1D45" w:rsidRPr="00650545" w:rsidRDefault="000C1D45" w:rsidP="00A32793">
                  <w:pPr>
                    <w:pStyle w:val="IATableLines"/>
                    <w:rPr>
                      <w:sz w:val="20"/>
                    </w:rPr>
                  </w:pPr>
                </w:p>
              </w:tc>
            </w:tr>
            <w:tr w:rsidR="000C1D45" w:rsidRPr="00092C07" w:rsidTr="00092C07">
              <w:trPr>
                <w:trHeight w:val="1115"/>
              </w:trPr>
              <w:tc>
                <w:tcPr>
                  <w:tcW w:w="4088" w:type="dxa"/>
                  <w:shd w:val="clear" w:color="auto" w:fill="auto"/>
                </w:tcPr>
                <w:p w:rsidR="000C1D45" w:rsidRPr="00650545" w:rsidRDefault="000C1D45" w:rsidP="00A32793">
                  <w:pPr>
                    <w:pStyle w:val="IATableLines"/>
                    <w:rPr>
                      <w:sz w:val="20"/>
                    </w:rPr>
                  </w:pPr>
                </w:p>
              </w:tc>
            </w:tr>
            <w:tr w:rsidR="000C1D45" w:rsidRPr="00092C07" w:rsidTr="00092C07">
              <w:trPr>
                <w:trHeight w:val="1115"/>
              </w:trPr>
              <w:tc>
                <w:tcPr>
                  <w:tcW w:w="4088" w:type="dxa"/>
                  <w:shd w:val="clear" w:color="auto" w:fill="auto"/>
                </w:tcPr>
                <w:p w:rsidR="000C1D45" w:rsidRPr="00650545" w:rsidRDefault="000C1D45" w:rsidP="00A32793">
                  <w:pPr>
                    <w:pStyle w:val="IATableLines"/>
                    <w:rPr>
                      <w:sz w:val="20"/>
                    </w:rPr>
                  </w:pPr>
                </w:p>
              </w:tc>
            </w:tr>
            <w:tr w:rsidR="000C1D45" w:rsidRPr="00092C07" w:rsidTr="00092C07">
              <w:trPr>
                <w:trHeight w:val="1115"/>
              </w:trPr>
              <w:tc>
                <w:tcPr>
                  <w:tcW w:w="4088" w:type="dxa"/>
                  <w:shd w:val="clear" w:color="auto" w:fill="auto"/>
                </w:tcPr>
                <w:p w:rsidR="000C1D45" w:rsidRPr="00650545" w:rsidRDefault="000C1D45" w:rsidP="00A32793">
                  <w:pPr>
                    <w:pStyle w:val="IATableLines"/>
                    <w:rPr>
                      <w:sz w:val="20"/>
                    </w:rPr>
                  </w:pPr>
                </w:p>
              </w:tc>
            </w:tr>
            <w:tr w:rsidR="000C1D45" w:rsidRPr="00092C07" w:rsidTr="00092C07">
              <w:trPr>
                <w:trHeight w:val="1115"/>
              </w:trPr>
              <w:tc>
                <w:tcPr>
                  <w:tcW w:w="4088" w:type="dxa"/>
                  <w:shd w:val="clear" w:color="auto" w:fill="auto"/>
                </w:tcPr>
                <w:p w:rsidR="000C1D45" w:rsidRPr="00650545" w:rsidRDefault="000C1D45" w:rsidP="00A32793">
                  <w:pPr>
                    <w:pStyle w:val="IATableLines"/>
                    <w:rPr>
                      <w:sz w:val="20"/>
                    </w:rPr>
                  </w:pPr>
                </w:p>
              </w:tc>
            </w:tr>
          </w:tbl>
          <w:p w:rsidR="00B50649" w:rsidRPr="00092C07" w:rsidRDefault="00B50649">
            <w:pPr>
              <w:rPr>
                <w:rFonts w:eastAsia="SimSun"/>
              </w:rPr>
            </w:pPr>
          </w:p>
        </w:tc>
      </w:tr>
      <w:tr w:rsidR="000C1D45" w:rsidRPr="00092C07" w:rsidTr="00092C07">
        <w:trPr>
          <w:trHeight w:hRule="exact" w:val="410"/>
        </w:trPr>
        <w:tc>
          <w:tcPr>
            <w:tcW w:w="6118" w:type="dxa"/>
            <w:gridSpan w:val="3"/>
            <w:tcBorders>
              <w:top w:val="single" w:sz="4" w:space="0" w:color="auto"/>
              <w:left w:val="nil"/>
              <w:bottom w:val="single" w:sz="4" w:space="0" w:color="auto"/>
              <w:right w:val="single" w:sz="4" w:space="0" w:color="auto"/>
            </w:tcBorders>
            <w:shd w:val="clear" w:color="auto" w:fill="auto"/>
          </w:tcPr>
          <w:p w:rsidR="000C1D45" w:rsidRPr="00092C07" w:rsidRDefault="000C1D45" w:rsidP="00092C07">
            <w:pPr>
              <w:pStyle w:val="Heading1"/>
              <w:spacing w:before="60"/>
              <w:rPr>
                <w:rFonts w:eastAsia="SimSun" w:hint="eastAsia"/>
                <w:sz w:val="28"/>
                <w:szCs w:val="28"/>
              </w:rPr>
            </w:pPr>
            <w:r w:rsidRPr="00092C07">
              <w:rPr>
                <w:rFonts w:eastAsia="SimSun"/>
                <w:sz w:val="28"/>
                <w:szCs w:val="28"/>
              </w:rPr>
              <w:t xml:space="preserve">Summary: Intervention and Options </w:t>
            </w:r>
          </w:p>
          <w:p w:rsidR="000C1D45" w:rsidRPr="00092C07" w:rsidRDefault="000C1D45" w:rsidP="00092C07">
            <w:pPr>
              <w:pStyle w:val="IAHeadLabel0"/>
              <w:spacing w:before="50"/>
              <w:ind w:left="113"/>
              <w:rPr>
                <w:sz w:val="28"/>
                <w:szCs w:val="28"/>
              </w:rPr>
            </w:pPr>
          </w:p>
        </w:tc>
        <w:tc>
          <w:tcPr>
            <w:tcW w:w="4098"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0C1D45" w:rsidRPr="00092C07" w:rsidRDefault="000C1D45" w:rsidP="00F50C43">
            <w:pPr>
              <w:pStyle w:val="Title"/>
              <w:rPr>
                <w:rFonts w:eastAsia="SimSun"/>
                <w:b/>
                <w:color w:val="auto"/>
                <w:sz w:val="24"/>
                <w:szCs w:val="24"/>
              </w:rPr>
            </w:pPr>
            <w:r w:rsidRPr="00092C07">
              <w:rPr>
                <w:rFonts w:eastAsia="SimSun"/>
                <w:b/>
                <w:color w:val="auto"/>
                <w:sz w:val="24"/>
                <w:szCs w:val="24"/>
              </w:rPr>
              <w:t>RPC</w:t>
            </w:r>
            <w:r w:rsidR="00EC6B93" w:rsidRPr="00092C07">
              <w:rPr>
                <w:rFonts w:eastAsia="SimSun"/>
                <w:b/>
                <w:color w:val="auto"/>
                <w:sz w:val="24"/>
                <w:szCs w:val="24"/>
              </w:rPr>
              <w:t xml:space="preserve"> Opinion</w:t>
            </w:r>
            <w:r w:rsidRPr="00092C07">
              <w:rPr>
                <w:rFonts w:eastAsia="SimSun"/>
                <w:b/>
                <w:color w:val="auto"/>
                <w:sz w:val="24"/>
                <w:szCs w:val="24"/>
              </w:rPr>
              <w:t xml:space="preserve">: </w:t>
            </w:r>
            <w:r w:rsidR="00F50C43">
              <w:rPr>
                <w:rStyle w:val="IARPCChar"/>
              </w:rPr>
              <w:fldChar w:fldCharType="begin">
                <w:ffData>
                  <w:name w:val="IARPC"/>
                  <w:enabled/>
                  <w:calcOnExit w:val="0"/>
                  <w:ddList>
                    <w:listEntry w:val="GREEN"/>
                    <w:listEntry w:val="Awaiting Scrutiny"/>
                    <w:listEntry w:val="RPC Opinion Status"/>
                    <w:listEntry w:val="RED"/>
                    <w:listEntry w:val="AMBER"/>
                  </w:ddList>
                </w:ffData>
              </w:fldChar>
            </w:r>
            <w:bookmarkStart w:id="5" w:name="IARPC"/>
            <w:r w:rsidR="00F50C43">
              <w:rPr>
                <w:rStyle w:val="IARPCChar"/>
              </w:rPr>
              <w:instrText xml:space="preserve"> FORMDROPDOWN </w:instrText>
            </w:r>
            <w:r w:rsidR="004311A7">
              <w:rPr>
                <w:rStyle w:val="IARPCChar"/>
              </w:rPr>
            </w:r>
            <w:r w:rsidR="004311A7">
              <w:rPr>
                <w:rStyle w:val="IARPCChar"/>
              </w:rPr>
              <w:fldChar w:fldCharType="separate"/>
            </w:r>
            <w:r w:rsidR="00F50C43">
              <w:rPr>
                <w:rStyle w:val="IARPCChar"/>
              </w:rPr>
              <w:fldChar w:fldCharType="end"/>
            </w:r>
            <w:bookmarkEnd w:id="5"/>
          </w:p>
        </w:tc>
      </w:tr>
      <w:tr w:rsidR="00372A69" w:rsidRPr="00092C07" w:rsidTr="00176294">
        <w:trPr>
          <w:trHeight w:hRule="exact" w:val="260"/>
        </w:trPr>
        <w:tc>
          <w:tcPr>
            <w:tcW w:w="10216" w:type="dxa"/>
            <w:gridSpan w:val="6"/>
            <w:tcBorders>
              <w:top w:val="single" w:sz="4" w:space="0" w:color="auto"/>
              <w:left w:val="nil"/>
              <w:bottom w:val="nil"/>
              <w:right w:val="single" w:sz="4" w:space="0" w:color="auto"/>
            </w:tcBorders>
            <w:shd w:val="clear" w:color="auto" w:fill="auto"/>
          </w:tcPr>
          <w:p w:rsidR="00372A69" w:rsidRPr="00092C07" w:rsidRDefault="00372A69" w:rsidP="00372A69">
            <w:pPr>
              <w:rPr>
                <w:rFonts w:eastAsia="SimSun"/>
              </w:rPr>
            </w:pPr>
          </w:p>
        </w:tc>
      </w:tr>
      <w:tr w:rsidR="00372A69" w:rsidRPr="000E02BE" w:rsidTr="000E452D">
        <w:tblPrEx>
          <w:tblBorders>
            <w:insideV w:val="none" w:sz="0" w:space="0" w:color="auto"/>
          </w:tblBorders>
          <w:shd w:val="clear" w:color="auto" w:fill="E0E0E0"/>
        </w:tblPrEx>
        <w:trPr>
          <w:gridAfter w:val="1"/>
          <w:wAfter w:w="12" w:type="dxa"/>
          <w:trHeight w:hRule="exact" w:val="312"/>
        </w:trPr>
        <w:tc>
          <w:tcPr>
            <w:tcW w:w="10207" w:type="dxa"/>
            <w:gridSpan w:val="5"/>
            <w:tcBorders>
              <w:top w:val="single" w:sz="4" w:space="0" w:color="auto"/>
              <w:bottom w:val="nil"/>
              <w:right w:val="single" w:sz="4" w:space="0" w:color="auto"/>
            </w:tcBorders>
            <w:shd w:val="clear" w:color="auto" w:fill="E0E0E0"/>
          </w:tcPr>
          <w:p w:rsidR="00372A69" w:rsidRPr="000E02BE" w:rsidRDefault="00372A69" w:rsidP="006A0557">
            <w:pPr>
              <w:pStyle w:val="IATableLabel"/>
              <w:ind w:left="0"/>
              <w:jc w:val="center"/>
            </w:pPr>
            <w:bookmarkStart w:id="6" w:name="CostText"/>
            <w:r>
              <w:t>Cost of Preferred (or more likely) Option</w:t>
            </w:r>
            <w:bookmarkEnd w:id="6"/>
          </w:p>
        </w:tc>
      </w:tr>
      <w:tr w:rsidR="00372A69" w:rsidRPr="000E02BE" w:rsidTr="000E452D">
        <w:tblPrEx>
          <w:tblBorders>
            <w:insideV w:val="none" w:sz="0" w:space="0" w:color="auto"/>
          </w:tblBorders>
          <w:shd w:val="clear" w:color="auto" w:fill="E0E0E0"/>
        </w:tblPrEx>
        <w:trPr>
          <w:gridAfter w:val="1"/>
          <w:wAfter w:w="12" w:type="dxa"/>
          <w:trHeight w:hRule="exact" w:val="571"/>
        </w:trPr>
        <w:tc>
          <w:tcPr>
            <w:tcW w:w="1986" w:type="dxa"/>
            <w:tcBorders>
              <w:top w:val="single" w:sz="4" w:space="0" w:color="auto"/>
              <w:bottom w:val="nil"/>
              <w:right w:val="single" w:sz="4" w:space="0" w:color="auto"/>
            </w:tcBorders>
            <w:shd w:val="clear" w:color="auto" w:fill="E0E0E0"/>
            <w:vAlign w:val="center"/>
          </w:tcPr>
          <w:p w:rsidR="00372A69" w:rsidRPr="000E02BE" w:rsidRDefault="00372A69" w:rsidP="006A0557">
            <w:pPr>
              <w:pStyle w:val="IATableLabel"/>
              <w:spacing w:before="0" w:after="0"/>
            </w:pPr>
            <w:r>
              <w:t>Total Net Present Value</w:t>
            </w:r>
          </w:p>
        </w:tc>
        <w:tc>
          <w:tcPr>
            <w:tcW w:w="1619" w:type="dxa"/>
            <w:tcBorders>
              <w:top w:val="single" w:sz="4" w:space="0" w:color="auto"/>
              <w:bottom w:val="nil"/>
              <w:right w:val="single" w:sz="4" w:space="0" w:color="auto"/>
            </w:tcBorders>
            <w:shd w:val="clear" w:color="auto" w:fill="E0E0E0"/>
            <w:vAlign w:val="center"/>
          </w:tcPr>
          <w:p w:rsidR="00372A69" w:rsidRPr="000E02BE" w:rsidRDefault="00372A69" w:rsidP="006A0557">
            <w:pPr>
              <w:pStyle w:val="IATableLabel"/>
              <w:spacing w:before="0" w:after="0"/>
            </w:pPr>
            <w:r>
              <w:t>Business Net Present Value</w:t>
            </w:r>
          </w:p>
        </w:tc>
        <w:tc>
          <w:tcPr>
            <w:tcW w:w="2516" w:type="dxa"/>
            <w:tcBorders>
              <w:top w:val="single" w:sz="4" w:space="0" w:color="auto"/>
              <w:bottom w:val="nil"/>
              <w:right w:val="single" w:sz="4" w:space="0" w:color="auto"/>
            </w:tcBorders>
            <w:shd w:val="clear" w:color="auto" w:fill="E0E0E0"/>
            <w:vAlign w:val="center"/>
          </w:tcPr>
          <w:p w:rsidR="00372A69" w:rsidRPr="000E02BE" w:rsidRDefault="00372A69" w:rsidP="006A0557">
            <w:pPr>
              <w:pStyle w:val="IATableLabel"/>
              <w:spacing w:before="0" w:after="0"/>
            </w:pPr>
            <w:r>
              <w:t xml:space="preserve">Net cost </w:t>
            </w:r>
            <w:r w:rsidR="00332B05">
              <w:t xml:space="preserve">to business </w:t>
            </w:r>
            <w:r>
              <w:t>per year</w:t>
            </w:r>
            <w:r w:rsidR="006656EC">
              <w:t xml:space="preserve"> </w:t>
            </w:r>
            <w:r w:rsidR="006656EC" w:rsidRPr="006656EC">
              <w:rPr>
                <w:b w:val="0"/>
              </w:rPr>
              <w:t>(</w:t>
            </w:r>
            <w:r w:rsidR="00332B05" w:rsidRPr="00332B05">
              <w:rPr>
                <w:b w:val="0"/>
                <w:sz w:val="16"/>
                <w:szCs w:val="16"/>
              </w:rPr>
              <w:t>EANCB</w:t>
            </w:r>
            <w:r w:rsidR="00332B05">
              <w:rPr>
                <w:b w:val="0"/>
              </w:rPr>
              <w:t xml:space="preserve"> </w:t>
            </w:r>
            <w:r w:rsidR="006656EC" w:rsidRPr="006656EC">
              <w:rPr>
                <w:b w:val="0"/>
                <w:sz w:val="16"/>
                <w:szCs w:val="16"/>
              </w:rPr>
              <w:t xml:space="preserve">on 2009 </w:t>
            </w:r>
            <w:r w:rsidR="006656EC">
              <w:rPr>
                <w:b w:val="0"/>
                <w:sz w:val="16"/>
                <w:szCs w:val="16"/>
              </w:rPr>
              <w:t>prices</w:t>
            </w:r>
            <w:r w:rsidR="006656EC" w:rsidRPr="006656EC">
              <w:rPr>
                <w:b w:val="0"/>
                <w:sz w:val="16"/>
                <w:szCs w:val="16"/>
              </w:rPr>
              <w:t>)</w:t>
            </w:r>
          </w:p>
        </w:tc>
        <w:tc>
          <w:tcPr>
            <w:tcW w:w="1980" w:type="dxa"/>
            <w:tcBorders>
              <w:top w:val="single" w:sz="4" w:space="0" w:color="auto"/>
              <w:left w:val="single" w:sz="4" w:space="0" w:color="auto"/>
              <w:bottom w:val="nil"/>
              <w:right w:val="nil"/>
            </w:tcBorders>
            <w:shd w:val="clear" w:color="auto" w:fill="E0E0E0"/>
            <w:vAlign w:val="center"/>
          </w:tcPr>
          <w:p w:rsidR="00372A69" w:rsidRPr="000E02BE" w:rsidRDefault="00372A69" w:rsidP="00682091">
            <w:pPr>
              <w:pStyle w:val="IATableLabel"/>
              <w:spacing w:before="0" w:after="0"/>
            </w:pPr>
            <w:r w:rsidRPr="000E02BE">
              <w:t xml:space="preserve">In scope of </w:t>
            </w:r>
            <w:r>
              <w:t>On</w:t>
            </w:r>
            <w:r w:rsidR="00290335">
              <w:t>e</w:t>
            </w:r>
            <w:r>
              <w:t xml:space="preserve">-In, </w:t>
            </w:r>
            <w:r w:rsidR="00682091">
              <w:t>Two</w:t>
            </w:r>
            <w:r>
              <w:t>-Out</w:t>
            </w:r>
            <w:r w:rsidRPr="000E02BE">
              <w:t>?</w:t>
            </w:r>
          </w:p>
        </w:tc>
        <w:tc>
          <w:tcPr>
            <w:tcW w:w="2106" w:type="dxa"/>
            <w:tcBorders>
              <w:top w:val="single" w:sz="4" w:space="0" w:color="auto"/>
              <w:left w:val="nil"/>
              <w:bottom w:val="nil"/>
              <w:right w:val="single" w:sz="4" w:space="0" w:color="auto"/>
            </w:tcBorders>
            <w:shd w:val="clear" w:color="auto" w:fill="E0E0E0"/>
            <w:vAlign w:val="center"/>
          </w:tcPr>
          <w:p w:rsidR="00372A69" w:rsidRDefault="00372A69" w:rsidP="006A0557">
            <w:pPr>
              <w:pStyle w:val="IATableLabel"/>
              <w:spacing w:before="0" w:after="0"/>
              <w:ind w:left="0"/>
            </w:pPr>
            <w:r w:rsidRPr="000E02BE">
              <w:t>Measure qualifies as</w:t>
            </w:r>
          </w:p>
          <w:p w:rsidR="00463490" w:rsidRPr="000E02BE" w:rsidRDefault="00463490" w:rsidP="006A0557">
            <w:pPr>
              <w:pStyle w:val="IATableLabel"/>
              <w:spacing w:before="0" w:after="0"/>
              <w:ind w:left="0"/>
            </w:pPr>
          </w:p>
        </w:tc>
      </w:tr>
      <w:tr w:rsidR="00372A69" w:rsidRPr="0061761A" w:rsidTr="000E452D">
        <w:tblPrEx>
          <w:tblBorders>
            <w:insideV w:val="none" w:sz="0" w:space="0" w:color="auto"/>
          </w:tblBorders>
          <w:shd w:val="clear" w:color="auto" w:fill="E0E0E0"/>
        </w:tblPrEx>
        <w:trPr>
          <w:gridAfter w:val="1"/>
          <w:wAfter w:w="12" w:type="dxa"/>
          <w:trHeight w:hRule="exact" w:val="340"/>
        </w:trPr>
        <w:tc>
          <w:tcPr>
            <w:tcW w:w="1986" w:type="dxa"/>
            <w:tcBorders>
              <w:top w:val="nil"/>
              <w:bottom w:val="single" w:sz="4" w:space="0" w:color="auto"/>
              <w:right w:val="single" w:sz="4" w:space="0" w:color="auto"/>
            </w:tcBorders>
            <w:shd w:val="clear" w:color="auto" w:fill="E0E0E0"/>
            <w:vAlign w:val="center"/>
          </w:tcPr>
          <w:p w:rsidR="00372A69" w:rsidRPr="000E02BE" w:rsidRDefault="00501B2A" w:rsidP="00501B2A">
            <w:pPr>
              <w:pStyle w:val="IAIIOTNPV"/>
            </w:pPr>
            <w:r>
              <w:t>£-</w:t>
            </w:r>
            <w:r w:rsidR="00F50C43">
              <w:t>0.60</w:t>
            </w:r>
            <w:r w:rsidR="00AF6FD7">
              <w:t>m</w:t>
            </w:r>
          </w:p>
        </w:tc>
        <w:tc>
          <w:tcPr>
            <w:tcW w:w="1619" w:type="dxa"/>
            <w:tcBorders>
              <w:top w:val="nil"/>
              <w:bottom w:val="single" w:sz="4" w:space="0" w:color="auto"/>
              <w:right w:val="single" w:sz="4" w:space="0" w:color="auto"/>
            </w:tcBorders>
            <w:shd w:val="clear" w:color="auto" w:fill="E0E0E0"/>
            <w:vAlign w:val="center"/>
          </w:tcPr>
          <w:p w:rsidR="00372A69" w:rsidRPr="000E02BE" w:rsidRDefault="00432AA0" w:rsidP="00F50C43">
            <w:pPr>
              <w:pStyle w:val="IAIOBNPV"/>
            </w:pPr>
            <w:r>
              <w:t>£-</w:t>
            </w:r>
            <w:r w:rsidR="00F50C43">
              <w:t>0.05</w:t>
            </w:r>
            <w:r w:rsidR="00AF6FD7">
              <w:t>m</w:t>
            </w:r>
          </w:p>
        </w:tc>
        <w:tc>
          <w:tcPr>
            <w:tcW w:w="2516" w:type="dxa"/>
            <w:tcBorders>
              <w:top w:val="nil"/>
              <w:bottom w:val="single" w:sz="4" w:space="0" w:color="auto"/>
              <w:right w:val="single" w:sz="4" w:space="0" w:color="auto"/>
            </w:tcBorders>
            <w:shd w:val="clear" w:color="auto" w:fill="E0E0E0"/>
            <w:vAlign w:val="center"/>
          </w:tcPr>
          <w:p w:rsidR="00372A69" w:rsidRPr="000E02BE" w:rsidRDefault="00501B2A" w:rsidP="00F50C43">
            <w:pPr>
              <w:pStyle w:val="IAIONCTBPY"/>
            </w:pPr>
            <w:r>
              <w:t>£0.</w:t>
            </w:r>
            <w:r w:rsidR="00F50C43">
              <w:t>57</w:t>
            </w:r>
            <w:r w:rsidR="0071569A">
              <w:t>m</w:t>
            </w:r>
          </w:p>
        </w:tc>
        <w:bookmarkStart w:id="7" w:name="IAInScopeInOut"/>
        <w:tc>
          <w:tcPr>
            <w:tcW w:w="1980" w:type="dxa"/>
            <w:tcBorders>
              <w:top w:val="nil"/>
              <w:left w:val="single" w:sz="4" w:space="0" w:color="auto"/>
              <w:bottom w:val="single" w:sz="4" w:space="0" w:color="auto"/>
              <w:right w:val="single" w:sz="4" w:space="0" w:color="auto"/>
            </w:tcBorders>
            <w:shd w:val="clear" w:color="auto" w:fill="E0E0E0"/>
            <w:vAlign w:val="center"/>
          </w:tcPr>
          <w:p w:rsidR="00372A69" w:rsidRPr="000E02BE" w:rsidRDefault="00D65CF1" w:rsidP="008369A3">
            <w:pPr>
              <w:pStyle w:val="IAIOInScopeInOut"/>
            </w:pPr>
            <w:r>
              <w:fldChar w:fldCharType="begin">
                <w:ffData>
                  <w:name w:val="IAInScopeInOut"/>
                  <w:enabled/>
                  <w:calcOnExit w:val="0"/>
                  <w:ddList>
                    <w:result w:val="2"/>
                    <w:listEntry w:val="Yes/No"/>
                    <w:listEntry w:val="Yes"/>
                    <w:listEntry w:val="No"/>
                  </w:ddList>
                </w:ffData>
              </w:fldChar>
            </w:r>
            <w:r w:rsidR="003B1336">
              <w:instrText xml:space="preserve"> FORMDROPDOWN </w:instrText>
            </w:r>
            <w:r w:rsidR="004311A7">
              <w:fldChar w:fldCharType="separate"/>
            </w:r>
            <w:r>
              <w:fldChar w:fldCharType="end"/>
            </w:r>
            <w:bookmarkEnd w:id="7"/>
          </w:p>
        </w:tc>
        <w:bookmarkStart w:id="8" w:name="IAPrefMQ"/>
        <w:tc>
          <w:tcPr>
            <w:tcW w:w="2106" w:type="dxa"/>
            <w:tcBorders>
              <w:top w:val="nil"/>
              <w:left w:val="single" w:sz="4" w:space="0" w:color="auto"/>
              <w:bottom w:val="single" w:sz="4" w:space="0" w:color="auto"/>
              <w:right w:val="single" w:sz="4" w:space="0" w:color="auto"/>
            </w:tcBorders>
            <w:shd w:val="clear" w:color="auto" w:fill="E0E0E0"/>
            <w:vAlign w:val="center"/>
          </w:tcPr>
          <w:p w:rsidR="00372A69" w:rsidRPr="00650545" w:rsidRDefault="00D65CF1" w:rsidP="008369A3">
            <w:pPr>
              <w:pStyle w:val="IAIOPrefMQ"/>
              <w:rPr>
                <w:b w:val="0"/>
              </w:rPr>
            </w:pPr>
            <w:r w:rsidRPr="00650545">
              <w:rPr>
                <w:b w:val="0"/>
              </w:rPr>
              <w:fldChar w:fldCharType="begin">
                <w:ffData>
                  <w:name w:val="IAPrefMQ"/>
                  <w:enabled/>
                  <w:calcOnExit w:val="0"/>
                  <w:ddList>
                    <w:result w:val="4"/>
                    <w:listEntry w:val="In/Out/zero net cost"/>
                    <w:listEntry w:val="IN"/>
                    <w:listEntry w:val="OUT"/>
                    <w:listEntry w:val="Zero Net Cost"/>
                    <w:listEntry w:val="NA"/>
                  </w:ddList>
                </w:ffData>
              </w:fldChar>
            </w:r>
            <w:r w:rsidR="003B1336" w:rsidRPr="00650545">
              <w:rPr>
                <w:b w:val="0"/>
              </w:rPr>
              <w:instrText xml:space="preserve"> FORMDROPDOWN </w:instrText>
            </w:r>
            <w:r w:rsidR="004311A7">
              <w:rPr>
                <w:b w:val="0"/>
              </w:rPr>
            </w:r>
            <w:r w:rsidR="004311A7">
              <w:rPr>
                <w:b w:val="0"/>
              </w:rPr>
              <w:fldChar w:fldCharType="separate"/>
            </w:r>
            <w:r w:rsidRPr="00650545">
              <w:rPr>
                <w:b w:val="0"/>
              </w:rPr>
              <w:fldChar w:fldCharType="end"/>
            </w:r>
            <w:bookmarkEnd w:id="8"/>
          </w:p>
        </w:tc>
      </w:tr>
      <w:tr w:rsidR="007208D9" w:rsidRPr="00826F71" w:rsidTr="000E452D">
        <w:tblPrEx>
          <w:tblBorders>
            <w:insideV w:val="none" w:sz="0" w:space="0" w:color="auto"/>
          </w:tblBorders>
        </w:tblPrEx>
        <w:trPr>
          <w:gridAfter w:val="1"/>
          <w:wAfter w:w="12" w:type="dxa"/>
          <w:trHeight w:hRule="exact" w:val="2262"/>
        </w:trPr>
        <w:tc>
          <w:tcPr>
            <w:tcW w:w="10207" w:type="dxa"/>
            <w:gridSpan w:val="5"/>
            <w:tcBorders>
              <w:top w:val="single" w:sz="4" w:space="0" w:color="auto"/>
              <w:left w:val="single" w:sz="4" w:space="0" w:color="auto"/>
              <w:bottom w:val="single" w:sz="4" w:space="0" w:color="auto"/>
              <w:right w:val="single" w:sz="4" w:space="0" w:color="auto"/>
            </w:tcBorders>
          </w:tcPr>
          <w:p w:rsidR="007208D9" w:rsidRPr="00EA0B74" w:rsidRDefault="00686F5E" w:rsidP="008369A3">
            <w:pPr>
              <w:pStyle w:val="IAIOQ1"/>
            </w:pPr>
            <w:bookmarkStart w:id="9" w:name="Summary1"/>
            <w:r>
              <w:t>What is the problem under consideration? Why is government intervention necessary?</w:t>
            </w:r>
            <w:bookmarkEnd w:id="9"/>
          </w:p>
          <w:p w:rsidR="00C06C22" w:rsidRPr="00C06C22" w:rsidRDefault="00C06C22" w:rsidP="00C06C22">
            <w:pPr>
              <w:ind w:left="113" w:right="113"/>
              <w:jc w:val="both"/>
              <w:rPr>
                <w:rFonts w:cs="Arial"/>
                <w:sz w:val="20"/>
              </w:rPr>
            </w:pPr>
            <w:r w:rsidRPr="00C06C22">
              <w:rPr>
                <w:rFonts w:cs="Arial"/>
                <w:sz w:val="20"/>
              </w:rPr>
              <w:t xml:space="preserve">The European Common Organisation of the Markets in Fishery and Aquaculture Products </w:t>
            </w:r>
            <w:r w:rsidR="00BC3BAF" w:rsidRPr="00C06C22">
              <w:rPr>
                <w:rFonts w:cs="Arial"/>
                <w:sz w:val="20"/>
              </w:rPr>
              <w:t xml:space="preserve">(CMO) </w:t>
            </w:r>
            <w:r w:rsidR="00F22611">
              <w:rPr>
                <w:rFonts w:cs="Arial"/>
                <w:sz w:val="20"/>
              </w:rPr>
              <w:t>Regulation sets out</w:t>
            </w:r>
            <w:r w:rsidRPr="00C06C22">
              <w:rPr>
                <w:rFonts w:cs="Arial"/>
                <w:sz w:val="20"/>
              </w:rPr>
              <w:t xml:space="preserve"> the EU regime to manage the market and maximise value for EU seafood products. </w:t>
            </w:r>
            <w:r w:rsidRPr="0044096F">
              <w:rPr>
                <w:rFonts w:cs="Arial"/>
                <w:sz w:val="20"/>
              </w:rPr>
              <w:t xml:space="preserve">The objectives of the CMO </w:t>
            </w:r>
            <w:r>
              <w:rPr>
                <w:rFonts w:cs="Arial"/>
                <w:sz w:val="20"/>
              </w:rPr>
              <w:t xml:space="preserve">include </w:t>
            </w:r>
            <w:r w:rsidRPr="0044096F">
              <w:rPr>
                <w:rFonts w:cs="Arial"/>
                <w:sz w:val="20"/>
              </w:rPr>
              <w:t xml:space="preserve">price stability, strengthened competitiveness, ensuring the supply of the EU processing industry while respecting the interests of EU producers and </w:t>
            </w:r>
            <w:r>
              <w:rPr>
                <w:rFonts w:cs="Arial"/>
                <w:sz w:val="20"/>
              </w:rPr>
              <w:t xml:space="preserve">giving </w:t>
            </w:r>
            <w:r w:rsidRPr="0044096F">
              <w:rPr>
                <w:rFonts w:cs="Arial"/>
                <w:sz w:val="20"/>
              </w:rPr>
              <w:t xml:space="preserve">proper information to consumers. </w:t>
            </w:r>
            <w:r w:rsidRPr="00C06C22">
              <w:rPr>
                <w:rFonts w:cs="Arial"/>
                <w:sz w:val="20"/>
              </w:rPr>
              <w:t>The CMO supports the seafood industry in facing challenges ranging f</w:t>
            </w:r>
            <w:r>
              <w:rPr>
                <w:rFonts w:cs="Arial"/>
                <w:sz w:val="20"/>
              </w:rPr>
              <w:t xml:space="preserve">rom market failures, such as </w:t>
            </w:r>
            <w:r w:rsidRPr="00C06C22">
              <w:rPr>
                <w:rFonts w:cs="Arial"/>
                <w:sz w:val="20"/>
              </w:rPr>
              <w:t xml:space="preserve">asymmetric information (e.g. consumer information on product sustainability), to supply shocks (e.g. natural variation). </w:t>
            </w:r>
            <w:r>
              <w:rPr>
                <w:rFonts w:cs="Arial"/>
                <w:sz w:val="20"/>
              </w:rPr>
              <w:t>It</w:t>
            </w:r>
            <w:r w:rsidRPr="00C06C22">
              <w:rPr>
                <w:rFonts w:cs="Arial"/>
                <w:sz w:val="20"/>
              </w:rPr>
              <w:t xml:space="preserve"> has been updated at the European level to contribute more to the Common Fisheries Policy (CFP) objective of sustainable fisheries and aquaculture. </w:t>
            </w:r>
            <w:r w:rsidR="00BC3BAF">
              <w:rPr>
                <w:rFonts w:cs="Arial"/>
                <w:sz w:val="20"/>
              </w:rPr>
              <w:t>L</w:t>
            </w:r>
            <w:r>
              <w:rPr>
                <w:rFonts w:cs="Arial"/>
                <w:sz w:val="20"/>
              </w:rPr>
              <w:t>egislation in England and Wales</w:t>
            </w:r>
            <w:r w:rsidR="003D6907">
              <w:rPr>
                <w:rFonts w:cs="Arial"/>
                <w:sz w:val="20"/>
              </w:rPr>
              <w:t xml:space="preserve"> (E &amp; W)</w:t>
            </w:r>
            <w:r>
              <w:rPr>
                <w:rFonts w:cs="Arial"/>
                <w:sz w:val="20"/>
              </w:rPr>
              <w:t xml:space="preserve"> needs </w:t>
            </w:r>
            <w:r w:rsidR="003D6907">
              <w:rPr>
                <w:rFonts w:cs="Arial"/>
                <w:sz w:val="20"/>
              </w:rPr>
              <w:t>updated</w:t>
            </w:r>
            <w:r>
              <w:rPr>
                <w:rFonts w:cs="Arial"/>
                <w:sz w:val="20"/>
              </w:rPr>
              <w:t xml:space="preserve"> to implement the CMO. </w:t>
            </w:r>
          </w:p>
          <w:p w:rsidR="00E75380" w:rsidRPr="00C06C22" w:rsidRDefault="00E75380" w:rsidP="00055716">
            <w:pPr>
              <w:pStyle w:val="IATableLines"/>
              <w:jc w:val="both"/>
              <w:rPr>
                <w:b w:val="0"/>
                <w:color w:val="auto"/>
                <w:sz w:val="20"/>
              </w:rPr>
            </w:pPr>
          </w:p>
        </w:tc>
      </w:tr>
    </w:tbl>
    <w:p w:rsidR="007208D9" w:rsidRDefault="007208D9" w:rsidP="007208D9">
      <w:pPr>
        <w:pStyle w:val="IASpace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215"/>
      </w:tblGrid>
      <w:tr w:rsidR="007208D9" w:rsidRPr="00826F71" w:rsidTr="00716703">
        <w:trPr>
          <w:trHeight w:hRule="exact" w:val="2357"/>
        </w:trPr>
        <w:tc>
          <w:tcPr>
            <w:tcW w:w="10214" w:type="dxa"/>
          </w:tcPr>
          <w:p w:rsidR="007208D9" w:rsidRPr="00EA0B74" w:rsidRDefault="00686F5E" w:rsidP="008369A3">
            <w:pPr>
              <w:pStyle w:val="IAIOQ2"/>
            </w:pPr>
            <w:bookmarkStart w:id="10" w:name="Summary2"/>
            <w:r>
              <w:t>What are the policy objectives and the intended effects?</w:t>
            </w:r>
            <w:bookmarkEnd w:id="10"/>
          </w:p>
          <w:p w:rsidR="00E75380" w:rsidRPr="00650545" w:rsidRDefault="008F77CD" w:rsidP="00716703">
            <w:pPr>
              <w:pStyle w:val="IATableLines"/>
              <w:jc w:val="both"/>
              <w:rPr>
                <w:b w:val="0"/>
                <w:color w:val="auto"/>
              </w:rPr>
            </w:pPr>
            <w:r w:rsidRPr="008F77CD">
              <w:rPr>
                <w:rFonts w:cs="Arial"/>
                <w:b w:val="0"/>
                <w:sz w:val="20"/>
              </w:rPr>
              <w:t>Specifically the amendments that require legislative changes</w:t>
            </w:r>
            <w:r w:rsidR="007B0459">
              <w:rPr>
                <w:rFonts w:cs="Arial"/>
                <w:b w:val="0"/>
                <w:sz w:val="20"/>
              </w:rPr>
              <w:t xml:space="preserve"> in </w:t>
            </w:r>
            <w:r w:rsidR="00964F54">
              <w:rPr>
                <w:rFonts w:cs="Arial"/>
                <w:b w:val="0"/>
                <w:sz w:val="20"/>
              </w:rPr>
              <w:t>E&amp;W</w:t>
            </w:r>
            <w:r w:rsidRPr="008F77CD">
              <w:rPr>
                <w:rFonts w:cs="Arial"/>
                <w:b w:val="0"/>
                <w:sz w:val="20"/>
              </w:rPr>
              <w:t xml:space="preserve"> involve minor changes to labelling requirements to give consumers greater inform</w:t>
            </w:r>
            <w:r w:rsidR="00BC3BAF">
              <w:rPr>
                <w:rFonts w:cs="Arial"/>
                <w:b w:val="0"/>
                <w:sz w:val="20"/>
              </w:rPr>
              <w:t>ation on product sustainability</w:t>
            </w:r>
            <w:r w:rsidRPr="008F77CD">
              <w:rPr>
                <w:rFonts w:cs="Arial"/>
                <w:b w:val="0"/>
                <w:sz w:val="20"/>
              </w:rPr>
              <w:t xml:space="preserve"> and new enforcement measures</w:t>
            </w:r>
            <w:r w:rsidR="000C0E0A">
              <w:rPr>
                <w:rFonts w:cs="Arial"/>
                <w:b w:val="0"/>
                <w:sz w:val="20"/>
              </w:rPr>
              <w:t xml:space="preserve"> in respect of the common marketing standards</w:t>
            </w:r>
            <w:r w:rsidRPr="008F77CD">
              <w:rPr>
                <w:rFonts w:cs="Arial"/>
                <w:b w:val="0"/>
                <w:sz w:val="20"/>
              </w:rPr>
              <w:t>.</w:t>
            </w:r>
            <w:r w:rsidR="00F31203">
              <w:t xml:space="preserve"> </w:t>
            </w:r>
            <w:r w:rsidR="00922C08">
              <w:rPr>
                <w:b w:val="0"/>
                <w:color w:val="auto"/>
                <w:sz w:val="20"/>
              </w:rPr>
              <w:t>The CMO</w:t>
            </w:r>
            <w:r w:rsidR="00080D39">
              <w:rPr>
                <w:b w:val="0"/>
                <w:color w:val="auto"/>
                <w:sz w:val="20"/>
              </w:rPr>
              <w:t xml:space="preserve"> uses the mechanisms of common marketing standards (</w:t>
            </w:r>
            <w:r w:rsidR="00922C08">
              <w:rPr>
                <w:b w:val="0"/>
                <w:color w:val="auto"/>
                <w:sz w:val="20"/>
              </w:rPr>
              <w:t xml:space="preserve">on </w:t>
            </w:r>
            <w:r w:rsidR="00080D39">
              <w:rPr>
                <w:b w:val="0"/>
                <w:color w:val="auto"/>
                <w:sz w:val="20"/>
              </w:rPr>
              <w:t>quality, freshness, size</w:t>
            </w:r>
            <w:r w:rsidR="00055716">
              <w:rPr>
                <w:b w:val="0"/>
                <w:color w:val="auto"/>
                <w:sz w:val="20"/>
              </w:rPr>
              <w:t>/ weight</w:t>
            </w:r>
            <w:r w:rsidR="00080D39">
              <w:rPr>
                <w:b w:val="0"/>
                <w:color w:val="auto"/>
                <w:sz w:val="20"/>
              </w:rPr>
              <w:t xml:space="preserve"> and presentation), Producer Organisations (to plan members’ production and develop joint marketing strategies), price-support schemes, and rules on trade with non-EU countries</w:t>
            </w:r>
            <w:r w:rsidR="00C2710E">
              <w:rPr>
                <w:b w:val="0"/>
                <w:color w:val="auto"/>
                <w:sz w:val="20"/>
              </w:rPr>
              <w:t xml:space="preserve">. </w:t>
            </w:r>
            <w:r w:rsidR="00922C08">
              <w:rPr>
                <w:b w:val="0"/>
                <w:color w:val="auto"/>
                <w:sz w:val="20"/>
              </w:rPr>
              <w:t>T</w:t>
            </w:r>
            <w:r w:rsidR="00332EB2" w:rsidRPr="00332EB2">
              <w:rPr>
                <w:b w:val="0"/>
                <w:color w:val="auto"/>
                <w:sz w:val="20"/>
              </w:rPr>
              <w:t xml:space="preserve">he </w:t>
            </w:r>
            <w:r w:rsidR="00F17DBB">
              <w:rPr>
                <w:b w:val="0"/>
                <w:color w:val="auto"/>
                <w:sz w:val="20"/>
              </w:rPr>
              <w:t xml:space="preserve">revised </w:t>
            </w:r>
            <w:r w:rsidR="00332EB2" w:rsidRPr="00332EB2">
              <w:rPr>
                <w:b w:val="0"/>
                <w:color w:val="auto"/>
                <w:sz w:val="20"/>
              </w:rPr>
              <w:t>CMO</w:t>
            </w:r>
            <w:r w:rsidR="00922C08">
              <w:rPr>
                <w:b w:val="0"/>
                <w:color w:val="auto"/>
                <w:sz w:val="20"/>
              </w:rPr>
              <w:t xml:space="preserve"> came into force 1</w:t>
            </w:r>
            <w:r w:rsidR="00922C08" w:rsidRPr="00922C08">
              <w:rPr>
                <w:b w:val="0"/>
                <w:color w:val="auto"/>
                <w:sz w:val="20"/>
                <w:vertAlign w:val="superscript"/>
              </w:rPr>
              <w:t>st</w:t>
            </w:r>
            <w:r w:rsidR="00922C08">
              <w:rPr>
                <w:b w:val="0"/>
                <w:color w:val="auto"/>
                <w:sz w:val="20"/>
              </w:rPr>
              <w:t xml:space="preserve"> January 2014 and implementation</w:t>
            </w:r>
            <w:r w:rsidR="00C2710E">
              <w:rPr>
                <w:b w:val="0"/>
                <w:color w:val="auto"/>
                <w:sz w:val="20"/>
              </w:rPr>
              <w:t xml:space="preserve"> in </w:t>
            </w:r>
            <w:r w:rsidR="003D6907">
              <w:rPr>
                <w:b w:val="0"/>
                <w:color w:val="auto"/>
                <w:sz w:val="20"/>
              </w:rPr>
              <w:t>E &amp; W</w:t>
            </w:r>
            <w:r w:rsidR="00332EB2" w:rsidRPr="00332EB2">
              <w:rPr>
                <w:b w:val="0"/>
                <w:color w:val="auto"/>
                <w:sz w:val="20"/>
              </w:rPr>
              <w:t xml:space="preserve"> aims to</w:t>
            </w:r>
            <w:r w:rsidR="00686805">
              <w:rPr>
                <w:b w:val="0"/>
                <w:color w:val="auto"/>
                <w:sz w:val="20"/>
              </w:rPr>
              <w:t xml:space="preserve"> meet CMO</w:t>
            </w:r>
            <w:r w:rsidR="00BC3BAF">
              <w:rPr>
                <w:b w:val="0"/>
                <w:color w:val="auto"/>
                <w:sz w:val="20"/>
              </w:rPr>
              <w:t xml:space="preserve"> objectives and</w:t>
            </w:r>
            <w:r w:rsidR="00332EB2" w:rsidRPr="00332EB2">
              <w:rPr>
                <w:b w:val="0"/>
                <w:color w:val="auto"/>
                <w:sz w:val="20"/>
              </w:rPr>
              <w:t xml:space="preserve"> give enforcement agencies the power to ensure </w:t>
            </w:r>
            <w:r w:rsidR="001B2DE0">
              <w:rPr>
                <w:b w:val="0"/>
                <w:color w:val="auto"/>
                <w:sz w:val="20"/>
              </w:rPr>
              <w:t xml:space="preserve">industry </w:t>
            </w:r>
            <w:r w:rsidR="001B2DE0" w:rsidRPr="00332EB2">
              <w:rPr>
                <w:b w:val="0"/>
                <w:color w:val="auto"/>
                <w:sz w:val="20"/>
              </w:rPr>
              <w:t>compliance</w:t>
            </w:r>
            <w:r w:rsidR="00922C08">
              <w:rPr>
                <w:b w:val="0"/>
                <w:color w:val="auto"/>
                <w:sz w:val="20"/>
              </w:rPr>
              <w:t>.</w:t>
            </w:r>
            <w:r w:rsidR="003D6907">
              <w:rPr>
                <w:b w:val="0"/>
                <w:color w:val="auto"/>
                <w:sz w:val="20"/>
              </w:rPr>
              <w:t xml:space="preserve"> The labelling requirements of the reformed CMO come into force 13</w:t>
            </w:r>
            <w:r w:rsidR="003D6907" w:rsidRPr="003D6907">
              <w:rPr>
                <w:b w:val="0"/>
                <w:color w:val="auto"/>
                <w:sz w:val="20"/>
                <w:vertAlign w:val="superscript"/>
              </w:rPr>
              <w:t>th</w:t>
            </w:r>
            <w:r w:rsidR="003D6907">
              <w:rPr>
                <w:b w:val="0"/>
                <w:color w:val="auto"/>
                <w:sz w:val="20"/>
              </w:rPr>
              <w:t xml:space="preserve"> December 2014 and from this date member states have to </w:t>
            </w:r>
            <w:r w:rsidR="006F5637">
              <w:rPr>
                <w:b w:val="0"/>
                <w:color w:val="auto"/>
                <w:sz w:val="20"/>
              </w:rPr>
              <w:t xml:space="preserve">carry out checks to </w:t>
            </w:r>
            <w:r w:rsidR="003D6907">
              <w:rPr>
                <w:b w:val="0"/>
                <w:color w:val="auto"/>
                <w:sz w:val="20"/>
              </w:rPr>
              <w:t>ensure compliance of the marketing standards.</w:t>
            </w:r>
            <w:r w:rsidR="007B0459">
              <w:rPr>
                <w:b w:val="0"/>
                <w:color w:val="auto"/>
                <w:sz w:val="20"/>
              </w:rPr>
              <w:t xml:space="preserve"> </w:t>
            </w:r>
          </w:p>
        </w:tc>
      </w:tr>
    </w:tbl>
    <w:p w:rsidR="007208D9" w:rsidRPr="00826F71" w:rsidRDefault="007208D9" w:rsidP="007208D9">
      <w:pPr>
        <w:pStyle w:val="IASpace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215"/>
      </w:tblGrid>
      <w:tr w:rsidR="00686F5E" w:rsidRPr="00826F71" w:rsidTr="00716703">
        <w:trPr>
          <w:trHeight w:hRule="exact" w:val="3311"/>
        </w:trPr>
        <w:tc>
          <w:tcPr>
            <w:tcW w:w="9648" w:type="dxa"/>
          </w:tcPr>
          <w:p w:rsidR="00686F5E" w:rsidRPr="00826F71" w:rsidRDefault="00686F5E" w:rsidP="008369A3">
            <w:pPr>
              <w:pStyle w:val="IAIOQ3"/>
            </w:pPr>
            <w:bookmarkStart w:id="11" w:name="IAIOQ3"/>
            <w:bookmarkStart w:id="12" w:name="Summary3"/>
            <w:r>
              <w:t>What policy options have been considered</w:t>
            </w:r>
            <w:r w:rsidR="005D6EA8">
              <w:t>, including any alternatives to regulation</w:t>
            </w:r>
            <w:r>
              <w:t>? Please justify preferred option (further details in Evidence Base)</w:t>
            </w:r>
            <w:bookmarkEnd w:id="11"/>
          </w:p>
          <w:p w:rsidR="003D6907" w:rsidRDefault="003D6907" w:rsidP="003D6907">
            <w:pPr>
              <w:ind w:left="113" w:right="113"/>
              <w:jc w:val="both"/>
              <w:rPr>
                <w:rFonts w:cs="Arial"/>
                <w:b/>
                <w:sz w:val="20"/>
                <w:szCs w:val="20"/>
              </w:rPr>
            </w:pPr>
            <w:r w:rsidRPr="003D6907">
              <w:rPr>
                <w:rFonts w:cs="Arial"/>
                <w:b/>
                <w:sz w:val="20"/>
                <w:szCs w:val="20"/>
              </w:rPr>
              <w:t xml:space="preserve">Option 0 (Baseline): </w:t>
            </w:r>
            <w:r w:rsidRPr="003D6907">
              <w:rPr>
                <w:rFonts w:cs="Arial"/>
                <w:sz w:val="20"/>
                <w:szCs w:val="20"/>
              </w:rPr>
              <w:t>It is assumed that the CMO reforms come into force but no amendments are made to legislation. Some aspects of the CMO can be implemented without changes to legislation (e.g. P</w:t>
            </w:r>
            <w:r w:rsidR="00BC3BAF">
              <w:rPr>
                <w:rFonts w:cs="Arial"/>
                <w:sz w:val="20"/>
                <w:szCs w:val="20"/>
              </w:rPr>
              <w:t xml:space="preserve">roduction and </w:t>
            </w:r>
            <w:r w:rsidRPr="003D6907">
              <w:rPr>
                <w:rFonts w:cs="Arial"/>
                <w:sz w:val="20"/>
                <w:szCs w:val="20"/>
              </w:rPr>
              <w:t>M</w:t>
            </w:r>
            <w:r w:rsidR="00BC3BAF">
              <w:rPr>
                <w:rFonts w:cs="Arial"/>
                <w:sz w:val="20"/>
                <w:szCs w:val="20"/>
              </w:rPr>
              <w:t xml:space="preserve">arketing </w:t>
            </w:r>
            <w:r w:rsidRPr="003D6907">
              <w:rPr>
                <w:rFonts w:cs="Arial"/>
                <w:sz w:val="20"/>
                <w:szCs w:val="20"/>
              </w:rPr>
              <w:t>P</w:t>
            </w:r>
            <w:r w:rsidR="00BC3BAF">
              <w:rPr>
                <w:rFonts w:cs="Arial"/>
                <w:sz w:val="20"/>
                <w:szCs w:val="20"/>
              </w:rPr>
              <w:t>lan</w:t>
            </w:r>
            <w:r w:rsidRPr="003D6907">
              <w:rPr>
                <w:rFonts w:cs="Arial"/>
                <w:sz w:val="20"/>
                <w:szCs w:val="20"/>
              </w:rPr>
              <w:t>s and new reporting requirements came into force 1</w:t>
            </w:r>
            <w:r w:rsidRPr="003D6907">
              <w:rPr>
                <w:rFonts w:cs="Arial"/>
                <w:sz w:val="20"/>
                <w:szCs w:val="20"/>
                <w:vertAlign w:val="superscript"/>
              </w:rPr>
              <w:t>st</w:t>
            </w:r>
            <w:r w:rsidRPr="003D6907">
              <w:rPr>
                <w:rFonts w:cs="Arial"/>
                <w:sz w:val="20"/>
                <w:szCs w:val="20"/>
              </w:rPr>
              <w:t xml:space="preserve"> January 2014). However, this is not a viable policy option </w:t>
            </w:r>
            <w:r w:rsidR="000C0E0A">
              <w:rPr>
                <w:rFonts w:cs="Arial"/>
                <w:sz w:val="20"/>
                <w:szCs w:val="20"/>
              </w:rPr>
              <w:t xml:space="preserve">for changes to the labelling requirements </w:t>
            </w:r>
            <w:r w:rsidRPr="003D6907">
              <w:rPr>
                <w:rFonts w:cs="Arial"/>
                <w:sz w:val="20"/>
                <w:szCs w:val="20"/>
              </w:rPr>
              <w:t xml:space="preserve">as </w:t>
            </w:r>
            <w:r w:rsidR="00964F54">
              <w:rPr>
                <w:rFonts w:cs="Arial"/>
                <w:sz w:val="20"/>
                <w:szCs w:val="20"/>
              </w:rPr>
              <w:t xml:space="preserve">domestic provision to enforce those and the common marketing standards </w:t>
            </w:r>
            <w:r w:rsidRPr="003D6907">
              <w:rPr>
                <w:rFonts w:cs="Arial"/>
                <w:sz w:val="20"/>
                <w:szCs w:val="20"/>
              </w:rPr>
              <w:t>in E &amp; W</w:t>
            </w:r>
            <w:r w:rsidR="00964F54">
              <w:rPr>
                <w:rFonts w:cs="Arial"/>
                <w:sz w:val="20"/>
                <w:szCs w:val="20"/>
              </w:rPr>
              <w:t xml:space="preserve"> are required</w:t>
            </w:r>
            <w:r w:rsidRPr="003D6907">
              <w:rPr>
                <w:rFonts w:cs="Arial"/>
                <w:sz w:val="20"/>
                <w:szCs w:val="20"/>
              </w:rPr>
              <w:t xml:space="preserve">. Industry would not realise benefits and </w:t>
            </w:r>
            <w:r w:rsidR="00BC3BAF">
              <w:rPr>
                <w:rFonts w:cs="Arial"/>
                <w:sz w:val="20"/>
                <w:szCs w:val="20"/>
              </w:rPr>
              <w:t>the UK government</w:t>
            </w:r>
            <w:r w:rsidRPr="003D6907">
              <w:rPr>
                <w:rFonts w:cs="Arial"/>
                <w:sz w:val="20"/>
                <w:szCs w:val="20"/>
              </w:rPr>
              <w:t xml:space="preserve"> would risk infraction</w:t>
            </w:r>
            <w:r w:rsidR="007B0459">
              <w:rPr>
                <w:rFonts w:cs="Arial"/>
                <w:sz w:val="20"/>
                <w:szCs w:val="20"/>
              </w:rPr>
              <w:t xml:space="preserve"> from the European Commission</w:t>
            </w:r>
            <w:r w:rsidRPr="003D6907">
              <w:rPr>
                <w:rFonts w:cs="Arial"/>
                <w:sz w:val="20"/>
                <w:szCs w:val="20"/>
              </w:rPr>
              <w:t>.</w:t>
            </w:r>
          </w:p>
          <w:p w:rsidR="003D6907" w:rsidRPr="00313F2E" w:rsidRDefault="001F5EF6" w:rsidP="003D6907">
            <w:pPr>
              <w:ind w:left="113" w:right="113"/>
              <w:jc w:val="both"/>
              <w:rPr>
                <w:rFonts w:cs="Arial"/>
                <w:b/>
                <w:sz w:val="20"/>
                <w:szCs w:val="20"/>
              </w:rPr>
            </w:pPr>
            <w:r>
              <w:rPr>
                <w:rFonts w:cs="Arial"/>
                <w:b/>
                <w:sz w:val="20"/>
                <w:szCs w:val="20"/>
              </w:rPr>
              <w:t>Option 1 (P</w:t>
            </w:r>
            <w:r w:rsidR="003D6907" w:rsidRPr="003D6907">
              <w:rPr>
                <w:rFonts w:cs="Arial"/>
                <w:b/>
                <w:sz w:val="20"/>
                <w:szCs w:val="20"/>
              </w:rPr>
              <w:t>referred):</w:t>
            </w:r>
            <w:r w:rsidR="003D6907" w:rsidRPr="003D6907">
              <w:rPr>
                <w:rFonts w:cs="Arial"/>
                <w:sz w:val="20"/>
                <w:szCs w:val="20"/>
              </w:rPr>
              <w:t xml:space="preserve"> To update legislation in England and Wales to allow for enforcement of the new CMO regulation. This involves providing powers for enforcement agencies to ensure c</w:t>
            </w:r>
            <w:r w:rsidR="00A055B6">
              <w:rPr>
                <w:rFonts w:cs="Arial"/>
                <w:sz w:val="20"/>
                <w:szCs w:val="20"/>
              </w:rPr>
              <w:t xml:space="preserve">ompliance </w:t>
            </w:r>
            <w:r w:rsidR="00964F54">
              <w:rPr>
                <w:rFonts w:cs="Arial"/>
                <w:sz w:val="20"/>
                <w:szCs w:val="20"/>
              </w:rPr>
              <w:t>with</w:t>
            </w:r>
            <w:r w:rsidR="00A055B6">
              <w:rPr>
                <w:rFonts w:cs="Arial"/>
                <w:sz w:val="20"/>
                <w:szCs w:val="20"/>
              </w:rPr>
              <w:t xml:space="preserve"> the CMO regulation </w:t>
            </w:r>
            <w:r w:rsidR="00964F54">
              <w:rPr>
                <w:rFonts w:cs="Arial"/>
                <w:sz w:val="20"/>
                <w:szCs w:val="20"/>
              </w:rPr>
              <w:t>including</w:t>
            </w:r>
            <w:r w:rsidR="003D6907" w:rsidRPr="003D6907">
              <w:rPr>
                <w:rFonts w:cs="Arial"/>
                <w:sz w:val="20"/>
                <w:szCs w:val="20"/>
              </w:rPr>
              <w:t xml:space="preserve"> changes to seafood labelling requirements</w:t>
            </w:r>
            <w:r w:rsidR="00184794">
              <w:rPr>
                <w:rFonts w:cs="Arial"/>
                <w:sz w:val="20"/>
                <w:szCs w:val="20"/>
              </w:rPr>
              <w:t>.</w:t>
            </w:r>
            <w:r w:rsidR="003D6907" w:rsidRPr="003D6907">
              <w:rPr>
                <w:rFonts w:cs="Arial"/>
                <w:sz w:val="20"/>
                <w:szCs w:val="20"/>
              </w:rPr>
              <w:t xml:space="preserve"> This policy option implements the CMO at the least cost by only imposing the minimum mandatory requirements of </w:t>
            </w:r>
            <w:r w:rsidR="003D6907" w:rsidRPr="00313F2E">
              <w:rPr>
                <w:rFonts w:cs="Arial"/>
                <w:sz w:val="20"/>
                <w:szCs w:val="20"/>
              </w:rPr>
              <w:t>t</w:t>
            </w:r>
            <w:r w:rsidR="003D6907" w:rsidRPr="00BC3BAF">
              <w:rPr>
                <w:rFonts w:cs="Arial"/>
                <w:sz w:val="20"/>
                <w:szCs w:val="20"/>
              </w:rPr>
              <w:t xml:space="preserve">he regulation and ensuring </w:t>
            </w:r>
            <w:r w:rsidR="00184794">
              <w:rPr>
                <w:rFonts w:cs="Arial"/>
                <w:sz w:val="20"/>
                <w:szCs w:val="20"/>
              </w:rPr>
              <w:t xml:space="preserve">effective and </w:t>
            </w:r>
            <w:r w:rsidR="003D6907" w:rsidRPr="00BC3BAF">
              <w:rPr>
                <w:rFonts w:cs="Arial"/>
                <w:sz w:val="20"/>
                <w:szCs w:val="20"/>
              </w:rPr>
              <w:t>proportionate enforcement.</w:t>
            </w:r>
          </w:p>
          <w:p w:rsidR="00B71A21" w:rsidRPr="00B71A21" w:rsidRDefault="00B71A21" w:rsidP="005273E7">
            <w:pPr>
              <w:pStyle w:val="IATableLines"/>
              <w:jc w:val="both"/>
              <w:rPr>
                <w:b w:val="0"/>
                <w:color w:val="auto"/>
                <w:sz w:val="20"/>
              </w:rPr>
            </w:pPr>
          </w:p>
        </w:tc>
      </w:tr>
    </w:tbl>
    <w:p w:rsidR="00686F5E" w:rsidRDefault="00686F5E">
      <w:pPr>
        <w:pStyle w:val="IASpacer2"/>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316"/>
        <w:gridCol w:w="987"/>
        <w:gridCol w:w="988"/>
        <w:gridCol w:w="988"/>
        <w:gridCol w:w="349"/>
        <w:gridCol w:w="638"/>
        <w:gridCol w:w="986"/>
      </w:tblGrid>
      <w:tr w:rsidR="00720FFE" w:rsidTr="00332EB2">
        <w:tc>
          <w:tcPr>
            <w:tcW w:w="4982" w:type="pct"/>
            <w:gridSpan w:val="7"/>
          </w:tcPr>
          <w:p w:rsidR="00720FFE" w:rsidRPr="00092C07" w:rsidRDefault="00720FFE" w:rsidP="00E95BCC">
            <w:pPr>
              <w:pStyle w:val="IATableLabel"/>
              <w:rPr>
                <w:b w:val="0"/>
                <w:sz w:val="22"/>
                <w:szCs w:val="22"/>
              </w:rPr>
            </w:pPr>
            <w:r w:rsidRPr="00D02C89">
              <w:t xml:space="preserve">Will the policy be reviewed?  </w:t>
            </w:r>
            <w:r w:rsidRPr="00092C07">
              <w:rPr>
                <w:b w:val="0"/>
                <w:sz w:val="22"/>
                <w:szCs w:val="22"/>
              </w:rPr>
              <w:t xml:space="preserve">It </w:t>
            </w:r>
            <w:bookmarkStart w:id="13" w:name="IAPolicyReview"/>
            <w:r w:rsidR="00E95BCC">
              <w:rPr>
                <w:rStyle w:val="IAIOPolicyReviewChar"/>
              </w:rPr>
              <w:fldChar w:fldCharType="begin">
                <w:ffData>
                  <w:name w:val="IAPolicyReview"/>
                  <w:enabled/>
                  <w:calcOnExit w:val="0"/>
                  <w:ddList>
                    <w:listEntry w:val="will"/>
                    <w:listEntry w:val="will not"/>
                    <w:listEntry w:val="will/will not"/>
                  </w:ddList>
                </w:ffData>
              </w:fldChar>
            </w:r>
            <w:r w:rsidR="00E95BCC">
              <w:rPr>
                <w:rStyle w:val="IAIOPolicyReviewChar"/>
              </w:rPr>
              <w:instrText xml:space="preserve"> FORMDROPDOWN </w:instrText>
            </w:r>
            <w:r w:rsidR="004311A7">
              <w:rPr>
                <w:rStyle w:val="IAIOPolicyReviewChar"/>
              </w:rPr>
            </w:r>
            <w:r w:rsidR="004311A7">
              <w:rPr>
                <w:rStyle w:val="IAIOPolicyReviewChar"/>
              </w:rPr>
              <w:fldChar w:fldCharType="separate"/>
            </w:r>
            <w:r w:rsidR="00E95BCC">
              <w:rPr>
                <w:rStyle w:val="IAIOPolicyReviewChar"/>
              </w:rPr>
              <w:fldChar w:fldCharType="end"/>
            </w:r>
            <w:bookmarkEnd w:id="13"/>
            <w:r w:rsidRPr="00092C07">
              <w:rPr>
                <w:b w:val="0"/>
                <w:sz w:val="22"/>
                <w:szCs w:val="22"/>
              </w:rPr>
              <w:t xml:space="preserve"> be reviewed.</w:t>
            </w:r>
            <w:r w:rsidRPr="00092C07">
              <w:rPr>
                <w:sz w:val="22"/>
                <w:szCs w:val="22"/>
              </w:rPr>
              <w:t xml:space="preserve"> </w:t>
            </w:r>
            <w:r w:rsidRPr="00D02C89">
              <w:t xml:space="preserve"> If applicable, set review date:  </w:t>
            </w:r>
            <w:r w:rsidR="001021BD">
              <w:rPr>
                <w:rStyle w:val="IAIOReviewMonthChar"/>
              </w:rPr>
              <w:t>06</w:t>
            </w:r>
            <w:r w:rsidRPr="00092C07">
              <w:rPr>
                <w:b w:val="0"/>
                <w:sz w:val="22"/>
                <w:szCs w:val="22"/>
              </w:rPr>
              <w:t>/</w:t>
            </w:r>
            <w:r w:rsidR="00E95BCC">
              <w:rPr>
                <w:rStyle w:val="IAIOReviewYearChar"/>
              </w:rPr>
              <w:t>2019</w:t>
            </w:r>
          </w:p>
        </w:tc>
      </w:tr>
      <w:tr w:rsidR="006656EC" w:rsidRPr="00D50283" w:rsidTr="00332EB2">
        <w:tblPrEx>
          <w:shd w:val="clear" w:color="auto" w:fill="E0E0E0"/>
        </w:tblPrEx>
        <w:trPr>
          <w:trHeight w:hRule="exact" w:val="340"/>
        </w:trPr>
        <w:tc>
          <w:tcPr>
            <w:tcW w:w="3544" w:type="pct"/>
            <w:gridSpan w:val="3"/>
            <w:shd w:val="clear" w:color="auto" w:fill="E0E0E0"/>
            <w:vAlign w:val="center"/>
          </w:tcPr>
          <w:p w:rsidR="006656EC" w:rsidRPr="00650545" w:rsidRDefault="006656EC" w:rsidP="006A0557">
            <w:pPr>
              <w:pStyle w:val="IATableText"/>
              <w:spacing w:before="0" w:after="0"/>
              <w:rPr>
                <w:b w:val="0"/>
                <w:color w:val="auto"/>
                <w:sz w:val="20"/>
              </w:rPr>
            </w:pPr>
            <w:bookmarkStart w:id="14" w:name="Summary4"/>
            <w:bookmarkEnd w:id="12"/>
            <w:r w:rsidRPr="00650545">
              <w:rPr>
                <w:b w:val="0"/>
                <w:iCs/>
                <w:color w:val="auto"/>
                <w:sz w:val="20"/>
              </w:rPr>
              <w:t>Does implementation go beyond minimum EU requirements?</w:t>
            </w:r>
          </w:p>
        </w:tc>
        <w:bookmarkStart w:id="15" w:name="IACheckEU"/>
        <w:tc>
          <w:tcPr>
            <w:tcW w:w="1438" w:type="pct"/>
            <w:gridSpan w:val="4"/>
            <w:tcBorders>
              <w:bottom w:val="single" w:sz="4" w:space="0" w:color="auto"/>
            </w:tcBorders>
            <w:shd w:val="clear" w:color="auto" w:fill="E0E0E0"/>
            <w:vAlign w:val="center"/>
          </w:tcPr>
          <w:p w:rsidR="006656EC" w:rsidRPr="00650545" w:rsidRDefault="00D65CF1" w:rsidP="00F91F5A">
            <w:pPr>
              <w:pStyle w:val="IAIOCheckEU"/>
              <w:rPr>
                <w:b w:val="0"/>
                <w:color w:val="auto"/>
              </w:rPr>
            </w:pPr>
            <w:r w:rsidRPr="00650545">
              <w:rPr>
                <w:b w:val="0"/>
                <w:color w:val="auto"/>
              </w:rPr>
              <w:fldChar w:fldCharType="begin">
                <w:ffData>
                  <w:name w:val="IACheckEU"/>
                  <w:enabled/>
                  <w:calcOnExit w:val="0"/>
                  <w:ddList>
                    <w:result w:val="2"/>
                    <w:listEntry w:val="Yes / No / N/A"/>
                    <w:listEntry w:val="Yes"/>
                    <w:listEntry w:val="No"/>
                    <w:listEntry w:val="N/A"/>
                  </w:ddList>
                </w:ffData>
              </w:fldChar>
            </w:r>
            <w:r w:rsidR="00BB249D" w:rsidRPr="00650545">
              <w:rPr>
                <w:b w:val="0"/>
                <w:color w:val="auto"/>
              </w:rPr>
              <w:instrText xml:space="preserve"> FORMDROPDOWN </w:instrText>
            </w:r>
            <w:r w:rsidR="004311A7">
              <w:rPr>
                <w:b w:val="0"/>
                <w:color w:val="auto"/>
              </w:rPr>
            </w:r>
            <w:r w:rsidR="004311A7">
              <w:rPr>
                <w:b w:val="0"/>
                <w:color w:val="auto"/>
              </w:rPr>
              <w:fldChar w:fldCharType="separate"/>
            </w:r>
            <w:r w:rsidRPr="00650545">
              <w:rPr>
                <w:b w:val="0"/>
                <w:color w:val="auto"/>
              </w:rPr>
              <w:fldChar w:fldCharType="end"/>
            </w:r>
            <w:bookmarkEnd w:id="15"/>
          </w:p>
        </w:tc>
      </w:tr>
      <w:tr w:rsidR="006656EC" w:rsidRPr="00D50283" w:rsidTr="00332EB2">
        <w:tblPrEx>
          <w:shd w:val="clear" w:color="auto" w:fill="E0E0E0"/>
        </w:tblPrEx>
        <w:trPr>
          <w:trHeight w:val="460"/>
        </w:trPr>
        <w:tc>
          <w:tcPr>
            <w:tcW w:w="2584" w:type="pct"/>
            <w:shd w:val="clear" w:color="auto" w:fill="E0E0E0"/>
            <w:vAlign w:val="center"/>
          </w:tcPr>
          <w:p w:rsidR="006656EC" w:rsidRPr="00650545" w:rsidRDefault="006656EC" w:rsidP="006A0557">
            <w:pPr>
              <w:pStyle w:val="IATableText"/>
              <w:spacing w:before="0" w:after="0"/>
              <w:rPr>
                <w:b w:val="0"/>
                <w:color w:val="auto"/>
                <w:sz w:val="20"/>
              </w:rPr>
            </w:pPr>
            <w:r w:rsidRPr="00650545">
              <w:rPr>
                <w:rFonts w:cs="Arial"/>
                <w:b w:val="0"/>
                <w:color w:val="auto"/>
                <w:sz w:val="20"/>
              </w:rPr>
              <w:t>Are any of these organisations in scope? If Micros not exempted set out reason in Evidence Base.</w:t>
            </w:r>
          </w:p>
        </w:tc>
        <w:tc>
          <w:tcPr>
            <w:tcW w:w="480" w:type="pct"/>
            <w:shd w:val="clear" w:color="auto" w:fill="E0E0E0"/>
            <w:vAlign w:val="center"/>
          </w:tcPr>
          <w:p w:rsidR="006656EC" w:rsidRPr="00650545" w:rsidRDefault="006656EC" w:rsidP="006A0557">
            <w:pPr>
              <w:pStyle w:val="IATableLines"/>
              <w:rPr>
                <w:sz w:val="20"/>
              </w:rPr>
            </w:pPr>
            <w:r w:rsidRPr="00650545">
              <w:rPr>
                <w:sz w:val="20"/>
              </w:rPr>
              <w:t>Micro</w:t>
            </w:r>
            <w:bookmarkStart w:id="16" w:name="IACheckMicro"/>
            <w:r w:rsidR="00D65CF1" w:rsidRPr="00650545">
              <w:rPr>
                <w:rStyle w:val="IAIOCheckMicroChar"/>
                <w:sz w:val="20"/>
              </w:rPr>
              <w:fldChar w:fldCharType="begin">
                <w:ffData>
                  <w:name w:val="IACheckMicro"/>
                  <w:enabled/>
                  <w:calcOnExit w:val="0"/>
                  <w:ddList>
                    <w:result w:val="1"/>
                    <w:listEntry w:val="Yes/No"/>
                    <w:listEntry w:val="Yes"/>
                    <w:listEntry w:val="No"/>
                  </w:ddList>
                </w:ffData>
              </w:fldChar>
            </w:r>
            <w:r w:rsidR="00586D82" w:rsidRPr="00650545">
              <w:rPr>
                <w:rStyle w:val="IAIOCheckMicroChar"/>
                <w:sz w:val="20"/>
              </w:rPr>
              <w:instrText xml:space="preserve"> FORMDROPDOWN </w:instrText>
            </w:r>
            <w:r w:rsidR="004311A7">
              <w:rPr>
                <w:rStyle w:val="IAIOCheckMicroChar"/>
                <w:sz w:val="20"/>
              </w:rPr>
            </w:r>
            <w:r w:rsidR="004311A7">
              <w:rPr>
                <w:rStyle w:val="IAIOCheckMicroChar"/>
                <w:sz w:val="20"/>
              </w:rPr>
              <w:fldChar w:fldCharType="separate"/>
            </w:r>
            <w:r w:rsidR="00D65CF1" w:rsidRPr="00650545">
              <w:rPr>
                <w:rStyle w:val="IAIOCheckMicroChar"/>
                <w:sz w:val="20"/>
              </w:rPr>
              <w:fldChar w:fldCharType="end"/>
            </w:r>
            <w:bookmarkEnd w:id="16"/>
          </w:p>
        </w:tc>
        <w:tc>
          <w:tcPr>
            <w:tcW w:w="480" w:type="pct"/>
            <w:shd w:val="clear" w:color="auto" w:fill="E0E0E0"/>
            <w:vAlign w:val="center"/>
          </w:tcPr>
          <w:p w:rsidR="00586D82" w:rsidRPr="00650545" w:rsidRDefault="006656EC" w:rsidP="006A0557">
            <w:pPr>
              <w:pStyle w:val="IATableLines"/>
              <w:rPr>
                <w:sz w:val="20"/>
              </w:rPr>
            </w:pPr>
            <w:r w:rsidRPr="00650545">
              <w:rPr>
                <w:sz w:val="20"/>
              </w:rPr>
              <w:t>&lt; 20</w:t>
            </w:r>
          </w:p>
          <w:p w:rsidR="006656EC" w:rsidRPr="00650545" w:rsidRDefault="00BB249D" w:rsidP="00D478C9">
            <w:pPr>
              <w:pStyle w:val="IAIOCheck20"/>
            </w:pPr>
            <w:r w:rsidRPr="00650545">
              <w:t xml:space="preserve"> </w:t>
            </w:r>
            <w:bookmarkStart w:id="17" w:name="IACheck20"/>
            <w:r w:rsidR="00D65CF1" w:rsidRPr="00650545">
              <w:rPr>
                <w:b w:val="0"/>
                <w:color w:val="auto"/>
              </w:rPr>
              <w:fldChar w:fldCharType="begin">
                <w:ffData>
                  <w:name w:val="IACheck20"/>
                  <w:enabled/>
                  <w:calcOnExit w:val="0"/>
                  <w:ddList>
                    <w:result w:val="1"/>
                    <w:listEntry w:val="Yes/No"/>
                    <w:listEntry w:val="Yes"/>
                    <w:listEntry w:val="No"/>
                  </w:ddList>
                </w:ffData>
              </w:fldChar>
            </w:r>
            <w:r w:rsidR="00072272" w:rsidRPr="00650545">
              <w:rPr>
                <w:b w:val="0"/>
                <w:color w:val="auto"/>
              </w:rPr>
              <w:instrText xml:space="preserve"> FORMDROPDOWN </w:instrText>
            </w:r>
            <w:r w:rsidR="004311A7">
              <w:rPr>
                <w:b w:val="0"/>
                <w:color w:val="auto"/>
              </w:rPr>
            </w:r>
            <w:r w:rsidR="004311A7">
              <w:rPr>
                <w:b w:val="0"/>
                <w:color w:val="auto"/>
              </w:rPr>
              <w:fldChar w:fldCharType="separate"/>
            </w:r>
            <w:r w:rsidR="00D65CF1" w:rsidRPr="00650545">
              <w:rPr>
                <w:b w:val="0"/>
                <w:color w:val="auto"/>
              </w:rPr>
              <w:fldChar w:fldCharType="end"/>
            </w:r>
            <w:bookmarkEnd w:id="17"/>
          </w:p>
        </w:tc>
        <w:tc>
          <w:tcPr>
            <w:tcW w:w="480" w:type="pct"/>
            <w:shd w:val="clear" w:color="auto" w:fill="E0E0E0"/>
            <w:vAlign w:val="center"/>
          </w:tcPr>
          <w:p w:rsidR="006656EC" w:rsidRPr="00650545" w:rsidRDefault="006656EC" w:rsidP="006A0557">
            <w:pPr>
              <w:pStyle w:val="IATableLines"/>
              <w:rPr>
                <w:sz w:val="20"/>
              </w:rPr>
            </w:pPr>
            <w:r w:rsidRPr="00650545">
              <w:rPr>
                <w:sz w:val="20"/>
              </w:rPr>
              <w:t>Small</w:t>
            </w:r>
            <w:bookmarkStart w:id="18" w:name="IACheckSmall"/>
            <w:r w:rsidR="00D65CF1" w:rsidRPr="00650545">
              <w:rPr>
                <w:rStyle w:val="IAIOCheckSmallChar"/>
                <w:sz w:val="20"/>
              </w:rPr>
              <w:fldChar w:fldCharType="begin">
                <w:ffData>
                  <w:name w:val="IACheckSmall"/>
                  <w:enabled/>
                  <w:calcOnExit w:val="0"/>
                  <w:ddList>
                    <w:result w:val="1"/>
                    <w:listEntry w:val="Yes/No"/>
                    <w:listEntry w:val="Yes"/>
                    <w:listEntry w:val="No"/>
                  </w:ddList>
                </w:ffData>
              </w:fldChar>
            </w:r>
            <w:r w:rsidR="00072272" w:rsidRPr="00650545">
              <w:rPr>
                <w:rStyle w:val="IAIOCheckSmallChar"/>
                <w:sz w:val="20"/>
              </w:rPr>
              <w:instrText xml:space="preserve"> FORMDROPDOWN </w:instrText>
            </w:r>
            <w:r w:rsidR="004311A7">
              <w:rPr>
                <w:rStyle w:val="IAIOCheckSmallChar"/>
                <w:sz w:val="20"/>
              </w:rPr>
            </w:r>
            <w:r w:rsidR="004311A7">
              <w:rPr>
                <w:rStyle w:val="IAIOCheckSmallChar"/>
                <w:sz w:val="20"/>
              </w:rPr>
              <w:fldChar w:fldCharType="separate"/>
            </w:r>
            <w:r w:rsidR="00D65CF1" w:rsidRPr="00650545">
              <w:rPr>
                <w:rStyle w:val="IAIOCheckSmallChar"/>
                <w:sz w:val="20"/>
              </w:rPr>
              <w:fldChar w:fldCharType="end"/>
            </w:r>
            <w:bookmarkEnd w:id="18"/>
          </w:p>
        </w:tc>
        <w:tc>
          <w:tcPr>
            <w:tcW w:w="479" w:type="pct"/>
            <w:gridSpan w:val="2"/>
            <w:shd w:val="clear" w:color="auto" w:fill="E0E0E0"/>
            <w:vAlign w:val="center"/>
          </w:tcPr>
          <w:p w:rsidR="006656EC" w:rsidRPr="00650545" w:rsidRDefault="006656EC" w:rsidP="006A0557">
            <w:pPr>
              <w:pStyle w:val="IATableLines"/>
              <w:rPr>
                <w:sz w:val="20"/>
              </w:rPr>
            </w:pPr>
            <w:r w:rsidRPr="00650545">
              <w:rPr>
                <w:sz w:val="20"/>
              </w:rPr>
              <w:t>Medium</w:t>
            </w:r>
            <w:bookmarkStart w:id="19" w:name="IACheckMedium"/>
            <w:r w:rsidR="00D65CF1" w:rsidRPr="00650545">
              <w:rPr>
                <w:rStyle w:val="IAIOCheckMediumChar"/>
                <w:sz w:val="20"/>
              </w:rPr>
              <w:fldChar w:fldCharType="begin">
                <w:ffData>
                  <w:name w:val="IACheckMedium"/>
                  <w:enabled/>
                  <w:calcOnExit w:val="0"/>
                  <w:ddList>
                    <w:result w:val="1"/>
                    <w:listEntry w:val="Yes/No"/>
                    <w:listEntry w:val="Yes"/>
                    <w:listEntry w:val="No"/>
                  </w:ddList>
                </w:ffData>
              </w:fldChar>
            </w:r>
            <w:r w:rsidR="00072272" w:rsidRPr="00650545">
              <w:rPr>
                <w:rStyle w:val="IAIOCheckMediumChar"/>
                <w:sz w:val="20"/>
              </w:rPr>
              <w:instrText xml:space="preserve"> FORMDROPDOWN </w:instrText>
            </w:r>
            <w:r w:rsidR="004311A7">
              <w:rPr>
                <w:rStyle w:val="IAIOCheckMediumChar"/>
                <w:sz w:val="20"/>
              </w:rPr>
            </w:r>
            <w:r w:rsidR="004311A7">
              <w:rPr>
                <w:rStyle w:val="IAIOCheckMediumChar"/>
                <w:sz w:val="20"/>
              </w:rPr>
              <w:fldChar w:fldCharType="separate"/>
            </w:r>
            <w:r w:rsidR="00D65CF1" w:rsidRPr="00650545">
              <w:rPr>
                <w:rStyle w:val="IAIOCheckMediumChar"/>
                <w:sz w:val="20"/>
              </w:rPr>
              <w:fldChar w:fldCharType="end"/>
            </w:r>
            <w:bookmarkEnd w:id="19"/>
          </w:p>
        </w:tc>
        <w:tc>
          <w:tcPr>
            <w:tcW w:w="479" w:type="pct"/>
            <w:shd w:val="clear" w:color="auto" w:fill="E0E0E0"/>
            <w:vAlign w:val="center"/>
          </w:tcPr>
          <w:p w:rsidR="006656EC" w:rsidRPr="00650545" w:rsidRDefault="006656EC" w:rsidP="006A0557">
            <w:pPr>
              <w:pStyle w:val="IATableLines"/>
              <w:rPr>
                <w:sz w:val="20"/>
              </w:rPr>
            </w:pPr>
            <w:r w:rsidRPr="00650545">
              <w:rPr>
                <w:sz w:val="20"/>
              </w:rPr>
              <w:t>Large</w:t>
            </w:r>
            <w:bookmarkStart w:id="20" w:name="IACheckLarge"/>
            <w:r w:rsidR="00D65CF1" w:rsidRPr="00650545">
              <w:rPr>
                <w:rStyle w:val="IAIOCheckLargeChar"/>
                <w:sz w:val="20"/>
              </w:rPr>
              <w:fldChar w:fldCharType="begin">
                <w:ffData>
                  <w:name w:val="IACheckLarge"/>
                  <w:enabled/>
                  <w:calcOnExit w:val="0"/>
                  <w:ddList>
                    <w:result w:val="1"/>
                    <w:listEntry w:val="Yes/No"/>
                    <w:listEntry w:val="Yes"/>
                    <w:listEntry w:val="No"/>
                  </w:ddList>
                </w:ffData>
              </w:fldChar>
            </w:r>
            <w:r w:rsidR="00072272" w:rsidRPr="00650545">
              <w:rPr>
                <w:rStyle w:val="IAIOCheckLargeChar"/>
                <w:sz w:val="20"/>
              </w:rPr>
              <w:instrText xml:space="preserve"> FORMDROPDOWN </w:instrText>
            </w:r>
            <w:r w:rsidR="004311A7">
              <w:rPr>
                <w:rStyle w:val="IAIOCheckLargeChar"/>
                <w:sz w:val="20"/>
              </w:rPr>
            </w:r>
            <w:r w:rsidR="004311A7">
              <w:rPr>
                <w:rStyle w:val="IAIOCheckLargeChar"/>
                <w:sz w:val="20"/>
              </w:rPr>
              <w:fldChar w:fldCharType="separate"/>
            </w:r>
            <w:r w:rsidR="00D65CF1" w:rsidRPr="00650545">
              <w:rPr>
                <w:rStyle w:val="IAIOCheckLargeChar"/>
                <w:sz w:val="20"/>
              </w:rPr>
              <w:fldChar w:fldCharType="end"/>
            </w:r>
            <w:bookmarkEnd w:id="20"/>
          </w:p>
        </w:tc>
      </w:tr>
      <w:tr w:rsidR="00817638" w:rsidTr="00332EB2">
        <w:trPr>
          <w:trHeight w:hRule="exact" w:val="567"/>
        </w:trPr>
        <w:tc>
          <w:tcPr>
            <w:tcW w:w="3544" w:type="pct"/>
            <w:gridSpan w:val="3"/>
            <w:tcBorders>
              <w:top w:val="single" w:sz="4" w:space="0" w:color="auto"/>
              <w:left w:val="single" w:sz="4" w:space="0" w:color="auto"/>
              <w:bottom w:val="single" w:sz="4" w:space="0" w:color="auto"/>
              <w:right w:val="single" w:sz="4" w:space="0" w:color="auto"/>
            </w:tcBorders>
            <w:shd w:val="clear" w:color="auto" w:fill="E0E0E0"/>
            <w:vAlign w:val="center"/>
          </w:tcPr>
          <w:p w:rsidR="00817638" w:rsidRPr="00650545" w:rsidRDefault="00817638" w:rsidP="006A0557">
            <w:pPr>
              <w:pStyle w:val="IATableText"/>
              <w:spacing w:before="0" w:after="0"/>
              <w:rPr>
                <w:rFonts w:eastAsia="Times New Roman"/>
                <w:b w:val="0"/>
                <w:color w:val="auto"/>
                <w:sz w:val="16"/>
                <w:szCs w:val="16"/>
              </w:rPr>
            </w:pPr>
            <w:r w:rsidRPr="00650545">
              <w:rPr>
                <w:rFonts w:cs="Arial"/>
                <w:b w:val="0"/>
                <w:color w:val="auto"/>
                <w:sz w:val="20"/>
              </w:rPr>
              <w:t>What is the CO</w:t>
            </w:r>
            <w:r w:rsidRPr="00650545">
              <w:rPr>
                <w:rFonts w:cs="Arial"/>
                <w:b w:val="0"/>
                <w:color w:val="auto"/>
                <w:sz w:val="20"/>
                <w:vertAlign w:val="subscript"/>
              </w:rPr>
              <w:t>2</w:t>
            </w:r>
            <w:r w:rsidRPr="00650545">
              <w:rPr>
                <w:rFonts w:cs="Arial"/>
                <w:b w:val="0"/>
                <w:color w:val="auto"/>
                <w:sz w:val="20"/>
              </w:rPr>
              <w:t xml:space="preserve"> equivalent change in greenhouse gas emissions? </w:t>
            </w:r>
            <w:r w:rsidRPr="00650545">
              <w:rPr>
                <w:rFonts w:cs="Arial"/>
                <w:b w:val="0"/>
                <w:color w:val="auto"/>
                <w:sz w:val="20"/>
              </w:rPr>
              <w:br/>
              <w:t xml:space="preserve">(Million tonnes </w:t>
            </w:r>
            <w:r w:rsidR="00FC07D5" w:rsidRPr="00650545">
              <w:rPr>
                <w:rFonts w:cs="Arial"/>
                <w:b w:val="0"/>
                <w:color w:val="auto"/>
                <w:sz w:val="20"/>
              </w:rPr>
              <w:t>CO</w:t>
            </w:r>
            <w:r w:rsidR="00FC07D5" w:rsidRPr="00650545">
              <w:rPr>
                <w:rFonts w:cs="Arial"/>
                <w:b w:val="0"/>
                <w:color w:val="auto"/>
                <w:sz w:val="20"/>
                <w:vertAlign w:val="subscript"/>
              </w:rPr>
              <w:t>2</w:t>
            </w:r>
            <w:r w:rsidRPr="00650545">
              <w:rPr>
                <w:rFonts w:cs="Arial"/>
                <w:b w:val="0"/>
                <w:color w:val="auto"/>
                <w:sz w:val="20"/>
              </w:rPr>
              <w:t xml:space="preserve"> equivalent)</w:t>
            </w:r>
            <w:r w:rsidRPr="00650545">
              <w:rPr>
                <w:b w:val="0"/>
                <w:color w:val="auto"/>
                <w:spacing w:val="0"/>
                <w:sz w:val="18"/>
              </w:rPr>
              <w:t xml:space="preserve">  </w:t>
            </w:r>
          </w:p>
        </w:tc>
        <w:tc>
          <w:tcPr>
            <w:tcW w:w="649" w:type="pct"/>
            <w:gridSpan w:val="2"/>
            <w:tcBorders>
              <w:top w:val="single" w:sz="4" w:space="0" w:color="auto"/>
              <w:left w:val="single" w:sz="4" w:space="0" w:color="auto"/>
              <w:bottom w:val="single" w:sz="4" w:space="0" w:color="auto"/>
              <w:right w:val="single" w:sz="4" w:space="0" w:color="auto"/>
            </w:tcBorders>
            <w:shd w:val="clear" w:color="auto" w:fill="E0E0E0"/>
          </w:tcPr>
          <w:p w:rsidR="00817638" w:rsidRDefault="00817638" w:rsidP="00F9776A">
            <w:pPr>
              <w:pStyle w:val="IATableLabel"/>
            </w:pPr>
            <w:r>
              <w:t xml:space="preserve">Traded:   </w:t>
            </w:r>
            <w:r>
              <w:br/>
            </w:r>
            <w:bookmarkStart w:id="21" w:name="IACO2Traded"/>
            <w:r w:rsidR="00D65CF1" w:rsidRPr="00335C9A">
              <w:rPr>
                <w:rStyle w:val="IAIOCO2TradedChar"/>
                <w:sz w:val="20"/>
              </w:rPr>
              <w:fldChar w:fldCharType="begin">
                <w:ffData>
                  <w:name w:val="IACO2Traded"/>
                  <w:enabled/>
                  <w:calcOnExit w:val="0"/>
                  <w:textInput>
                    <w:maxLength w:val="8"/>
                  </w:textInput>
                </w:ffData>
              </w:fldChar>
            </w:r>
            <w:r w:rsidRPr="00335C9A">
              <w:rPr>
                <w:rStyle w:val="IAIOCO2TradedChar"/>
                <w:sz w:val="20"/>
              </w:rPr>
              <w:instrText xml:space="preserve"> FORMTEXT </w:instrText>
            </w:r>
            <w:r w:rsidR="00D65CF1" w:rsidRPr="00335C9A">
              <w:rPr>
                <w:rStyle w:val="IAIOCO2TradedChar"/>
                <w:sz w:val="20"/>
              </w:rPr>
            </w:r>
            <w:r w:rsidR="00D65CF1" w:rsidRPr="00335C9A">
              <w:rPr>
                <w:rStyle w:val="IAIOCO2TradedChar"/>
                <w:sz w:val="20"/>
              </w:rPr>
              <w:fldChar w:fldCharType="separate"/>
            </w:r>
            <w:r w:rsidR="00F9776A">
              <w:rPr>
                <w:rStyle w:val="IAIOCO2TradedChar"/>
                <w:sz w:val="20"/>
              </w:rPr>
              <w:t>N/A</w:t>
            </w:r>
            <w:r w:rsidR="00D65CF1" w:rsidRPr="00335C9A">
              <w:rPr>
                <w:rStyle w:val="IAIOCO2TradedChar"/>
                <w:sz w:val="20"/>
              </w:rPr>
              <w:fldChar w:fldCharType="end"/>
            </w:r>
            <w:bookmarkEnd w:id="21"/>
          </w:p>
        </w:tc>
        <w:tc>
          <w:tcPr>
            <w:tcW w:w="789" w:type="pct"/>
            <w:gridSpan w:val="2"/>
            <w:tcBorders>
              <w:top w:val="single" w:sz="4" w:space="0" w:color="auto"/>
              <w:left w:val="single" w:sz="4" w:space="0" w:color="auto"/>
              <w:bottom w:val="single" w:sz="4" w:space="0" w:color="auto"/>
              <w:right w:val="single" w:sz="4" w:space="0" w:color="auto"/>
            </w:tcBorders>
            <w:shd w:val="clear" w:color="auto" w:fill="E0E0E0"/>
          </w:tcPr>
          <w:p w:rsidR="00817638" w:rsidRDefault="00817638" w:rsidP="00F9776A">
            <w:pPr>
              <w:pStyle w:val="IATableLabel"/>
            </w:pPr>
            <w:r>
              <w:t xml:space="preserve">Non-traded:   </w:t>
            </w:r>
            <w:r>
              <w:br/>
            </w:r>
            <w:bookmarkStart w:id="22" w:name="IACO2NonTraded"/>
            <w:r w:rsidR="00D65CF1">
              <w:rPr>
                <w:rStyle w:val="IAIOCO2TradedChar"/>
                <w:sz w:val="20"/>
              </w:rPr>
              <w:fldChar w:fldCharType="begin">
                <w:ffData>
                  <w:name w:val="IACO2NonTraded"/>
                  <w:enabled/>
                  <w:calcOnExit w:val="0"/>
                  <w:textInput>
                    <w:maxLength w:val="8"/>
                  </w:textInput>
                </w:ffData>
              </w:fldChar>
            </w:r>
            <w:r w:rsidR="008155E3">
              <w:rPr>
                <w:rStyle w:val="IAIOCO2TradedChar"/>
                <w:sz w:val="20"/>
              </w:rPr>
              <w:instrText xml:space="preserve"> FORMTEXT </w:instrText>
            </w:r>
            <w:r w:rsidR="00D65CF1">
              <w:rPr>
                <w:rStyle w:val="IAIOCO2TradedChar"/>
                <w:sz w:val="20"/>
              </w:rPr>
            </w:r>
            <w:r w:rsidR="00D65CF1">
              <w:rPr>
                <w:rStyle w:val="IAIOCO2TradedChar"/>
                <w:sz w:val="20"/>
              </w:rPr>
              <w:fldChar w:fldCharType="separate"/>
            </w:r>
            <w:r w:rsidR="00F9776A">
              <w:rPr>
                <w:rStyle w:val="IAIOCO2TradedChar"/>
                <w:noProof/>
                <w:sz w:val="20"/>
              </w:rPr>
              <w:t>N/A</w:t>
            </w:r>
            <w:r w:rsidR="00D65CF1">
              <w:rPr>
                <w:rStyle w:val="IAIOCO2TradedChar"/>
                <w:sz w:val="20"/>
              </w:rPr>
              <w:fldChar w:fldCharType="end"/>
            </w:r>
            <w:bookmarkEnd w:id="22"/>
          </w:p>
        </w:tc>
      </w:tr>
    </w:tbl>
    <w:tbl>
      <w:tblPr>
        <w:tblpPr w:leftFromText="180" w:rightFromText="180" w:vertAnchor="text" w:horzAnchor="margin" w:tblpY="423"/>
        <w:tblW w:w="5020" w:type="pct"/>
        <w:tblLayout w:type="fixed"/>
        <w:tblCellMar>
          <w:left w:w="0" w:type="dxa"/>
          <w:right w:w="0" w:type="dxa"/>
        </w:tblCellMar>
        <w:tblLook w:val="0000" w:firstRow="0" w:lastRow="0" w:firstColumn="0" w:lastColumn="0" w:noHBand="0" w:noVBand="0"/>
      </w:tblPr>
      <w:tblGrid>
        <w:gridCol w:w="4815"/>
        <w:gridCol w:w="2701"/>
        <w:gridCol w:w="707"/>
        <w:gridCol w:w="2023"/>
      </w:tblGrid>
      <w:tr w:rsidR="00332EB2" w:rsidTr="00332EB2">
        <w:trPr>
          <w:cantSplit/>
          <w:trHeight w:hRule="exact" w:val="767"/>
        </w:trPr>
        <w:tc>
          <w:tcPr>
            <w:tcW w:w="2350" w:type="pct"/>
            <w:vAlign w:val="bottom"/>
          </w:tcPr>
          <w:p w:rsidR="00332EB2" w:rsidRPr="00650545" w:rsidRDefault="00332EB2" w:rsidP="00332EB2">
            <w:pPr>
              <w:pStyle w:val="IASignature"/>
              <w:tabs>
                <w:tab w:val="clear" w:pos="6804"/>
                <w:tab w:val="left" w:leader="dot" w:pos="7380"/>
              </w:tabs>
              <w:rPr>
                <w:b w:val="0"/>
                <w:color w:val="auto"/>
              </w:rPr>
            </w:pPr>
            <w:bookmarkStart w:id="23" w:name="SignOfftext"/>
            <w:bookmarkEnd w:id="14"/>
            <w:r w:rsidRPr="00650545">
              <w:rPr>
                <w:b w:val="0"/>
                <w:color w:val="auto"/>
              </w:rPr>
              <w:t xml:space="preserve">Signed by the responsible </w:t>
            </w:r>
            <w:bookmarkStart w:id="24" w:name="IASignedBy"/>
            <w:r w:rsidR="00D65CF1" w:rsidRPr="00650545">
              <w:rPr>
                <w:b w:val="0"/>
                <w:color w:val="auto"/>
              </w:rPr>
              <w:fldChar w:fldCharType="begin">
                <w:ffData>
                  <w:name w:val="IASignedBy"/>
                  <w:enabled/>
                  <w:calcOnExit w:val="0"/>
                  <w:ddList>
                    <w:listEntry w:val="SELECT SIGNATORY"/>
                    <w:listEntry w:val="Chair"/>
                    <w:listEntry w:val="Chief Executive"/>
                    <w:listEntry w:val="Minister"/>
                  </w:ddList>
                </w:ffData>
              </w:fldChar>
            </w:r>
            <w:r w:rsidRPr="00650545">
              <w:rPr>
                <w:b w:val="0"/>
                <w:color w:val="auto"/>
              </w:rPr>
              <w:instrText xml:space="preserve"> FORMDROPDOWN </w:instrText>
            </w:r>
            <w:r w:rsidR="004311A7">
              <w:rPr>
                <w:b w:val="0"/>
                <w:color w:val="auto"/>
              </w:rPr>
            </w:r>
            <w:r w:rsidR="004311A7">
              <w:rPr>
                <w:b w:val="0"/>
                <w:color w:val="auto"/>
              </w:rPr>
              <w:fldChar w:fldCharType="separate"/>
            </w:r>
            <w:r w:rsidR="00D65CF1" w:rsidRPr="00650545">
              <w:rPr>
                <w:b w:val="0"/>
                <w:color w:val="auto"/>
              </w:rPr>
              <w:fldChar w:fldCharType="end"/>
            </w:r>
            <w:bookmarkEnd w:id="24"/>
            <w:r w:rsidRPr="00650545">
              <w:rPr>
                <w:b w:val="0"/>
                <w:color w:val="auto"/>
              </w:rPr>
              <w:t>:</w:t>
            </w:r>
          </w:p>
        </w:tc>
        <w:tc>
          <w:tcPr>
            <w:tcW w:w="1318" w:type="pct"/>
            <w:tcBorders>
              <w:bottom w:val="dashSmallGap" w:sz="4" w:space="0" w:color="auto"/>
            </w:tcBorders>
            <w:vAlign w:val="bottom"/>
          </w:tcPr>
          <w:p w:rsidR="00332EB2" w:rsidRPr="00AB4A42" w:rsidRDefault="00332EB2" w:rsidP="00332EB2">
            <w:pPr>
              <w:pStyle w:val="IAIOtextSign"/>
            </w:pPr>
          </w:p>
        </w:tc>
        <w:tc>
          <w:tcPr>
            <w:tcW w:w="345" w:type="pct"/>
            <w:vAlign w:val="bottom"/>
          </w:tcPr>
          <w:p w:rsidR="00332EB2" w:rsidRPr="00650545" w:rsidRDefault="00332EB2" w:rsidP="00332EB2">
            <w:pPr>
              <w:pStyle w:val="IASignature"/>
              <w:tabs>
                <w:tab w:val="clear" w:pos="6804"/>
                <w:tab w:val="left" w:leader="dot" w:pos="7380"/>
              </w:tabs>
              <w:rPr>
                <w:b w:val="0"/>
                <w:color w:val="auto"/>
              </w:rPr>
            </w:pPr>
            <w:r w:rsidRPr="00650545">
              <w:rPr>
                <w:b w:val="0"/>
                <w:color w:val="auto"/>
              </w:rPr>
              <w:t> Date:</w:t>
            </w:r>
          </w:p>
        </w:tc>
        <w:bookmarkStart w:id="25" w:name="SigDate"/>
        <w:tc>
          <w:tcPr>
            <w:tcW w:w="987" w:type="pct"/>
            <w:tcBorders>
              <w:bottom w:val="dashSmallGap" w:sz="4" w:space="0" w:color="auto"/>
            </w:tcBorders>
            <w:vAlign w:val="bottom"/>
          </w:tcPr>
          <w:p w:rsidR="00332EB2" w:rsidRPr="005D0BD1" w:rsidRDefault="00D65CF1" w:rsidP="00332EB2">
            <w:pPr>
              <w:pStyle w:val="IAIOSigDate"/>
            </w:pPr>
            <w:r>
              <w:fldChar w:fldCharType="begin">
                <w:ffData>
                  <w:name w:val="SigDate"/>
                  <w:enabled/>
                  <w:calcOnExit w:val="0"/>
                  <w:textInput/>
                </w:ffData>
              </w:fldChar>
            </w:r>
            <w:r w:rsidR="00332EB2">
              <w:instrText xml:space="preserve"> FORMTEXT </w:instrText>
            </w:r>
            <w:r>
              <w:fldChar w:fldCharType="separate"/>
            </w:r>
            <w:r w:rsidR="00332EB2">
              <w:rPr>
                <w:noProof/>
              </w:rPr>
              <w:t> </w:t>
            </w:r>
            <w:r w:rsidR="00332EB2">
              <w:rPr>
                <w:noProof/>
              </w:rPr>
              <w:t> </w:t>
            </w:r>
            <w:r w:rsidR="00332EB2">
              <w:rPr>
                <w:noProof/>
              </w:rPr>
              <w:t> </w:t>
            </w:r>
            <w:r w:rsidR="00332EB2">
              <w:rPr>
                <w:noProof/>
              </w:rPr>
              <w:t> </w:t>
            </w:r>
            <w:r w:rsidR="00332EB2">
              <w:rPr>
                <w:noProof/>
              </w:rPr>
              <w:t> </w:t>
            </w:r>
            <w:r>
              <w:fldChar w:fldCharType="end"/>
            </w:r>
            <w:bookmarkEnd w:id="25"/>
          </w:p>
        </w:tc>
      </w:tr>
    </w:tbl>
    <w:p w:rsidR="008D115F" w:rsidRPr="00332EB2" w:rsidRDefault="008D115F">
      <w:pPr>
        <w:pStyle w:val="IASign-off"/>
        <w:rPr>
          <w:sz w:val="18"/>
        </w:rPr>
      </w:pPr>
      <w:r w:rsidRPr="00332EB2">
        <w:rPr>
          <w:rFonts w:cs="Arial"/>
          <w:iCs/>
          <w:sz w:val="18"/>
        </w:rPr>
        <w:t>I have read the Impact Assessment and I am satisfied that (a) it represents a fair and reasonable view of the expected costs, benefits and impact of the policy, and (b) that the benefits justify the costs.</w:t>
      </w:r>
    </w:p>
    <w:bookmarkEnd w:id="23"/>
    <w:p w:rsidR="00F1328C" w:rsidRDefault="00F1328C" w:rsidP="005A3880">
      <w:pPr>
        <w:pStyle w:val="Heading1"/>
        <w:spacing w:before="0"/>
        <w:sectPr w:rsidR="00F1328C" w:rsidSect="005A3880">
          <w:footerReference w:type="default" r:id="rId9"/>
          <w:footnotePr>
            <w:numRestart w:val="eachSect"/>
          </w:footnotePr>
          <w:type w:val="continuous"/>
          <w:pgSz w:w="11907" w:h="16840" w:code="9"/>
          <w:pgMar w:top="680" w:right="851" w:bottom="680" w:left="851" w:header="284" w:footer="284" w:gutter="0"/>
          <w:cols w:space="708"/>
          <w:docGrid w:linePitch="360"/>
        </w:sectPr>
      </w:pPr>
    </w:p>
    <w:p w:rsidR="001844B6" w:rsidRDefault="001844B6" w:rsidP="005A3880">
      <w:pPr>
        <w:pStyle w:val="Heading1"/>
        <w:spacing w:before="0"/>
      </w:pPr>
      <w:r>
        <w:lastRenderedPageBreak/>
        <w:t>Summary: Analysis &amp; Evidence</w:t>
      </w:r>
      <w:r>
        <w:tab/>
      </w:r>
      <w:r w:rsidRPr="00E3545D">
        <w:rPr>
          <w:rFonts w:ascii="Arial" w:hAnsi="Arial"/>
          <w:b w:val="0"/>
          <w:bCs w:val="0"/>
        </w:rPr>
        <w:t xml:space="preserve">Policy Option </w:t>
      </w:r>
      <w:r w:rsidR="009770A5">
        <w:rPr>
          <w:rFonts w:ascii="Arial" w:hAnsi="Arial"/>
          <w:b w:val="0"/>
          <w:bCs w:val="0"/>
        </w:rPr>
        <w:t>1</w:t>
      </w:r>
    </w:p>
    <w:p w:rsidR="00B71A21" w:rsidRPr="00734182" w:rsidRDefault="001844B6" w:rsidP="005A3880">
      <w:pPr>
        <w:pStyle w:val="IAHeadLabel"/>
        <w:spacing w:before="50"/>
        <w:rPr>
          <w:b w:val="0"/>
        </w:rPr>
      </w:pPr>
      <w:r w:rsidRPr="00892576">
        <w:t xml:space="preserve">Description: </w:t>
      </w:r>
      <w:r w:rsidR="00734182" w:rsidRPr="00734182">
        <w:rPr>
          <w:rFonts w:cs="Arial"/>
          <w:b w:val="0"/>
        </w:rPr>
        <w:t>To update legislation in England and Wales to allow for enforcement of the new CMO regulation. This involves providing powers for enforcement agencies to ensure compliance with the CMO regulation including changes to seafood labelling requirements.</w:t>
      </w:r>
    </w:p>
    <w:p w:rsidR="001844B6" w:rsidRDefault="001844B6" w:rsidP="005A3880">
      <w:pPr>
        <w:pStyle w:val="IAHeadLabel"/>
        <w:spacing w:before="50"/>
      </w:pPr>
      <w:r>
        <w:t>FULL ECONOMIC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5"/>
        <w:gridCol w:w="1260"/>
        <w:gridCol w:w="1440"/>
        <w:gridCol w:w="1800"/>
        <w:gridCol w:w="1827"/>
        <w:gridCol w:w="2633"/>
      </w:tblGrid>
      <w:tr w:rsidR="001844B6" w:rsidRPr="00092C07" w:rsidTr="00092C07">
        <w:trPr>
          <w:trHeight w:hRule="exact" w:val="312"/>
        </w:trPr>
        <w:tc>
          <w:tcPr>
            <w:tcW w:w="1265" w:type="dxa"/>
            <w:vMerge w:val="restart"/>
            <w:shd w:val="clear" w:color="auto" w:fill="auto"/>
          </w:tcPr>
          <w:p w:rsidR="001844B6" w:rsidRPr="00826F71" w:rsidRDefault="001844B6" w:rsidP="008D115F">
            <w:pPr>
              <w:pStyle w:val="POPBY"/>
            </w:pPr>
            <w:r w:rsidRPr="00826F71">
              <w:t>Price Base Year</w:t>
            </w:r>
            <w:r>
              <w:t xml:space="preserve">  </w:t>
            </w:r>
            <w:r w:rsidR="00D65CF1" w:rsidRPr="00092C07">
              <w:rPr>
                <w:b w:val="0"/>
              </w:rPr>
              <w:fldChar w:fldCharType="begin">
                <w:ffData>
                  <w:name w:val="Text55"/>
                  <w:enabled/>
                  <w:calcOnExit w:val="0"/>
                  <w:textInput>
                    <w:maxLength w:val="4"/>
                  </w:textInput>
                </w:ffData>
              </w:fldChar>
            </w:r>
            <w:r w:rsidRPr="00092C07">
              <w:rPr>
                <w:b w:val="0"/>
              </w:rPr>
              <w:instrText xml:space="preserve"> FORMTEXT </w:instrText>
            </w:r>
            <w:r w:rsidR="00D65CF1" w:rsidRPr="00092C07">
              <w:rPr>
                <w:b w:val="0"/>
              </w:rPr>
            </w:r>
            <w:r w:rsidR="00D65CF1" w:rsidRPr="00092C07">
              <w:rPr>
                <w:b w:val="0"/>
              </w:rPr>
              <w:fldChar w:fldCharType="separate"/>
            </w:r>
            <w:r w:rsidR="00AF66AD">
              <w:rPr>
                <w:b w:val="0"/>
              </w:rPr>
              <w:t>201</w:t>
            </w:r>
            <w:r w:rsidR="008D115F">
              <w:rPr>
                <w:b w:val="0"/>
              </w:rPr>
              <w:t>3</w:t>
            </w:r>
            <w:r w:rsidR="00D65CF1" w:rsidRPr="00092C07">
              <w:rPr>
                <w:b w:val="0"/>
              </w:rPr>
              <w:fldChar w:fldCharType="end"/>
            </w:r>
          </w:p>
        </w:tc>
        <w:tc>
          <w:tcPr>
            <w:tcW w:w="1260" w:type="dxa"/>
            <w:vMerge w:val="restart"/>
            <w:shd w:val="clear" w:color="auto" w:fill="auto"/>
          </w:tcPr>
          <w:p w:rsidR="001844B6" w:rsidRPr="00826F71" w:rsidRDefault="001844B6" w:rsidP="00981890">
            <w:pPr>
              <w:pStyle w:val="POPVBY"/>
            </w:pPr>
            <w:r w:rsidRPr="00826F71">
              <w:t>PV Base Year</w:t>
            </w:r>
            <w:r>
              <w:t xml:space="preserve">  </w:t>
            </w:r>
            <w:r w:rsidR="00D65CF1" w:rsidRPr="00092C07">
              <w:rPr>
                <w:b w:val="0"/>
              </w:rPr>
              <w:fldChar w:fldCharType="begin">
                <w:ffData>
                  <w:name w:val="Text56"/>
                  <w:enabled/>
                  <w:calcOnExit w:val="0"/>
                  <w:textInput>
                    <w:maxLength w:val="4"/>
                  </w:textInput>
                </w:ffData>
              </w:fldChar>
            </w:r>
            <w:r w:rsidRPr="00092C07">
              <w:rPr>
                <w:b w:val="0"/>
              </w:rPr>
              <w:instrText xml:space="preserve"> FORMTEXT </w:instrText>
            </w:r>
            <w:r w:rsidR="00D65CF1" w:rsidRPr="00092C07">
              <w:rPr>
                <w:b w:val="0"/>
              </w:rPr>
            </w:r>
            <w:r w:rsidR="00D65CF1" w:rsidRPr="00092C07">
              <w:rPr>
                <w:b w:val="0"/>
              </w:rPr>
              <w:fldChar w:fldCharType="separate"/>
            </w:r>
            <w:r w:rsidR="00AF66AD">
              <w:rPr>
                <w:b w:val="0"/>
                <w:noProof/>
              </w:rPr>
              <w:t>201</w:t>
            </w:r>
            <w:r w:rsidR="00981890">
              <w:rPr>
                <w:b w:val="0"/>
                <w:noProof/>
              </w:rPr>
              <w:t>4</w:t>
            </w:r>
            <w:r w:rsidR="00D65CF1" w:rsidRPr="00092C07">
              <w:rPr>
                <w:b w:val="0"/>
              </w:rPr>
              <w:fldChar w:fldCharType="end"/>
            </w:r>
          </w:p>
        </w:tc>
        <w:tc>
          <w:tcPr>
            <w:tcW w:w="1440" w:type="dxa"/>
            <w:vMerge w:val="restart"/>
            <w:tcBorders>
              <w:right w:val="single" w:sz="12" w:space="0" w:color="auto"/>
            </w:tcBorders>
            <w:shd w:val="clear" w:color="auto" w:fill="auto"/>
          </w:tcPr>
          <w:p w:rsidR="001844B6" w:rsidRPr="00826F71" w:rsidRDefault="001844B6" w:rsidP="000F12AC">
            <w:pPr>
              <w:pStyle w:val="POTPY"/>
            </w:pPr>
            <w:r w:rsidRPr="00826F71">
              <w:t>Time Period Years</w:t>
            </w:r>
            <w:r>
              <w:t xml:space="preserve">  </w:t>
            </w:r>
            <w:r w:rsidR="000F12AC">
              <w:rPr>
                <w:b w:val="0"/>
                <w:sz w:val="22"/>
                <w:szCs w:val="22"/>
              </w:rPr>
              <w:t>10</w:t>
            </w:r>
          </w:p>
        </w:tc>
        <w:tc>
          <w:tcPr>
            <w:tcW w:w="6260" w:type="dxa"/>
            <w:gridSpan w:val="3"/>
            <w:tcBorders>
              <w:top w:val="single" w:sz="12" w:space="0" w:color="auto"/>
              <w:left w:val="single" w:sz="12" w:space="0" w:color="auto"/>
              <w:bottom w:val="single" w:sz="4" w:space="0" w:color="auto"/>
              <w:right w:val="single" w:sz="12" w:space="0" w:color="auto"/>
            </w:tcBorders>
            <w:shd w:val="clear" w:color="auto" w:fill="FFFFFF"/>
          </w:tcPr>
          <w:p w:rsidR="001844B6" w:rsidRPr="00826F71" w:rsidRDefault="001844B6" w:rsidP="00092C07">
            <w:pPr>
              <w:pStyle w:val="IATableLabel"/>
              <w:jc w:val="center"/>
            </w:pPr>
            <w:r w:rsidRPr="00826F71">
              <w:t xml:space="preserve">Net </w:t>
            </w:r>
            <w:r w:rsidRPr="0075393B">
              <w:t>B</w:t>
            </w:r>
            <w:r w:rsidRPr="00826F71">
              <w:t>enefit (</w:t>
            </w:r>
            <w:r>
              <w:t>Present Value (</w:t>
            </w:r>
            <w:r w:rsidRPr="00826F71">
              <w:t>PV</w:t>
            </w:r>
            <w:r>
              <w:t>)</w:t>
            </w:r>
            <w:r w:rsidRPr="00826F71">
              <w:t>)</w:t>
            </w:r>
            <w:r>
              <w:t xml:space="preserve"> (£m)</w:t>
            </w:r>
          </w:p>
        </w:tc>
      </w:tr>
      <w:tr w:rsidR="001844B6" w:rsidRPr="00092C07" w:rsidTr="00092C07">
        <w:trPr>
          <w:trHeight w:hRule="exact" w:val="340"/>
        </w:trPr>
        <w:tc>
          <w:tcPr>
            <w:tcW w:w="1265" w:type="dxa"/>
            <w:vMerge/>
            <w:shd w:val="clear" w:color="auto" w:fill="auto"/>
          </w:tcPr>
          <w:p w:rsidR="001844B6" w:rsidRPr="00092C07" w:rsidRDefault="001844B6" w:rsidP="00092C07">
            <w:pPr>
              <w:pStyle w:val="IATableNotes"/>
              <w:ind w:left="0"/>
              <w:rPr>
                <w:b/>
                <w:sz w:val="20"/>
              </w:rPr>
            </w:pPr>
          </w:p>
        </w:tc>
        <w:tc>
          <w:tcPr>
            <w:tcW w:w="1260" w:type="dxa"/>
            <w:vMerge/>
            <w:shd w:val="clear" w:color="auto" w:fill="auto"/>
          </w:tcPr>
          <w:p w:rsidR="001844B6" w:rsidRPr="00092C07" w:rsidRDefault="001844B6" w:rsidP="00092C07">
            <w:pPr>
              <w:pStyle w:val="IATableNotes"/>
              <w:ind w:left="0"/>
              <w:rPr>
                <w:b/>
                <w:sz w:val="20"/>
              </w:rPr>
            </w:pPr>
          </w:p>
        </w:tc>
        <w:tc>
          <w:tcPr>
            <w:tcW w:w="1440" w:type="dxa"/>
            <w:vMerge/>
            <w:tcBorders>
              <w:right w:val="single" w:sz="12" w:space="0" w:color="auto"/>
            </w:tcBorders>
            <w:shd w:val="clear" w:color="auto" w:fill="auto"/>
          </w:tcPr>
          <w:p w:rsidR="001844B6" w:rsidRPr="00092C07" w:rsidRDefault="001844B6" w:rsidP="00092C07">
            <w:pPr>
              <w:pStyle w:val="IATableNotes"/>
              <w:ind w:left="0"/>
              <w:rPr>
                <w:b/>
                <w:sz w:val="20"/>
              </w:rPr>
            </w:pPr>
          </w:p>
        </w:tc>
        <w:tc>
          <w:tcPr>
            <w:tcW w:w="1800" w:type="dxa"/>
            <w:tcBorders>
              <w:top w:val="single" w:sz="4" w:space="0" w:color="auto"/>
              <w:left w:val="single" w:sz="12" w:space="0" w:color="auto"/>
              <w:bottom w:val="single" w:sz="12" w:space="0" w:color="auto"/>
              <w:right w:val="single" w:sz="4" w:space="0" w:color="auto"/>
            </w:tcBorders>
            <w:shd w:val="clear" w:color="auto" w:fill="auto"/>
          </w:tcPr>
          <w:p w:rsidR="001844B6" w:rsidRPr="00092C07" w:rsidRDefault="001844B6" w:rsidP="00EB63F3">
            <w:pPr>
              <w:pStyle w:val="IATableLabel"/>
              <w:rPr>
                <w:bCs/>
              </w:rPr>
            </w:pPr>
            <w:r w:rsidRPr="00304C1D">
              <w:t>Low:</w:t>
            </w:r>
            <w:r w:rsidRPr="00826F71">
              <w:t xml:space="preserve"> </w:t>
            </w:r>
            <w:r w:rsidR="00C60925" w:rsidRPr="00C60925">
              <w:rPr>
                <w:b w:val="0"/>
              </w:rPr>
              <w:t>Optional</w:t>
            </w:r>
          </w:p>
        </w:tc>
        <w:tc>
          <w:tcPr>
            <w:tcW w:w="1827" w:type="dxa"/>
            <w:tcBorders>
              <w:top w:val="single" w:sz="4" w:space="0" w:color="auto"/>
              <w:left w:val="single" w:sz="4" w:space="0" w:color="auto"/>
              <w:bottom w:val="single" w:sz="12" w:space="0" w:color="auto"/>
              <w:right w:val="single" w:sz="12" w:space="0" w:color="auto"/>
            </w:tcBorders>
            <w:shd w:val="clear" w:color="auto" w:fill="auto"/>
          </w:tcPr>
          <w:p w:rsidR="001844B6" w:rsidRPr="00092C07" w:rsidRDefault="001844B6" w:rsidP="00EB63F3">
            <w:pPr>
              <w:pStyle w:val="IATableLabel"/>
              <w:rPr>
                <w:rFonts w:cs="Arial"/>
                <w:bCs/>
                <w:szCs w:val="18"/>
              </w:rPr>
            </w:pPr>
            <w:r w:rsidRPr="00304C1D">
              <w:t>High:</w:t>
            </w:r>
            <w:r w:rsidR="00EB63F3" w:rsidRPr="00092C07">
              <w:rPr>
                <w:rFonts w:cs="Arial"/>
                <w:bCs/>
                <w:szCs w:val="18"/>
              </w:rPr>
              <w:t xml:space="preserve"> </w:t>
            </w:r>
            <w:r w:rsidR="00C60925" w:rsidRPr="00C60925">
              <w:rPr>
                <w:rFonts w:cs="Arial"/>
                <w:b w:val="0"/>
                <w:bCs/>
                <w:szCs w:val="18"/>
              </w:rPr>
              <w:t>Optional</w:t>
            </w:r>
          </w:p>
        </w:tc>
        <w:tc>
          <w:tcPr>
            <w:tcW w:w="2633" w:type="dxa"/>
            <w:tcBorders>
              <w:top w:val="single" w:sz="12" w:space="0" w:color="auto"/>
              <w:left w:val="single" w:sz="12" w:space="0" w:color="auto"/>
              <w:bottom w:val="single" w:sz="12" w:space="0" w:color="auto"/>
              <w:right w:val="single" w:sz="12" w:space="0" w:color="auto"/>
            </w:tcBorders>
            <w:shd w:val="clear" w:color="auto" w:fill="FFFFFF"/>
          </w:tcPr>
          <w:p w:rsidR="001844B6" w:rsidRPr="00092C07" w:rsidRDefault="001844B6" w:rsidP="007B0459">
            <w:pPr>
              <w:pStyle w:val="IATableLabel"/>
              <w:rPr>
                <w:szCs w:val="18"/>
              </w:rPr>
            </w:pPr>
            <w:r w:rsidRPr="00304C1D">
              <w:t xml:space="preserve">Best </w:t>
            </w:r>
            <w:r>
              <w:t>E</w:t>
            </w:r>
            <w:r w:rsidRPr="00304C1D">
              <w:t>stimate:</w:t>
            </w:r>
            <w:r w:rsidRPr="00826F71">
              <w:t xml:space="preserve"> </w:t>
            </w:r>
            <w:r w:rsidR="00432AA0">
              <w:rPr>
                <w:b w:val="0"/>
              </w:rPr>
              <w:t>-</w:t>
            </w:r>
            <w:r w:rsidR="007B0459">
              <w:rPr>
                <w:b w:val="0"/>
              </w:rPr>
              <w:t>0.60</w:t>
            </w:r>
          </w:p>
        </w:tc>
      </w:tr>
    </w:tbl>
    <w:p w:rsidR="001844B6" w:rsidRDefault="001844B6" w:rsidP="005A3880">
      <w:pPr>
        <w:pStyle w:val="IASpace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995"/>
        <w:gridCol w:w="1949"/>
        <w:gridCol w:w="790"/>
        <w:gridCol w:w="2865"/>
        <w:gridCol w:w="1776"/>
        <w:gridCol w:w="860"/>
      </w:tblGrid>
      <w:tr w:rsidR="001844B6" w:rsidRPr="00092C07" w:rsidTr="00092C07">
        <w:trPr>
          <w:trHeight w:hRule="exact" w:val="567"/>
        </w:trPr>
        <w:tc>
          <w:tcPr>
            <w:tcW w:w="1995" w:type="dxa"/>
            <w:shd w:val="clear" w:color="auto" w:fill="FFFFFF"/>
          </w:tcPr>
          <w:p w:rsidR="001844B6" w:rsidRPr="00092C07" w:rsidRDefault="001844B6" w:rsidP="005A3880">
            <w:pPr>
              <w:pStyle w:val="IATableLabel"/>
              <w:rPr>
                <w:sz w:val="24"/>
                <w:szCs w:val="24"/>
              </w:rPr>
            </w:pPr>
            <w:r w:rsidRPr="00092C07">
              <w:rPr>
                <w:sz w:val="24"/>
                <w:szCs w:val="24"/>
              </w:rPr>
              <w:t>COSTS (£m)</w:t>
            </w:r>
          </w:p>
        </w:tc>
        <w:tc>
          <w:tcPr>
            <w:tcW w:w="2739" w:type="dxa"/>
            <w:gridSpan w:val="2"/>
            <w:tcBorders>
              <w:top w:val="single" w:sz="12" w:space="0" w:color="auto"/>
              <w:bottom w:val="single" w:sz="6" w:space="0" w:color="auto"/>
            </w:tcBorders>
            <w:shd w:val="clear" w:color="auto" w:fill="auto"/>
          </w:tcPr>
          <w:p w:rsidR="001844B6" w:rsidRPr="00826F71" w:rsidRDefault="001844B6" w:rsidP="00092C07">
            <w:pPr>
              <w:pStyle w:val="IATableLabel"/>
              <w:tabs>
                <w:tab w:val="right" w:pos="1800"/>
                <w:tab w:val="center" w:pos="2340"/>
              </w:tabs>
              <w:jc w:val="right"/>
            </w:pPr>
            <w:r w:rsidRPr="00826F71">
              <w:t xml:space="preserve">Total Transition </w:t>
            </w:r>
            <w:r>
              <w:br/>
            </w:r>
            <w:r>
              <w:tab/>
            </w:r>
            <w:r w:rsidRPr="00092C07">
              <w:rPr>
                <w:b w:val="0"/>
                <w:sz w:val="18"/>
                <w:szCs w:val="18"/>
              </w:rPr>
              <w:t>(Constant Price)</w:t>
            </w:r>
            <w:r>
              <w:tab/>
            </w:r>
            <w:r w:rsidRPr="00092C07">
              <w:rPr>
                <w:b w:val="0"/>
                <w:sz w:val="18"/>
                <w:szCs w:val="18"/>
              </w:rPr>
              <w:t>Yea</w:t>
            </w:r>
            <w:r w:rsidRPr="00092C07">
              <w:rPr>
                <w:b w:val="0"/>
                <w:bCs/>
                <w:sz w:val="18"/>
                <w:szCs w:val="18"/>
              </w:rPr>
              <w:t>r</w:t>
            </w:r>
            <w:r w:rsidRPr="00092C07">
              <w:rPr>
                <w:b w:val="0"/>
                <w:sz w:val="18"/>
                <w:szCs w:val="18"/>
              </w:rPr>
              <w:t>s</w:t>
            </w:r>
          </w:p>
          <w:p w:rsidR="001844B6" w:rsidRPr="00826F71" w:rsidRDefault="001844B6" w:rsidP="00092C07">
            <w:pPr>
              <w:pStyle w:val="IATableLabel"/>
              <w:jc w:val="right"/>
            </w:pPr>
            <w:r>
              <w:br/>
            </w:r>
          </w:p>
        </w:tc>
        <w:tc>
          <w:tcPr>
            <w:tcW w:w="2865" w:type="dxa"/>
            <w:tcBorders>
              <w:bottom w:val="single" w:sz="6" w:space="0" w:color="auto"/>
              <w:right w:val="single" w:sz="12" w:space="0" w:color="auto"/>
            </w:tcBorders>
            <w:shd w:val="clear" w:color="auto" w:fill="auto"/>
          </w:tcPr>
          <w:p w:rsidR="001844B6" w:rsidRPr="00092C07" w:rsidRDefault="001844B6" w:rsidP="00092C07">
            <w:pPr>
              <w:pStyle w:val="IATableLabel"/>
              <w:jc w:val="right"/>
              <w:rPr>
                <w:rFonts w:cs="Arial"/>
                <w:bCs/>
              </w:rPr>
            </w:pPr>
            <w:r w:rsidRPr="00826F71">
              <w:t>Average Annual</w:t>
            </w:r>
            <w:r w:rsidRPr="000C031E">
              <w:t xml:space="preserve"> </w:t>
            </w:r>
            <w:r>
              <w:br/>
            </w:r>
            <w:r w:rsidRPr="00092C07">
              <w:rPr>
                <w:b w:val="0"/>
                <w:sz w:val="18"/>
                <w:szCs w:val="18"/>
              </w:rPr>
              <w:t xml:space="preserve">(excl. Transition) </w:t>
            </w:r>
            <w:r w:rsidRPr="00092C07">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rsidR="001844B6" w:rsidRPr="00826F71" w:rsidRDefault="001844B6" w:rsidP="00092C07">
            <w:pPr>
              <w:pStyle w:val="IATableLabel"/>
              <w:jc w:val="right"/>
            </w:pPr>
            <w:r w:rsidRPr="00826F71">
              <w:t>Total Cost</w:t>
            </w:r>
            <w:r w:rsidRPr="00092C07">
              <w:rPr>
                <w:b w:val="0"/>
                <w:sz w:val="18"/>
                <w:szCs w:val="18"/>
              </w:rPr>
              <w:t xml:space="preserve"> </w:t>
            </w:r>
            <w:r w:rsidRPr="00092C07">
              <w:rPr>
                <w:b w:val="0"/>
                <w:sz w:val="18"/>
                <w:szCs w:val="18"/>
              </w:rPr>
              <w:br/>
              <w:t>(Present Value)</w:t>
            </w:r>
          </w:p>
        </w:tc>
      </w:tr>
      <w:tr w:rsidR="001844B6" w:rsidRPr="00092C07" w:rsidTr="00092C07">
        <w:trPr>
          <w:trHeight w:hRule="exact" w:val="348"/>
        </w:trPr>
        <w:tc>
          <w:tcPr>
            <w:tcW w:w="1995" w:type="dxa"/>
            <w:tcBorders>
              <w:top w:val="single" w:sz="6" w:space="0" w:color="auto"/>
              <w:bottom w:val="single" w:sz="6" w:space="0" w:color="auto"/>
            </w:tcBorders>
            <w:shd w:val="clear" w:color="auto" w:fill="auto"/>
            <w:vAlign w:val="center"/>
          </w:tcPr>
          <w:p w:rsidR="001844B6" w:rsidRPr="00F63895" w:rsidRDefault="001844B6" w:rsidP="005A3880">
            <w:pPr>
              <w:pStyle w:val="IATableLabel"/>
            </w:pPr>
            <w:r w:rsidRPr="00F63895">
              <w:t xml:space="preserve">Low </w:t>
            </w:r>
          </w:p>
        </w:tc>
        <w:tc>
          <w:tcPr>
            <w:tcW w:w="1949" w:type="dxa"/>
            <w:tcBorders>
              <w:top w:val="single" w:sz="6" w:space="0" w:color="auto"/>
              <w:bottom w:val="single" w:sz="6" w:space="0" w:color="auto"/>
            </w:tcBorders>
            <w:shd w:val="clear" w:color="auto" w:fill="auto"/>
            <w:vAlign w:val="center"/>
          </w:tcPr>
          <w:p w:rsidR="001844B6" w:rsidRPr="00650545" w:rsidRDefault="00D65CF1" w:rsidP="008D115F">
            <w:pPr>
              <w:pStyle w:val="POTTCostsLow"/>
              <w:rPr>
                <w:b w:val="0"/>
                <w:color w:val="auto"/>
                <w:sz w:val="20"/>
              </w:rPr>
            </w:pPr>
            <w:r w:rsidRPr="00650545">
              <w:rPr>
                <w:b w:val="0"/>
                <w:color w:val="auto"/>
                <w:sz w:val="20"/>
              </w:rPr>
              <w:fldChar w:fldCharType="begin">
                <w:ffData>
                  <w:name w:val="Text45"/>
                  <w:enabled/>
                  <w:calcOnExit w:val="0"/>
                  <w:textInput>
                    <w:default w:val="Optional"/>
                    <w:maxLength w:val="14"/>
                  </w:textInput>
                </w:ffData>
              </w:fldChar>
            </w:r>
            <w:r w:rsidR="001844B6" w:rsidRPr="00650545">
              <w:rPr>
                <w:b w:val="0"/>
                <w:color w:val="auto"/>
                <w:sz w:val="20"/>
              </w:rPr>
              <w:instrText xml:space="preserve"> FORMTEXT </w:instrText>
            </w:r>
            <w:r w:rsidRPr="00650545">
              <w:rPr>
                <w:b w:val="0"/>
                <w:color w:val="auto"/>
                <w:sz w:val="20"/>
              </w:rPr>
            </w:r>
            <w:r w:rsidRPr="00650545">
              <w:rPr>
                <w:b w:val="0"/>
                <w:color w:val="auto"/>
                <w:sz w:val="20"/>
              </w:rPr>
              <w:fldChar w:fldCharType="separate"/>
            </w:r>
            <w:r w:rsidR="008D115F" w:rsidRPr="00650545">
              <w:rPr>
                <w:b w:val="0"/>
                <w:color w:val="auto"/>
                <w:sz w:val="20"/>
              </w:rPr>
              <w:t>Optional</w:t>
            </w:r>
            <w:r w:rsidRPr="00650545">
              <w:rPr>
                <w:b w:val="0"/>
                <w:color w:val="auto"/>
                <w:sz w:val="20"/>
              </w:rPr>
              <w:fldChar w:fldCharType="end"/>
            </w:r>
          </w:p>
        </w:tc>
        <w:tc>
          <w:tcPr>
            <w:tcW w:w="790" w:type="dxa"/>
            <w:vMerge w:val="restart"/>
            <w:tcBorders>
              <w:top w:val="single" w:sz="6" w:space="0" w:color="auto"/>
            </w:tcBorders>
            <w:shd w:val="clear" w:color="auto" w:fill="auto"/>
            <w:vAlign w:val="center"/>
          </w:tcPr>
          <w:p w:rsidR="001844B6" w:rsidRPr="00650545" w:rsidRDefault="00D65CF1" w:rsidP="005A3880">
            <w:pPr>
              <w:pStyle w:val="POTTCostsYear"/>
              <w:rPr>
                <w:b w:val="0"/>
                <w:color w:val="auto"/>
                <w:sz w:val="20"/>
                <w:szCs w:val="20"/>
              </w:rPr>
            </w:pPr>
            <w:r w:rsidRPr="00650545">
              <w:rPr>
                <w:b w:val="0"/>
                <w:color w:val="auto"/>
                <w:sz w:val="20"/>
                <w:szCs w:val="20"/>
              </w:rPr>
              <w:fldChar w:fldCharType="begin">
                <w:ffData>
                  <w:name w:val="Text48"/>
                  <w:enabled/>
                  <w:calcOnExit w:val="0"/>
                  <w:textInput>
                    <w:maxLength w:val="3"/>
                  </w:textInput>
                </w:ffData>
              </w:fldChar>
            </w:r>
            <w:r w:rsidR="001844B6" w:rsidRPr="00650545">
              <w:rPr>
                <w:b w:val="0"/>
                <w:color w:val="auto"/>
                <w:sz w:val="20"/>
                <w:szCs w:val="20"/>
              </w:rPr>
              <w:instrText xml:space="preserve"> FORMTEXT </w:instrText>
            </w:r>
            <w:r w:rsidRPr="00650545">
              <w:rPr>
                <w:b w:val="0"/>
                <w:color w:val="auto"/>
                <w:sz w:val="20"/>
                <w:szCs w:val="20"/>
              </w:rPr>
            </w:r>
            <w:r w:rsidRPr="00650545">
              <w:rPr>
                <w:b w:val="0"/>
                <w:color w:val="auto"/>
                <w:sz w:val="20"/>
                <w:szCs w:val="20"/>
              </w:rPr>
              <w:fldChar w:fldCharType="separate"/>
            </w:r>
            <w:r w:rsidR="001844B6" w:rsidRPr="00650545">
              <w:rPr>
                <w:b w:val="0"/>
                <w:noProof/>
                <w:color w:val="auto"/>
                <w:sz w:val="20"/>
                <w:szCs w:val="20"/>
              </w:rPr>
              <w:t> </w:t>
            </w:r>
            <w:r w:rsidR="001844B6" w:rsidRPr="00650545">
              <w:rPr>
                <w:b w:val="0"/>
                <w:noProof/>
                <w:color w:val="auto"/>
                <w:sz w:val="20"/>
                <w:szCs w:val="20"/>
              </w:rPr>
              <w:t> </w:t>
            </w:r>
            <w:r w:rsidR="001844B6" w:rsidRPr="00650545">
              <w:rPr>
                <w:b w:val="0"/>
                <w:noProof/>
                <w:color w:val="auto"/>
                <w:sz w:val="20"/>
                <w:szCs w:val="20"/>
              </w:rPr>
              <w:t> </w:t>
            </w:r>
            <w:r w:rsidRPr="00650545">
              <w:rPr>
                <w:b w:val="0"/>
                <w:color w:val="auto"/>
                <w:sz w:val="20"/>
                <w:szCs w:val="20"/>
              </w:rPr>
              <w:fldChar w:fldCharType="end"/>
            </w:r>
            <w:r w:rsidR="005A62D0">
              <w:rPr>
                <w:b w:val="0"/>
                <w:color w:val="auto"/>
                <w:sz w:val="20"/>
                <w:szCs w:val="20"/>
              </w:rPr>
              <w:t>1</w:t>
            </w:r>
          </w:p>
        </w:tc>
        <w:tc>
          <w:tcPr>
            <w:tcW w:w="2865" w:type="dxa"/>
            <w:tcBorders>
              <w:top w:val="single" w:sz="6" w:space="0" w:color="auto"/>
              <w:bottom w:val="single" w:sz="6" w:space="0" w:color="auto"/>
              <w:right w:val="single" w:sz="12" w:space="0" w:color="auto"/>
            </w:tcBorders>
            <w:shd w:val="clear" w:color="auto" w:fill="auto"/>
            <w:vAlign w:val="center"/>
          </w:tcPr>
          <w:p w:rsidR="001844B6" w:rsidRPr="00650545" w:rsidRDefault="00D65CF1" w:rsidP="008D115F">
            <w:pPr>
              <w:pStyle w:val="POAACostsLow"/>
              <w:rPr>
                <w:b w:val="0"/>
                <w:color w:val="auto"/>
                <w:sz w:val="20"/>
              </w:rPr>
            </w:pPr>
            <w:r w:rsidRPr="00650545">
              <w:rPr>
                <w:b w:val="0"/>
                <w:color w:val="auto"/>
                <w:sz w:val="20"/>
              </w:rPr>
              <w:fldChar w:fldCharType="begin">
                <w:ffData>
                  <w:name w:val="Text49"/>
                  <w:enabled/>
                  <w:calcOnExit w:val="0"/>
                  <w:textInput>
                    <w:default w:val="Optional"/>
                    <w:maxLength w:val="14"/>
                  </w:textInput>
                </w:ffData>
              </w:fldChar>
            </w:r>
            <w:r w:rsidR="001844B6" w:rsidRPr="00650545">
              <w:rPr>
                <w:b w:val="0"/>
                <w:color w:val="auto"/>
                <w:sz w:val="20"/>
              </w:rPr>
              <w:instrText xml:space="preserve"> FORMTEXT </w:instrText>
            </w:r>
            <w:r w:rsidRPr="00650545">
              <w:rPr>
                <w:b w:val="0"/>
                <w:color w:val="auto"/>
                <w:sz w:val="20"/>
              </w:rPr>
            </w:r>
            <w:r w:rsidRPr="00650545">
              <w:rPr>
                <w:b w:val="0"/>
                <w:color w:val="auto"/>
                <w:sz w:val="20"/>
              </w:rPr>
              <w:fldChar w:fldCharType="separate"/>
            </w:r>
            <w:r w:rsidR="008D115F" w:rsidRPr="00650545">
              <w:rPr>
                <w:b w:val="0"/>
                <w:color w:val="auto"/>
                <w:sz w:val="20"/>
              </w:rPr>
              <w:t>Optional</w:t>
            </w:r>
            <w:r w:rsidRPr="00650545">
              <w:rPr>
                <w:b w:val="0"/>
                <w:color w:val="auto"/>
                <w:sz w:val="20"/>
              </w:rPr>
              <w:fldChar w:fldCharType="end"/>
            </w:r>
          </w:p>
        </w:tc>
        <w:tc>
          <w:tcPr>
            <w:tcW w:w="2636" w:type="dxa"/>
            <w:gridSpan w:val="2"/>
            <w:tcBorders>
              <w:top w:val="single" w:sz="6" w:space="0" w:color="auto"/>
              <w:left w:val="single" w:sz="12" w:space="0" w:color="auto"/>
              <w:bottom w:val="single" w:sz="6" w:space="0" w:color="auto"/>
            </w:tcBorders>
            <w:shd w:val="clear" w:color="auto" w:fill="auto"/>
            <w:vAlign w:val="center"/>
          </w:tcPr>
          <w:p w:rsidR="001844B6" w:rsidRPr="00650545" w:rsidRDefault="00D65CF1" w:rsidP="008D115F">
            <w:pPr>
              <w:pStyle w:val="POTCCostsLow"/>
              <w:rPr>
                <w:b/>
                <w:color w:val="auto"/>
                <w:sz w:val="20"/>
              </w:rPr>
            </w:pPr>
            <w:r w:rsidRPr="00650545">
              <w:rPr>
                <w:b/>
                <w:color w:val="auto"/>
                <w:sz w:val="20"/>
              </w:rPr>
              <w:fldChar w:fldCharType="begin">
                <w:ffData>
                  <w:name w:val="Text52"/>
                  <w:enabled/>
                  <w:calcOnExit w:val="0"/>
                  <w:textInput>
                    <w:default w:val="Optional"/>
                    <w:maxLength w:val="14"/>
                  </w:textInput>
                </w:ffData>
              </w:fldChar>
            </w:r>
            <w:r w:rsidR="001844B6" w:rsidRPr="00650545">
              <w:rPr>
                <w:b/>
                <w:color w:val="auto"/>
                <w:sz w:val="20"/>
              </w:rPr>
              <w:instrText xml:space="preserve"> FORMTEXT </w:instrText>
            </w:r>
            <w:r w:rsidRPr="00650545">
              <w:rPr>
                <w:b/>
                <w:color w:val="auto"/>
                <w:sz w:val="20"/>
              </w:rPr>
            </w:r>
            <w:r w:rsidRPr="00650545">
              <w:rPr>
                <w:b/>
                <w:color w:val="auto"/>
                <w:sz w:val="20"/>
              </w:rPr>
              <w:fldChar w:fldCharType="separate"/>
            </w:r>
            <w:r w:rsidR="008D115F" w:rsidRPr="00650545">
              <w:rPr>
                <w:b/>
                <w:color w:val="auto"/>
                <w:sz w:val="20"/>
              </w:rPr>
              <w:t>Optional</w:t>
            </w:r>
            <w:r w:rsidRPr="00650545">
              <w:rPr>
                <w:b/>
                <w:color w:val="auto"/>
                <w:sz w:val="20"/>
              </w:rPr>
              <w:fldChar w:fldCharType="end"/>
            </w:r>
          </w:p>
        </w:tc>
      </w:tr>
      <w:tr w:rsidR="001844B6" w:rsidRPr="00092C07" w:rsidTr="00092C07">
        <w:trPr>
          <w:trHeight w:hRule="exact" w:val="348"/>
        </w:trPr>
        <w:tc>
          <w:tcPr>
            <w:tcW w:w="1995" w:type="dxa"/>
            <w:tcBorders>
              <w:top w:val="single" w:sz="6" w:space="0" w:color="auto"/>
              <w:bottom w:val="single" w:sz="12" w:space="0" w:color="auto"/>
            </w:tcBorders>
            <w:shd w:val="clear" w:color="auto" w:fill="auto"/>
            <w:vAlign w:val="center"/>
          </w:tcPr>
          <w:p w:rsidR="001844B6" w:rsidRPr="00F63895" w:rsidRDefault="001844B6" w:rsidP="005A3880">
            <w:pPr>
              <w:pStyle w:val="IATableLabel"/>
            </w:pPr>
            <w:r w:rsidRPr="00F63895">
              <w:t xml:space="preserve">High </w:t>
            </w:r>
          </w:p>
        </w:tc>
        <w:tc>
          <w:tcPr>
            <w:tcW w:w="1949" w:type="dxa"/>
            <w:tcBorders>
              <w:top w:val="single" w:sz="6" w:space="0" w:color="auto"/>
              <w:bottom w:val="single" w:sz="12" w:space="0" w:color="auto"/>
            </w:tcBorders>
            <w:shd w:val="clear" w:color="auto" w:fill="auto"/>
            <w:vAlign w:val="center"/>
          </w:tcPr>
          <w:p w:rsidR="001844B6" w:rsidRPr="00650545" w:rsidRDefault="00D65CF1" w:rsidP="008D115F">
            <w:pPr>
              <w:pStyle w:val="POTTCostsHigh"/>
              <w:rPr>
                <w:b w:val="0"/>
                <w:color w:val="auto"/>
                <w:sz w:val="20"/>
              </w:rPr>
            </w:pPr>
            <w:r w:rsidRPr="00650545">
              <w:rPr>
                <w:b w:val="0"/>
                <w:color w:val="auto"/>
                <w:sz w:val="20"/>
              </w:rPr>
              <w:fldChar w:fldCharType="begin">
                <w:ffData>
                  <w:name w:val="Text46"/>
                  <w:enabled/>
                  <w:calcOnExit w:val="0"/>
                  <w:textInput>
                    <w:default w:val="Optional"/>
                    <w:maxLength w:val="14"/>
                  </w:textInput>
                </w:ffData>
              </w:fldChar>
            </w:r>
            <w:r w:rsidR="001844B6" w:rsidRPr="00650545">
              <w:rPr>
                <w:b w:val="0"/>
                <w:color w:val="auto"/>
                <w:sz w:val="20"/>
              </w:rPr>
              <w:instrText xml:space="preserve"> FORMTEXT </w:instrText>
            </w:r>
            <w:r w:rsidRPr="00650545">
              <w:rPr>
                <w:b w:val="0"/>
                <w:color w:val="auto"/>
                <w:sz w:val="20"/>
              </w:rPr>
            </w:r>
            <w:r w:rsidRPr="00650545">
              <w:rPr>
                <w:b w:val="0"/>
                <w:color w:val="auto"/>
                <w:sz w:val="20"/>
              </w:rPr>
              <w:fldChar w:fldCharType="separate"/>
            </w:r>
            <w:r w:rsidR="008D115F" w:rsidRPr="00650545">
              <w:rPr>
                <w:b w:val="0"/>
                <w:color w:val="auto"/>
                <w:sz w:val="20"/>
              </w:rPr>
              <w:t>Optional</w:t>
            </w:r>
            <w:r w:rsidRPr="00650545">
              <w:rPr>
                <w:b w:val="0"/>
                <w:color w:val="auto"/>
                <w:sz w:val="20"/>
              </w:rPr>
              <w:fldChar w:fldCharType="end"/>
            </w:r>
          </w:p>
        </w:tc>
        <w:tc>
          <w:tcPr>
            <w:tcW w:w="790" w:type="dxa"/>
            <w:vMerge/>
            <w:shd w:val="clear" w:color="auto" w:fill="FFFFFF"/>
            <w:vAlign w:val="center"/>
          </w:tcPr>
          <w:p w:rsidR="001844B6" w:rsidRPr="00650545" w:rsidRDefault="001844B6" w:rsidP="00092C07">
            <w:pPr>
              <w:pStyle w:val="IATableText"/>
              <w:jc w:val="right"/>
              <w:rPr>
                <w:b w:val="0"/>
                <w:color w:val="auto"/>
                <w:sz w:val="20"/>
              </w:rPr>
            </w:pPr>
          </w:p>
        </w:tc>
        <w:tc>
          <w:tcPr>
            <w:tcW w:w="2865" w:type="dxa"/>
            <w:tcBorders>
              <w:top w:val="single" w:sz="6" w:space="0" w:color="auto"/>
              <w:bottom w:val="single" w:sz="12" w:space="0" w:color="auto"/>
              <w:right w:val="single" w:sz="12" w:space="0" w:color="auto"/>
            </w:tcBorders>
            <w:shd w:val="clear" w:color="auto" w:fill="auto"/>
            <w:vAlign w:val="center"/>
          </w:tcPr>
          <w:p w:rsidR="001844B6" w:rsidRPr="00650545" w:rsidRDefault="00D65CF1" w:rsidP="008D115F">
            <w:pPr>
              <w:pStyle w:val="POAACostsHigh"/>
              <w:rPr>
                <w:b w:val="0"/>
                <w:color w:val="auto"/>
                <w:sz w:val="20"/>
              </w:rPr>
            </w:pPr>
            <w:r w:rsidRPr="00650545">
              <w:rPr>
                <w:b w:val="0"/>
                <w:color w:val="auto"/>
                <w:sz w:val="20"/>
              </w:rPr>
              <w:fldChar w:fldCharType="begin">
                <w:ffData>
                  <w:name w:val="Text50"/>
                  <w:enabled/>
                  <w:calcOnExit w:val="0"/>
                  <w:textInput>
                    <w:default w:val="Optional"/>
                    <w:maxLength w:val="14"/>
                  </w:textInput>
                </w:ffData>
              </w:fldChar>
            </w:r>
            <w:r w:rsidR="001844B6" w:rsidRPr="00650545">
              <w:rPr>
                <w:b w:val="0"/>
                <w:color w:val="auto"/>
                <w:sz w:val="20"/>
              </w:rPr>
              <w:instrText xml:space="preserve"> FORMTEXT </w:instrText>
            </w:r>
            <w:r w:rsidRPr="00650545">
              <w:rPr>
                <w:b w:val="0"/>
                <w:color w:val="auto"/>
                <w:sz w:val="20"/>
              </w:rPr>
            </w:r>
            <w:r w:rsidRPr="00650545">
              <w:rPr>
                <w:b w:val="0"/>
                <w:color w:val="auto"/>
                <w:sz w:val="20"/>
              </w:rPr>
              <w:fldChar w:fldCharType="separate"/>
            </w:r>
            <w:r w:rsidR="008D115F" w:rsidRPr="00650545">
              <w:rPr>
                <w:b w:val="0"/>
                <w:color w:val="auto"/>
                <w:sz w:val="20"/>
              </w:rPr>
              <w:t>Optional</w:t>
            </w:r>
            <w:r w:rsidRPr="00650545">
              <w:rPr>
                <w:b w:val="0"/>
                <w:color w:val="auto"/>
                <w:sz w:val="20"/>
              </w:rPr>
              <w:fldChar w:fldCharType="end"/>
            </w:r>
          </w:p>
        </w:tc>
        <w:tc>
          <w:tcPr>
            <w:tcW w:w="2636" w:type="dxa"/>
            <w:gridSpan w:val="2"/>
            <w:tcBorders>
              <w:top w:val="single" w:sz="6" w:space="0" w:color="auto"/>
              <w:left w:val="single" w:sz="12" w:space="0" w:color="auto"/>
              <w:bottom w:val="single" w:sz="12" w:space="0" w:color="auto"/>
            </w:tcBorders>
            <w:shd w:val="clear" w:color="auto" w:fill="auto"/>
            <w:vAlign w:val="center"/>
          </w:tcPr>
          <w:p w:rsidR="001844B6" w:rsidRPr="00650545" w:rsidRDefault="00D65CF1" w:rsidP="008D115F">
            <w:pPr>
              <w:pStyle w:val="POTCCostsHigh"/>
              <w:rPr>
                <w:b/>
                <w:color w:val="auto"/>
                <w:sz w:val="20"/>
              </w:rPr>
            </w:pPr>
            <w:r w:rsidRPr="00650545">
              <w:rPr>
                <w:b/>
                <w:color w:val="auto"/>
                <w:sz w:val="20"/>
              </w:rPr>
              <w:fldChar w:fldCharType="begin">
                <w:ffData>
                  <w:name w:val="Text53"/>
                  <w:enabled/>
                  <w:calcOnExit w:val="0"/>
                  <w:textInput>
                    <w:default w:val="Optional"/>
                    <w:maxLength w:val="14"/>
                  </w:textInput>
                </w:ffData>
              </w:fldChar>
            </w:r>
            <w:r w:rsidR="001844B6" w:rsidRPr="00650545">
              <w:rPr>
                <w:b/>
                <w:color w:val="auto"/>
                <w:sz w:val="20"/>
              </w:rPr>
              <w:instrText xml:space="preserve"> FORMTEXT </w:instrText>
            </w:r>
            <w:r w:rsidRPr="00650545">
              <w:rPr>
                <w:b/>
                <w:color w:val="auto"/>
                <w:sz w:val="20"/>
              </w:rPr>
            </w:r>
            <w:r w:rsidRPr="00650545">
              <w:rPr>
                <w:b/>
                <w:color w:val="auto"/>
                <w:sz w:val="20"/>
              </w:rPr>
              <w:fldChar w:fldCharType="separate"/>
            </w:r>
            <w:r w:rsidR="008D115F" w:rsidRPr="00650545">
              <w:rPr>
                <w:b/>
                <w:color w:val="auto"/>
                <w:sz w:val="20"/>
              </w:rPr>
              <w:t>Optional</w:t>
            </w:r>
            <w:r w:rsidRPr="00650545">
              <w:rPr>
                <w:b/>
                <w:color w:val="auto"/>
                <w:sz w:val="20"/>
              </w:rPr>
              <w:fldChar w:fldCharType="end"/>
            </w:r>
          </w:p>
        </w:tc>
      </w:tr>
      <w:tr w:rsidR="001844B6" w:rsidRPr="00092C07" w:rsidTr="00092C07">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rsidR="001844B6" w:rsidRPr="00F63895" w:rsidRDefault="001844B6" w:rsidP="005A3880">
            <w:pPr>
              <w:pStyle w:val="IATableLabel"/>
            </w:pPr>
            <w:r w:rsidRPr="00F63895">
              <w:t>Best Estimate</w:t>
            </w:r>
          </w:p>
          <w:p w:rsidR="001844B6" w:rsidRPr="00092C07" w:rsidRDefault="001844B6" w:rsidP="00704A0C">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rsidR="001844B6" w:rsidRPr="00650545" w:rsidRDefault="00432AA0" w:rsidP="007B0459">
            <w:pPr>
              <w:pStyle w:val="POTTCostsBest"/>
              <w:rPr>
                <w:b w:val="0"/>
                <w:color w:val="auto"/>
                <w:sz w:val="20"/>
              </w:rPr>
            </w:pPr>
            <w:r>
              <w:rPr>
                <w:b w:val="0"/>
                <w:color w:val="auto"/>
                <w:sz w:val="20"/>
              </w:rPr>
              <w:t>0.</w:t>
            </w:r>
            <w:r w:rsidR="007B0459">
              <w:rPr>
                <w:b w:val="0"/>
                <w:color w:val="auto"/>
                <w:sz w:val="20"/>
              </w:rPr>
              <w:t>6</w:t>
            </w:r>
            <w:r w:rsidR="000F12AC">
              <w:rPr>
                <w:b w:val="0"/>
                <w:color w:val="auto"/>
                <w:sz w:val="20"/>
              </w:rPr>
              <w:t>0</w:t>
            </w:r>
          </w:p>
        </w:tc>
        <w:tc>
          <w:tcPr>
            <w:tcW w:w="790" w:type="dxa"/>
            <w:vMerge/>
            <w:tcBorders>
              <w:left w:val="single" w:sz="12" w:space="0" w:color="auto"/>
              <w:right w:val="single" w:sz="12" w:space="0" w:color="auto"/>
            </w:tcBorders>
            <w:shd w:val="clear" w:color="auto" w:fill="FFFFFF"/>
            <w:vAlign w:val="center"/>
          </w:tcPr>
          <w:p w:rsidR="001844B6" w:rsidRPr="00650545" w:rsidRDefault="001844B6" w:rsidP="00092C07">
            <w:pPr>
              <w:pStyle w:val="IATableText"/>
              <w:jc w:val="right"/>
              <w:rPr>
                <w:b w:val="0"/>
                <w:color w:val="auto"/>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rsidR="001844B6" w:rsidRPr="00650545" w:rsidRDefault="00432AA0" w:rsidP="000F12AC">
            <w:pPr>
              <w:pStyle w:val="POAACostsBest"/>
              <w:rPr>
                <w:b w:val="0"/>
                <w:color w:val="auto"/>
                <w:sz w:val="20"/>
              </w:rPr>
            </w:pPr>
            <w:r>
              <w:rPr>
                <w:b w:val="0"/>
                <w:color w:val="auto"/>
                <w:sz w:val="20"/>
              </w:rPr>
              <w:t>0.0</w:t>
            </w:r>
            <w:r w:rsidR="000F12AC">
              <w:rPr>
                <w:b w:val="0"/>
                <w:color w:val="auto"/>
                <w:sz w:val="20"/>
              </w:rPr>
              <w:t>0</w:t>
            </w:r>
          </w:p>
        </w:tc>
        <w:tc>
          <w:tcPr>
            <w:tcW w:w="2636" w:type="dxa"/>
            <w:gridSpan w:val="2"/>
            <w:tcBorders>
              <w:top w:val="single" w:sz="12" w:space="0" w:color="auto"/>
              <w:left w:val="single" w:sz="12" w:space="0" w:color="auto"/>
              <w:bottom w:val="single" w:sz="12" w:space="0" w:color="auto"/>
            </w:tcBorders>
            <w:shd w:val="clear" w:color="auto" w:fill="FFFFFF"/>
            <w:vAlign w:val="center"/>
          </w:tcPr>
          <w:p w:rsidR="001844B6" w:rsidRPr="00650545" w:rsidRDefault="000F12AC" w:rsidP="005A276B">
            <w:pPr>
              <w:pStyle w:val="POTCCostsBest"/>
              <w:rPr>
                <w:b/>
                <w:color w:val="auto"/>
                <w:sz w:val="20"/>
              </w:rPr>
            </w:pPr>
            <w:r>
              <w:rPr>
                <w:b/>
                <w:color w:val="auto"/>
                <w:sz w:val="20"/>
              </w:rPr>
              <w:t>0.60</w:t>
            </w:r>
          </w:p>
        </w:tc>
      </w:tr>
      <w:tr w:rsidR="001844B6" w:rsidRPr="00826F71" w:rsidTr="00092C07">
        <w:trPr>
          <w:trHeight w:hRule="exact" w:val="1701"/>
        </w:trPr>
        <w:tc>
          <w:tcPr>
            <w:tcW w:w="10235" w:type="dxa"/>
            <w:gridSpan w:val="6"/>
            <w:tcBorders>
              <w:bottom w:val="single" w:sz="6" w:space="0" w:color="auto"/>
            </w:tcBorders>
            <w:shd w:val="clear" w:color="auto" w:fill="auto"/>
          </w:tcPr>
          <w:p w:rsidR="001844B6" w:rsidRPr="00092C07" w:rsidRDefault="001844B6" w:rsidP="005A3880">
            <w:pPr>
              <w:pStyle w:val="IAPOQ1"/>
              <w:rPr>
                <w:szCs w:val="22"/>
              </w:rPr>
            </w:pPr>
            <w:r w:rsidRPr="00544292">
              <w:t xml:space="preserve">Description and scale of </w:t>
            </w:r>
            <w:r w:rsidRPr="00826F71">
              <w:t>key monetised costs</w:t>
            </w:r>
            <w:r w:rsidRPr="00544292">
              <w:t xml:space="preserve"> by ‘main affected groups’ </w:t>
            </w:r>
          </w:p>
          <w:p w:rsidR="001844B6" w:rsidRPr="00AD261B" w:rsidRDefault="005A62D0" w:rsidP="00E95BCC">
            <w:pPr>
              <w:pStyle w:val="IAPOA1"/>
              <w:jc w:val="both"/>
              <w:rPr>
                <w:b w:val="0"/>
                <w:color w:val="auto"/>
                <w:sz w:val="20"/>
              </w:rPr>
            </w:pPr>
            <w:r w:rsidRPr="00AD261B">
              <w:rPr>
                <w:b w:val="0"/>
                <w:color w:val="auto"/>
                <w:sz w:val="20"/>
              </w:rPr>
              <w:t xml:space="preserve">Industry familiarisation costs – cost of responsible </w:t>
            </w:r>
            <w:r w:rsidR="00872DA0">
              <w:rPr>
                <w:b w:val="0"/>
                <w:color w:val="auto"/>
                <w:sz w:val="20"/>
              </w:rPr>
              <w:t xml:space="preserve">staff </w:t>
            </w:r>
            <w:r w:rsidRPr="00AD261B">
              <w:rPr>
                <w:b w:val="0"/>
                <w:color w:val="auto"/>
                <w:sz w:val="20"/>
              </w:rPr>
              <w:t>time</w:t>
            </w:r>
            <w:r w:rsidR="00872DA0">
              <w:rPr>
                <w:b w:val="0"/>
                <w:color w:val="auto"/>
                <w:sz w:val="20"/>
              </w:rPr>
              <w:t xml:space="preserve"> (including non-wage overheads)</w:t>
            </w:r>
            <w:r w:rsidRPr="00AD261B">
              <w:rPr>
                <w:b w:val="0"/>
                <w:color w:val="auto"/>
                <w:sz w:val="20"/>
              </w:rPr>
              <w:t xml:space="preserve"> to become familiar with regulation and disseminate to colleagues (all assumed to occur in 2014): £</w:t>
            </w:r>
            <w:r w:rsidR="000F12AC">
              <w:rPr>
                <w:b w:val="0"/>
                <w:color w:val="auto"/>
                <w:sz w:val="20"/>
              </w:rPr>
              <w:t>574.2</w:t>
            </w:r>
            <w:r w:rsidR="00043F23">
              <w:rPr>
                <w:b w:val="0"/>
                <w:color w:val="auto"/>
                <w:sz w:val="20"/>
              </w:rPr>
              <w:t>k</w:t>
            </w:r>
            <w:r w:rsidRPr="00AD261B">
              <w:rPr>
                <w:b w:val="0"/>
                <w:color w:val="auto"/>
                <w:sz w:val="20"/>
              </w:rPr>
              <w:t xml:space="preserve"> (producers</w:t>
            </w:r>
            <w:r w:rsidR="00E95BCC">
              <w:rPr>
                <w:b w:val="0"/>
                <w:color w:val="auto"/>
                <w:sz w:val="20"/>
              </w:rPr>
              <w:t xml:space="preserve"> (aquaculture and fishers</w:t>
            </w:r>
            <w:r w:rsidR="000F12AC">
              <w:rPr>
                <w:b w:val="0"/>
                <w:color w:val="auto"/>
                <w:sz w:val="20"/>
              </w:rPr>
              <w:t xml:space="preserve"> and </w:t>
            </w:r>
            <w:r w:rsidR="00686805">
              <w:rPr>
                <w:b w:val="0"/>
                <w:color w:val="auto"/>
                <w:sz w:val="20"/>
              </w:rPr>
              <w:t>Producer Organisations (</w:t>
            </w:r>
            <w:r w:rsidRPr="00AD261B">
              <w:rPr>
                <w:b w:val="0"/>
                <w:color w:val="auto"/>
                <w:sz w:val="20"/>
              </w:rPr>
              <w:t>POs</w:t>
            </w:r>
            <w:r w:rsidR="00686805">
              <w:rPr>
                <w:b w:val="0"/>
                <w:color w:val="auto"/>
                <w:sz w:val="20"/>
              </w:rPr>
              <w:t>)</w:t>
            </w:r>
            <w:r w:rsidR="000F12AC">
              <w:rPr>
                <w:b w:val="0"/>
                <w:color w:val="auto"/>
                <w:sz w:val="20"/>
              </w:rPr>
              <w:t>)</w:t>
            </w:r>
            <w:r w:rsidRPr="00AD261B">
              <w:rPr>
                <w:b w:val="0"/>
                <w:color w:val="auto"/>
                <w:sz w:val="20"/>
              </w:rPr>
              <w:t xml:space="preserve"> £</w:t>
            </w:r>
            <w:r w:rsidR="000F12AC">
              <w:rPr>
                <w:b w:val="0"/>
                <w:color w:val="auto"/>
                <w:sz w:val="20"/>
              </w:rPr>
              <w:t>43.0k</w:t>
            </w:r>
            <w:r w:rsidRPr="00AD261B">
              <w:rPr>
                <w:b w:val="0"/>
                <w:color w:val="auto"/>
                <w:sz w:val="20"/>
              </w:rPr>
              <w:t>; processors £</w:t>
            </w:r>
            <w:r w:rsidR="000F12AC">
              <w:rPr>
                <w:b w:val="0"/>
                <w:color w:val="auto"/>
                <w:sz w:val="20"/>
              </w:rPr>
              <w:t>2.7</w:t>
            </w:r>
            <w:r w:rsidRPr="00AD261B">
              <w:rPr>
                <w:b w:val="0"/>
                <w:color w:val="auto"/>
                <w:sz w:val="20"/>
              </w:rPr>
              <w:t>k; wholesalers £</w:t>
            </w:r>
            <w:r w:rsidR="000F12AC">
              <w:rPr>
                <w:b w:val="0"/>
                <w:color w:val="auto"/>
                <w:sz w:val="20"/>
              </w:rPr>
              <w:t>14.8</w:t>
            </w:r>
            <w:r w:rsidRPr="00AD261B">
              <w:rPr>
                <w:b w:val="0"/>
                <w:color w:val="auto"/>
                <w:sz w:val="20"/>
              </w:rPr>
              <w:t>k; retailers £</w:t>
            </w:r>
            <w:r w:rsidR="000F12AC">
              <w:rPr>
                <w:b w:val="0"/>
                <w:color w:val="auto"/>
                <w:sz w:val="20"/>
              </w:rPr>
              <w:t>513.7</w:t>
            </w:r>
            <w:r w:rsidRPr="00AD261B">
              <w:rPr>
                <w:b w:val="0"/>
                <w:color w:val="auto"/>
                <w:sz w:val="20"/>
              </w:rPr>
              <w:t>k).</w:t>
            </w:r>
          </w:p>
          <w:p w:rsidR="00AD261B" w:rsidRPr="00432AA0" w:rsidRDefault="00F17DBB" w:rsidP="000F12AC">
            <w:pPr>
              <w:pStyle w:val="IAPOA1"/>
              <w:jc w:val="both"/>
              <w:rPr>
                <w:b w:val="0"/>
                <w:color w:val="auto"/>
                <w:sz w:val="20"/>
              </w:rPr>
            </w:pPr>
            <w:r>
              <w:rPr>
                <w:b w:val="0"/>
                <w:color w:val="auto"/>
                <w:sz w:val="20"/>
              </w:rPr>
              <w:t xml:space="preserve">Government costs - </w:t>
            </w:r>
            <w:r w:rsidR="00AD261B">
              <w:rPr>
                <w:b w:val="0"/>
                <w:color w:val="auto"/>
                <w:sz w:val="20"/>
              </w:rPr>
              <w:t>M</w:t>
            </w:r>
            <w:r w:rsidR="00872DA0">
              <w:rPr>
                <w:b w:val="0"/>
                <w:color w:val="auto"/>
                <w:sz w:val="20"/>
              </w:rPr>
              <w:t>arine Management Organisation (MMO)</w:t>
            </w:r>
            <w:r w:rsidR="00AD261B">
              <w:rPr>
                <w:b w:val="0"/>
                <w:color w:val="auto"/>
                <w:sz w:val="20"/>
              </w:rPr>
              <w:t xml:space="preserve"> and </w:t>
            </w:r>
            <w:r w:rsidR="000F12AC">
              <w:rPr>
                <w:b w:val="0"/>
                <w:color w:val="auto"/>
                <w:sz w:val="20"/>
              </w:rPr>
              <w:t>Welsh Government</w:t>
            </w:r>
            <w:r w:rsidR="002627D7">
              <w:rPr>
                <w:b w:val="0"/>
                <w:color w:val="auto"/>
                <w:sz w:val="20"/>
              </w:rPr>
              <w:t xml:space="preserve"> (WG)</w:t>
            </w:r>
            <w:r w:rsidR="000F12AC">
              <w:rPr>
                <w:b w:val="0"/>
                <w:color w:val="auto"/>
                <w:sz w:val="20"/>
              </w:rPr>
              <w:t xml:space="preserve"> advice and familiarisation costs (all assumed to occur in 2014) £3.5k; Local Authority (Trading Standards</w:t>
            </w:r>
            <w:r w:rsidR="002627D7">
              <w:rPr>
                <w:b w:val="0"/>
                <w:color w:val="auto"/>
                <w:sz w:val="20"/>
              </w:rPr>
              <w:t xml:space="preserve"> (TS)</w:t>
            </w:r>
            <w:r w:rsidR="000F12AC">
              <w:rPr>
                <w:b w:val="0"/>
                <w:color w:val="auto"/>
                <w:sz w:val="20"/>
              </w:rPr>
              <w:t>) familiarisation costs £24.9k.</w:t>
            </w:r>
          </w:p>
        </w:tc>
      </w:tr>
      <w:tr w:rsidR="001844B6" w:rsidRPr="00826F71" w:rsidTr="003F2789">
        <w:trPr>
          <w:trHeight w:hRule="exact" w:val="1843"/>
        </w:trPr>
        <w:tc>
          <w:tcPr>
            <w:tcW w:w="10235" w:type="dxa"/>
            <w:gridSpan w:val="6"/>
            <w:tcBorders>
              <w:top w:val="single" w:sz="6" w:space="0" w:color="auto"/>
              <w:bottom w:val="single" w:sz="12" w:space="0" w:color="auto"/>
            </w:tcBorders>
            <w:shd w:val="clear" w:color="auto" w:fill="auto"/>
          </w:tcPr>
          <w:p w:rsidR="001844B6" w:rsidRPr="00092C07" w:rsidRDefault="001844B6" w:rsidP="005A3880">
            <w:pPr>
              <w:pStyle w:val="IAPOQ2"/>
              <w:rPr>
                <w:szCs w:val="22"/>
              </w:rPr>
            </w:pPr>
            <w:r w:rsidRPr="00544292">
              <w:t>Other</w:t>
            </w:r>
            <w:r w:rsidRPr="00826F71">
              <w:t xml:space="preserve"> key non-monetised costs</w:t>
            </w:r>
            <w:r w:rsidRPr="00544292">
              <w:t xml:space="preserve"> by ‘main affected groups’ </w:t>
            </w:r>
          </w:p>
          <w:p w:rsidR="002627D7" w:rsidRDefault="00C67B5C" w:rsidP="002627D7">
            <w:pPr>
              <w:pStyle w:val="IAPOA2"/>
              <w:jc w:val="both"/>
              <w:rPr>
                <w:b w:val="0"/>
                <w:color w:val="auto"/>
                <w:sz w:val="20"/>
                <w:szCs w:val="22"/>
              </w:rPr>
            </w:pPr>
            <w:r>
              <w:rPr>
                <w:b w:val="0"/>
                <w:color w:val="auto"/>
                <w:sz w:val="20"/>
                <w:szCs w:val="22"/>
              </w:rPr>
              <w:t>It is assumed that the</w:t>
            </w:r>
            <w:r w:rsidR="009B2254" w:rsidRPr="002044A1">
              <w:rPr>
                <w:b w:val="0"/>
                <w:color w:val="auto"/>
                <w:sz w:val="20"/>
                <w:szCs w:val="22"/>
              </w:rPr>
              <w:t>r</w:t>
            </w:r>
            <w:r>
              <w:rPr>
                <w:b w:val="0"/>
                <w:color w:val="auto"/>
                <w:sz w:val="20"/>
                <w:szCs w:val="22"/>
              </w:rPr>
              <w:t>e</w:t>
            </w:r>
            <w:r w:rsidR="009B2254" w:rsidRPr="002044A1">
              <w:rPr>
                <w:b w:val="0"/>
                <w:color w:val="auto"/>
                <w:sz w:val="20"/>
                <w:szCs w:val="22"/>
              </w:rPr>
              <w:t xml:space="preserve"> a</w:t>
            </w:r>
            <w:r>
              <w:rPr>
                <w:b w:val="0"/>
                <w:color w:val="auto"/>
                <w:sz w:val="20"/>
                <w:szCs w:val="22"/>
              </w:rPr>
              <w:t>re</w:t>
            </w:r>
            <w:r w:rsidR="009B2254" w:rsidRPr="002044A1">
              <w:rPr>
                <w:b w:val="0"/>
                <w:color w:val="auto"/>
                <w:sz w:val="20"/>
                <w:szCs w:val="22"/>
              </w:rPr>
              <w:t xml:space="preserve"> no material costs to businesses </w:t>
            </w:r>
            <w:r w:rsidR="00442EA0">
              <w:rPr>
                <w:b w:val="0"/>
                <w:color w:val="auto"/>
                <w:sz w:val="20"/>
                <w:szCs w:val="22"/>
              </w:rPr>
              <w:t>above baseline costs</w:t>
            </w:r>
            <w:r w:rsidR="00442EA0" w:rsidRPr="002044A1">
              <w:rPr>
                <w:b w:val="0"/>
                <w:color w:val="auto"/>
                <w:sz w:val="20"/>
                <w:szCs w:val="22"/>
              </w:rPr>
              <w:t xml:space="preserve"> </w:t>
            </w:r>
            <w:r w:rsidR="009B2254" w:rsidRPr="002044A1">
              <w:rPr>
                <w:b w:val="0"/>
                <w:color w:val="auto"/>
                <w:sz w:val="20"/>
                <w:szCs w:val="22"/>
              </w:rPr>
              <w:t>to accommodate the minor labelling changes</w:t>
            </w:r>
            <w:r w:rsidR="002627D7">
              <w:rPr>
                <w:b w:val="0"/>
                <w:color w:val="auto"/>
                <w:sz w:val="20"/>
                <w:szCs w:val="22"/>
              </w:rPr>
              <w:t xml:space="preserve"> </w:t>
            </w:r>
            <w:r w:rsidR="009B2254" w:rsidRPr="002044A1">
              <w:rPr>
                <w:b w:val="0"/>
                <w:color w:val="auto"/>
                <w:sz w:val="20"/>
                <w:szCs w:val="22"/>
              </w:rPr>
              <w:t>as larger businesses are expected to incorporate the changes into their curr</w:t>
            </w:r>
            <w:r w:rsidR="007C0A8F">
              <w:rPr>
                <w:b w:val="0"/>
                <w:color w:val="auto"/>
                <w:sz w:val="20"/>
                <w:szCs w:val="22"/>
              </w:rPr>
              <w:t>ent labelling cycles and non-prepacked</w:t>
            </w:r>
            <w:r w:rsidR="00442EA0">
              <w:rPr>
                <w:b w:val="0"/>
                <w:color w:val="auto"/>
                <w:sz w:val="20"/>
                <w:szCs w:val="22"/>
              </w:rPr>
              <w:t xml:space="preserve"> (loose sold)</w:t>
            </w:r>
            <w:r w:rsidR="007C0A8F">
              <w:rPr>
                <w:b w:val="0"/>
                <w:color w:val="auto"/>
                <w:sz w:val="20"/>
                <w:szCs w:val="22"/>
              </w:rPr>
              <w:t xml:space="preserve"> seafood</w:t>
            </w:r>
            <w:r w:rsidR="009B2254" w:rsidRPr="002044A1">
              <w:rPr>
                <w:b w:val="0"/>
                <w:color w:val="auto"/>
                <w:sz w:val="20"/>
                <w:szCs w:val="22"/>
              </w:rPr>
              <w:t xml:space="preserve"> businesses will use poster and billboards to display the additional mandatory information</w:t>
            </w:r>
            <w:r w:rsidR="00872DA0" w:rsidRPr="002044A1">
              <w:rPr>
                <w:b w:val="0"/>
                <w:color w:val="auto"/>
                <w:sz w:val="20"/>
                <w:szCs w:val="22"/>
              </w:rPr>
              <w:t xml:space="preserve"> at minimal cost</w:t>
            </w:r>
            <w:r w:rsidR="002044A1">
              <w:rPr>
                <w:b w:val="0"/>
                <w:color w:val="auto"/>
                <w:sz w:val="20"/>
                <w:szCs w:val="22"/>
              </w:rPr>
              <w:t xml:space="preserve"> (costs of amending posters have not been monetised)</w:t>
            </w:r>
            <w:r w:rsidR="009B2254" w:rsidRPr="002044A1">
              <w:rPr>
                <w:b w:val="0"/>
                <w:color w:val="auto"/>
                <w:sz w:val="20"/>
                <w:szCs w:val="22"/>
              </w:rPr>
              <w:t xml:space="preserve">. </w:t>
            </w:r>
          </w:p>
          <w:p w:rsidR="009B2254" w:rsidRPr="00650545" w:rsidRDefault="002627D7" w:rsidP="002627D7">
            <w:pPr>
              <w:pStyle w:val="IAPOA2"/>
              <w:jc w:val="both"/>
              <w:rPr>
                <w:b w:val="0"/>
                <w:color w:val="auto"/>
                <w:szCs w:val="22"/>
              </w:rPr>
            </w:pPr>
            <w:r>
              <w:rPr>
                <w:b w:val="0"/>
                <w:color w:val="auto"/>
                <w:sz w:val="20"/>
                <w:szCs w:val="22"/>
              </w:rPr>
              <w:t>I</w:t>
            </w:r>
            <w:r w:rsidR="00E95BCC">
              <w:rPr>
                <w:b w:val="0"/>
                <w:color w:val="auto"/>
                <w:sz w:val="20"/>
                <w:szCs w:val="22"/>
              </w:rPr>
              <w:t>t</w:t>
            </w:r>
            <w:r>
              <w:rPr>
                <w:b w:val="0"/>
                <w:color w:val="auto"/>
                <w:sz w:val="20"/>
                <w:szCs w:val="22"/>
              </w:rPr>
              <w:t xml:space="preserve"> assumed that MMO, WG and TS</w:t>
            </w:r>
            <w:r w:rsidR="009B2254" w:rsidRPr="002044A1">
              <w:rPr>
                <w:b w:val="0"/>
                <w:color w:val="auto"/>
                <w:sz w:val="20"/>
                <w:szCs w:val="22"/>
              </w:rPr>
              <w:t xml:space="preserve"> will be able to enforce the labelling changes</w:t>
            </w:r>
            <w:r w:rsidR="00837689">
              <w:rPr>
                <w:b w:val="0"/>
                <w:color w:val="auto"/>
                <w:sz w:val="20"/>
                <w:szCs w:val="22"/>
              </w:rPr>
              <w:t xml:space="preserve"> and marketing standards</w:t>
            </w:r>
            <w:r w:rsidR="009B2254" w:rsidRPr="002044A1">
              <w:rPr>
                <w:b w:val="0"/>
                <w:color w:val="auto"/>
                <w:sz w:val="20"/>
                <w:szCs w:val="22"/>
              </w:rPr>
              <w:t xml:space="preserve"> under existing</w:t>
            </w:r>
            <w:r w:rsidR="00184794">
              <w:rPr>
                <w:b w:val="0"/>
                <w:color w:val="auto"/>
                <w:sz w:val="20"/>
                <w:szCs w:val="22"/>
              </w:rPr>
              <w:t xml:space="preserve"> or similar</w:t>
            </w:r>
            <w:r w:rsidR="009B2254" w:rsidRPr="002044A1">
              <w:rPr>
                <w:b w:val="0"/>
                <w:color w:val="auto"/>
                <w:sz w:val="20"/>
                <w:szCs w:val="22"/>
              </w:rPr>
              <w:t xml:space="preserve"> regimes at no extra costs. </w:t>
            </w:r>
            <w:r w:rsidR="00605FBD">
              <w:rPr>
                <w:b w:val="0"/>
                <w:color w:val="auto"/>
                <w:sz w:val="20"/>
                <w:szCs w:val="22"/>
              </w:rPr>
              <w:t>Costs to</w:t>
            </w:r>
            <w:r w:rsidR="006E1383" w:rsidRPr="002044A1">
              <w:rPr>
                <w:b w:val="0"/>
                <w:color w:val="auto"/>
                <w:sz w:val="20"/>
                <w:szCs w:val="22"/>
              </w:rPr>
              <w:t xml:space="preserve"> consumers</w:t>
            </w:r>
            <w:r w:rsidR="00E95BCC">
              <w:rPr>
                <w:b w:val="0"/>
                <w:color w:val="auto"/>
                <w:sz w:val="20"/>
                <w:szCs w:val="22"/>
              </w:rPr>
              <w:t xml:space="preserve"> (e.g. product price increases)</w:t>
            </w:r>
            <w:r w:rsidR="006E1383" w:rsidRPr="002044A1">
              <w:rPr>
                <w:b w:val="0"/>
                <w:color w:val="auto"/>
                <w:sz w:val="20"/>
                <w:szCs w:val="22"/>
              </w:rPr>
              <w:t xml:space="preserve"> are expected to be negligible.</w:t>
            </w:r>
          </w:p>
        </w:tc>
      </w:tr>
      <w:tr w:rsidR="001844B6" w:rsidRPr="00092C07" w:rsidTr="00092C07">
        <w:trPr>
          <w:trHeight w:hRule="exact" w:val="567"/>
        </w:trPr>
        <w:tc>
          <w:tcPr>
            <w:tcW w:w="1995" w:type="dxa"/>
            <w:shd w:val="clear" w:color="auto" w:fill="FFFFFF"/>
          </w:tcPr>
          <w:p w:rsidR="001844B6" w:rsidRPr="00092C07" w:rsidRDefault="001844B6" w:rsidP="005A3880">
            <w:pPr>
              <w:pStyle w:val="IATableLabel"/>
              <w:rPr>
                <w:sz w:val="24"/>
                <w:szCs w:val="24"/>
              </w:rPr>
            </w:pPr>
            <w:r w:rsidRPr="00092C07">
              <w:rPr>
                <w:sz w:val="24"/>
                <w:szCs w:val="24"/>
              </w:rPr>
              <w:t>BENEFITS (£m)</w:t>
            </w:r>
          </w:p>
        </w:tc>
        <w:tc>
          <w:tcPr>
            <w:tcW w:w="2739" w:type="dxa"/>
            <w:gridSpan w:val="2"/>
            <w:tcBorders>
              <w:top w:val="single" w:sz="12" w:space="0" w:color="auto"/>
              <w:bottom w:val="single" w:sz="6" w:space="0" w:color="auto"/>
            </w:tcBorders>
            <w:shd w:val="clear" w:color="auto" w:fill="auto"/>
          </w:tcPr>
          <w:p w:rsidR="001844B6" w:rsidRPr="00826F71" w:rsidRDefault="001844B6" w:rsidP="00092C07">
            <w:pPr>
              <w:pStyle w:val="IATableLabel"/>
              <w:tabs>
                <w:tab w:val="right" w:pos="1797"/>
                <w:tab w:val="center" w:pos="2340"/>
              </w:tabs>
              <w:jc w:val="right"/>
            </w:pPr>
            <w:r w:rsidRPr="00826F71">
              <w:t xml:space="preserve">Total Transition </w:t>
            </w:r>
            <w:r>
              <w:br/>
            </w:r>
            <w:r>
              <w:tab/>
            </w:r>
            <w:r w:rsidRPr="00092C07">
              <w:rPr>
                <w:b w:val="0"/>
                <w:sz w:val="18"/>
                <w:szCs w:val="18"/>
              </w:rPr>
              <w:t>(Constant Price)</w:t>
            </w:r>
            <w:r>
              <w:tab/>
            </w:r>
            <w:r w:rsidRPr="00092C07">
              <w:rPr>
                <w:b w:val="0"/>
                <w:sz w:val="18"/>
                <w:szCs w:val="18"/>
              </w:rPr>
              <w:t>Yea</w:t>
            </w:r>
            <w:r w:rsidRPr="00092C07">
              <w:rPr>
                <w:b w:val="0"/>
                <w:bCs/>
                <w:sz w:val="18"/>
                <w:szCs w:val="18"/>
              </w:rPr>
              <w:t>r</w:t>
            </w:r>
            <w:r w:rsidRPr="00092C07">
              <w:rPr>
                <w:b w:val="0"/>
                <w:sz w:val="18"/>
                <w:szCs w:val="18"/>
              </w:rPr>
              <w:t>s</w:t>
            </w:r>
          </w:p>
          <w:p w:rsidR="001844B6" w:rsidRPr="00826F71" w:rsidRDefault="001844B6" w:rsidP="00092C07">
            <w:pPr>
              <w:pStyle w:val="IATableLabel"/>
              <w:jc w:val="right"/>
            </w:pPr>
            <w:r>
              <w:br/>
            </w:r>
          </w:p>
        </w:tc>
        <w:tc>
          <w:tcPr>
            <w:tcW w:w="2865" w:type="dxa"/>
            <w:tcBorders>
              <w:bottom w:val="single" w:sz="6" w:space="0" w:color="auto"/>
              <w:right w:val="single" w:sz="12" w:space="0" w:color="auto"/>
            </w:tcBorders>
            <w:shd w:val="clear" w:color="auto" w:fill="auto"/>
          </w:tcPr>
          <w:p w:rsidR="001844B6" w:rsidRPr="00092C07" w:rsidRDefault="001844B6" w:rsidP="00092C07">
            <w:pPr>
              <w:pStyle w:val="IATableLabel"/>
              <w:jc w:val="right"/>
              <w:rPr>
                <w:rFonts w:cs="Arial"/>
                <w:bCs/>
              </w:rPr>
            </w:pPr>
            <w:r w:rsidRPr="00826F71">
              <w:t>Average Annual</w:t>
            </w:r>
            <w:r w:rsidRPr="000C031E">
              <w:t xml:space="preserve"> </w:t>
            </w:r>
            <w:r>
              <w:br/>
            </w:r>
            <w:r w:rsidRPr="00092C07">
              <w:rPr>
                <w:b w:val="0"/>
                <w:sz w:val="18"/>
                <w:szCs w:val="18"/>
              </w:rPr>
              <w:t xml:space="preserve">(excl. Transition) </w:t>
            </w:r>
            <w:r w:rsidRPr="00092C07">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rsidR="001844B6" w:rsidRPr="00826F71" w:rsidRDefault="001844B6" w:rsidP="00092C07">
            <w:pPr>
              <w:pStyle w:val="IATableLabel"/>
              <w:jc w:val="right"/>
            </w:pPr>
            <w:r w:rsidRPr="00826F71">
              <w:t xml:space="preserve">Total </w:t>
            </w:r>
            <w:r>
              <w:t>Benefit</w:t>
            </w:r>
            <w:r w:rsidRPr="00092C07">
              <w:rPr>
                <w:b w:val="0"/>
                <w:sz w:val="18"/>
                <w:szCs w:val="18"/>
              </w:rPr>
              <w:t xml:space="preserve"> </w:t>
            </w:r>
            <w:r w:rsidRPr="00092C07">
              <w:rPr>
                <w:b w:val="0"/>
                <w:sz w:val="18"/>
                <w:szCs w:val="18"/>
              </w:rPr>
              <w:br/>
              <w:t>(Present Value)</w:t>
            </w:r>
          </w:p>
        </w:tc>
      </w:tr>
      <w:tr w:rsidR="001844B6" w:rsidRPr="00092C07" w:rsidTr="00092C07">
        <w:trPr>
          <w:trHeight w:hRule="exact" w:val="348"/>
        </w:trPr>
        <w:tc>
          <w:tcPr>
            <w:tcW w:w="1995" w:type="dxa"/>
            <w:tcBorders>
              <w:top w:val="single" w:sz="6" w:space="0" w:color="auto"/>
              <w:bottom w:val="single" w:sz="6" w:space="0" w:color="auto"/>
            </w:tcBorders>
            <w:shd w:val="clear" w:color="auto" w:fill="auto"/>
            <w:vAlign w:val="center"/>
          </w:tcPr>
          <w:p w:rsidR="001844B6" w:rsidRPr="00826F71" w:rsidRDefault="001844B6" w:rsidP="005A3880">
            <w:pPr>
              <w:pStyle w:val="IATableLabel"/>
            </w:pPr>
            <w:r w:rsidRPr="00826F71">
              <w:t xml:space="preserve">Low </w:t>
            </w:r>
          </w:p>
        </w:tc>
        <w:tc>
          <w:tcPr>
            <w:tcW w:w="1949" w:type="dxa"/>
            <w:tcBorders>
              <w:top w:val="single" w:sz="6" w:space="0" w:color="auto"/>
              <w:bottom w:val="single" w:sz="6" w:space="0" w:color="auto"/>
            </w:tcBorders>
            <w:shd w:val="clear" w:color="auto" w:fill="auto"/>
            <w:vAlign w:val="center"/>
          </w:tcPr>
          <w:p w:rsidR="001844B6" w:rsidRPr="00650545" w:rsidRDefault="00D65CF1" w:rsidP="00FE3313">
            <w:pPr>
              <w:pStyle w:val="POTTBenLow"/>
              <w:rPr>
                <w:b w:val="0"/>
                <w:color w:val="auto"/>
                <w:sz w:val="20"/>
              </w:rPr>
            </w:pPr>
            <w:r w:rsidRPr="00650545">
              <w:rPr>
                <w:b w:val="0"/>
                <w:color w:val="auto"/>
                <w:sz w:val="20"/>
              </w:rPr>
              <w:fldChar w:fldCharType="begin">
                <w:ffData>
                  <w:name w:val=""/>
                  <w:enabled/>
                  <w:calcOnExit w:val="0"/>
                  <w:textInput>
                    <w:default w:val="Optional"/>
                    <w:maxLength w:val="14"/>
                  </w:textInput>
                </w:ffData>
              </w:fldChar>
            </w:r>
            <w:r w:rsidR="001844B6" w:rsidRPr="00650545">
              <w:rPr>
                <w:b w:val="0"/>
                <w:color w:val="auto"/>
                <w:sz w:val="20"/>
              </w:rPr>
              <w:instrText xml:space="preserve"> FORMTEXT </w:instrText>
            </w:r>
            <w:r w:rsidRPr="00650545">
              <w:rPr>
                <w:b w:val="0"/>
                <w:color w:val="auto"/>
                <w:sz w:val="20"/>
              </w:rPr>
            </w:r>
            <w:r w:rsidRPr="00650545">
              <w:rPr>
                <w:b w:val="0"/>
                <w:color w:val="auto"/>
                <w:sz w:val="20"/>
              </w:rPr>
              <w:fldChar w:fldCharType="separate"/>
            </w:r>
            <w:r w:rsidR="00FE3313" w:rsidRPr="00650545">
              <w:rPr>
                <w:b w:val="0"/>
                <w:color w:val="auto"/>
                <w:sz w:val="20"/>
              </w:rPr>
              <w:t>Optional</w:t>
            </w:r>
            <w:r w:rsidRPr="00650545">
              <w:rPr>
                <w:b w:val="0"/>
                <w:color w:val="auto"/>
                <w:sz w:val="20"/>
              </w:rPr>
              <w:fldChar w:fldCharType="end"/>
            </w:r>
          </w:p>
        </w:tc>
        <w:tc>
          <w:tcPr>
            <w:tcW w:w="790" w:type="dxa"/>
            <w:vMerge w:val="restart"/>
            <w:tcBorders>
              <w:top w:val="single" w:sz="6" w:space="0" w:color="auto"/>
            </w:tcBorders>
            <w:shd w:val="clear" w:color="auto" w:fill="auto"/>
            <w:vAlign w:val="center"/>
          </w:tcPr>
          <w:p w:rsidR="001844B6" w:rsidRPr="00650545" w:rsidRDefault="003740F8" w:rsidP="00092C07">
            <w:pPr>
              <w:pStyle w:val="IATableText"/>
              <w:jc w:val="center"/>
              <w:rPr>
                <w:b w:val="0"/>
                <w:color w:val="auto"/>
                <w:sz w:val="20"/>
              </w:rPr>
            </w:pPr>
            <w:r>
              <w:rPr>
                <w:b w:val="0"/>
                <w:color w:val="auto"/>
                <w:sz w:val="20"/>
              </w:rPr>
              <w:t>-</w:t>
            </w:r>
          </w:p>
        </w:tc>
        <w:tc>
          <w:tcPr>
            <w:tcW w:w="2865" w:type="dxa"/>
            <w:tcBorders>
              <w:top w:val="single" w:sz="6" w:space="0" w:color="auto"/>
              <w:bottom w:val="single" w:sz="6" w:space="0" w:color="auto"/>
              <w:right w:val="single" w:sz="12" w:space="0" w:color="auto"/>
            </w:tcBorders>
            <w:shd w:val="clear" w:color="auto" w:fill="auto"/>
            <w:vAlign w:val="center"/>
          </w:tcPr>
          <w:p w:rsidR="001844B6" w:rsidRPr="00650545" w:rsidRDefault="00D65CF1" w:rsidP="00FE3313">
            <w:pPr>
              <w:pStyle w:val="POAABenLow"/>
              <w:rPr>
                <w:b w:val="0"/>
                <w:color w:val="auto"/>
                <w:sz w:val="20"/>
              </w:rPr>
            </w:pPr>
            <w:r w:rsidRPr="00650545">
              <w:rPr>
                <w:b w:val="0"/>
                <w:color w:val="auto"/>
                <w:sz w:val="20"/>
              </w:rPr>
              <w:fldChar w:fldCharType="begin">
                <w:ffData>
                  <w:name w:val=""/>
                  <w:enabled/>
                  <w:calcOnExit w:val="0"/>
                  <w:textInput>
                    <w:default w:val="Optional"/>
                    <w:maxLength w:val="14"/>
                  </w:textInput>
                </w:ffData>
              </w:fldChar>
            </w:r>
            <w:r w:rsidR="001844B6" w:rsidRPr="00650545">
              <w:rPr>
                <w:b w:val="0"/>
                <w:color w:val="auto"/>
                <w:sz w:val="20"/>
              </w:rPr>
              <w:instrText xml:space="preserve"> FORMTEXT </w:instrText>
            </w:r>
            <w:r w:rsidRPr="00650545">
              <w:rPr>
                <w:b w:val="0"/>
                <w:color w:val="auto"/>
                <w:sz w:val="20"/>
              </w:rPr>
            </w:r>
            <w:r w:rsidRPr="00650545">
              <w:rPr>
                <w:b w:val="0"/>
                <w:color w:val="auto"/>
                <w:sz w:val="20"/>
              </w:rPr>
              <w:fldChar w:fldCharType="separate"/>
            </w:r>
            <w:r w:rsidR="00FE3313" w:rsidRPr="00650545">
              <w:rPr>
                <w:b w:val="0"/>
                <w:color w:val="auto"/>
                <w:sz w:val="20"/>
              </w:rPr>
              <w:t>Optional</w:t>
            </w:r>
            <w:r w:rsidRPr="00650545">
              <w:rPr>
                <w:b w:val="0"/>
                <w:color w:val="auto"/>
                <w:sz w:val="20"/>
              </w:rPr>
              <w:fldChar w:fldCharType="end"/>
            </w:r>
          </w:p>
        </w:tc>
        <w:tc>
          <w:tcPr>
            <w:tcW w:w="2636" w:type="dxa"/>
            <w:gridSpan w:val="2"/>
            <w:tcBorders>
              <w:top w:val="single" w:sz="6" w:space="0" w:color="auto"/>
              <w:left w:val="single" w:sz="12" w:space="0" w:color="auto"/>
              <w:bottom w:val="single" w:sz="6" w:space="0" w:color="auto"/>
            </w:tcBorders>
            <w:shd w:val="clear" w:color="auto" w:fill="auto"/>
            <w:vAlign w:val="center"/>
          </w:tcPr>
          <w:p w:rsidR="001844B6" w:rsidRPr="00650545" w:rsidRDefault="00D65CF1" w:rsidP="00FE3313">
            <w:pPr>
              <w:pStyle w:val="POTBBenLow"/>
              <w:rPr>
                <w:b/>
                <w:color w:val="auto"/>
                <w:sz w:val="20"/>
              </w:rPr>
            </w:pPr>
            <w:r w:rsidRPr="00650545">
              <w:rPr>
                <w:b/>
                <w:color w:val="auto"/>
                <w:sz w:val="20"/>
              </w:rPr>
              <w:fldChar w:fldCharType="begin">
                <w:ffData>
                  <w:name w:val=""/>
                  <w:enabled/>
                  <w:calcOnExit w:val="0"/>
                  <w:textInput>
                    <w:default w:val="Optional"/>
                    <w:maxLength w:val="14"/>
                  </w:textInput>
                </w:ffData>
              </w:fldChar>
            </w:r>
            <w:r w:rsidR="001844B6" w:rsidRPr="00650545">
              <w:rPr>
                <w:b/>
                <w:color w:val="auto"/>
                <w:sz w:val="20"/>
              </w:rPr>
              <w:instrText xml:space="preserve"> FORMTEXT </w:instrText>
            </w:r>
            <w:r w:rsidRPr="00650545">
              <w:rPr>
                <w:b/>
                <w:color w:val="auto"/>
                <w:sz w:val="20"/>
              </w:rPr>
            </w:r>
            <w:r w:rsidRPr="00650545">
              <w:rPr>
                <w:b/>
                <w:color w:val="auto"/>
                <w:sz w:val="20"/>
              </w:rPr>
              <w:fldChar w:fldCharType="separate"/>
            </w:r>
            <w:r w:rsidR="00FE3313" w:rsidRPr="00650545">
              <w:rPr>
                <w:b/>
                <w:noProof/>
                <w:color w:val="auto"/>
                <w:sz w:val="20"/>
              </w:rPr>
              <w:t>Optional</w:t>
            </w:r>
            <w:r w:rsidRPr="00650545">
              <w:rPr>
                <w:b/>
                <w:color w:val="auto"/>
                <w:sz w:val="20"/>
              </w:rPr>
              <w:fldChar w:fldCharType="end"/>
            </w:r>
          </w:p>
        </w:tc>
      </w:tr>
      <w:tr w:rsidR="001844B6" w:rsidRPr="00092C07" w:rsidTr="00092C07">
        <w:trPr>
          <w:trHeight w:hRule="exact" w:val="348"/>
        </w:trPr>
        <w:tc>
          <w:tcPr>
            <w:tcW w:w="1995" w:type="dxa"/>
            <w:tcBorders>
              <w:top w:val="single" w:sz="6" w:space="0" w:color="auto"/>
              <w:bottom w:val="single" w:sz="12" w:space="0" w:color="auto"/>
            </w:tcBorders>
            <w:shd w:val="clear" w:color="auto" w:fill="auto"/>
            <w:vAlign w:val="center"/>
          </w:tcPr>
          <w:p w:rsidR="001844B6" w:rsidRPr="00826F71" w:rsidRDefault="001844B6" w:rsidP="005A3880">
            <w:pPr>
              <w:pStyle w:val="IATableLabel"/>
            </w:pPr>
            <w:r w:rsidRPr="00826F71">
              <w:t xml:space="preserve">High </w:t>
            </w:r>
          </w:p>
        </w:tc>
        <w:tc>
          <w:tcPr>
            <w:tcW w:w="1949" w:type="dxa"/>
            <w:tcBorders>
              <w:top w:val="single" w:sz="6" w:space="0" w:color="auto"/>
              <w:bottom w:val="single" w:sz="12" w:space="0" w:color="auto"/>
            </w:tcBorders>
            <w:shd w:val="clear" w:color="auto" w:fill="auto"/>
            <w:vAlign w:val="center"/>
          </w:tcPr>
          <w:p w:rsidR="001844B6" w:rsidRPr="00650545" w:rsidRDefault="00D65CF1" w:rsidP="00FE3313">
            <w:pPr>
              <w:pStyle w:val="POTTBenHigh"/>
              <w:rPr>
                <w:b w:val="0"/>
                <w:color w:val="auto"/>
                <w:sz w:val="20"/>
              </w:rPr>
            </w:pPr>
            <w:r w:rsidRPr="00650545">
              <w:rPr>
                <w:b w:val="0"/>
                <w:color w:val="auto"/>
                <w:sz w:val="20"/>
              </w:rPr>
              <w:fldChar w:fldCharType="begin">
                <w:ffData>
                  <w:name w:val=""/>
                  <w:enabled/>
                  <w:calcOnExit w:val="0"/>
                  <w:textInput>
                    <w:default w:val="Optional"/>
                    <w:maxLength w:val="14"/>
                  </w:textInput>
                </w:ffData>
              </w:fldChar>
            </w:r>
            <w:r w:rsidR="001844B6" w:rsidRPr="00650545">
              <w:rPr>
                <w:b w:val="0"/>
                <w:color w:val="auto"/>
                <w:sz w:val="20"/>
              </w:rPr>
              <w:instrText xml:space="preserve"> FORMTEXT </w:instrText>
            </w:r>
            <w:r w:rsidRPr="00650545">
              <w:rPr>
                <w:b w:val="0"/>
                <w:color w:val="auto"/>
                <w:sz w:val="20"/>
              </w:rPr>
            </w:r>
            <w:r w:rsidRPr="00650545">
              <w:rPr>
                <w:b w:val="0"/>
                <w:color w:val="auto"/>
                <w:sz w:val="20"/>
              </w:rPr>
              <w:fldChar w:fldCharType="separate"/>
            </w:r>
            <w:r w:rsidR="00FE3313" w:rsidRPr="00650545">
              <w:rPr>
                <w:b w:val="0"/>
                <w:noProof/>
                <w:color w:val="auto"/>
                <w:sz w:val="20"/>
              </w:rPr>
              <w:t>Optional</w:t>
            </w:r>
            <w:r w:rsidRPr="00650545">
              <w:rPr>
                <w:b w:val="0"/>
                <w:color w:val="auto"/>
                <w:sz w:val="20"/>
              </w:rPr>
              <w:fldChar w:fldCharType="end"/>
            </w:r>
          </w:p>
        </w:tc>
        <w:tc>
          <w:tcPr>
            <w:tcW w:w="790" w:type="dxa"/>
            <w:vMerge/>
            <w:shd w:val="clear" w:color="auto" w:fill="FFFFFF"/>
            <w:vAlign w:val="center"/>
          </w:tcPr>
          <w:p w:rsidR="001844B6" w:rsidRPr="00650545" w:rsidRDefault="001844B6" w:rsidP="00092C07">
            <w:pPr>
              <w:pStyle w:val="IATableText"/>
              <w:jc w:val="right"/>
              <w:rPr>
                <w:b w:val="0"/>
                <w:color w:val="auto"/>
                <w:sz w:val="20"/>
              </w:rPr>
            </w:pPr>
          </w:p>
        </w:tc>
        <w:tc>
          <w:tcPr>
            <w:tcW w:w="2865" w:type="dxa"/>
            <w:tcBorders>
              <w:top w:val="single" w:sz="6" w:space="0" w:color="auto"/>
              <w:bottom w:val="single" w:sz="12" w:space="0" w:color="auto"/>
              <w:right w:val="single" w:sz="12" w:space="0" w:color="auto"/>
            </w:tcBorders>
            <w:shd w:val="clear" w:color="auto" w:fill="auto"/>
            <w:vAlign w:val="center"/>
          </w:tcPr>
          <w:p w:rsidR="001844B6" w:rsidRPr="00650545" w:rsidRDefault="00D65CF1" w:rsidP="00FE3313">
            <w:pPr>
              <w:pStyle w:val="POAABenHigh"/>
              <w:rPr>
                <w:b w:val="0"/>
                <w:color w:val="auto"/>
                <w:sz w:val="20"/>
              </w:rPr>
            </w:pPr>
            <w:r w:rsidRPr="00650545">
              <w:rPr>
                <w:b w:val="0"/>
                <w:color w:val="auto"/>
                <w:sz w:val="20"/>
              </w:rPr>
              <w:fldChar w:fldCharType="begin">
                <w:ffData>
                  <w:name w:val=""/>
                  <w:enabled/>
                  <w:calcOnExit w:val="0"/>
                  <w:textInput>
                    <w:default w:val="Optional"/>
                    <w:maxLength w:val="14"/>
                  </w:textInput>
                </w:ffData>
              </w:fldChar>
            </w:r>
            <w:r w:rsidR="001844B6" w:rsidRPr="00650545">
              <w:rPr>
                <w:b w:val="0"/>
                <w:color w:val="auto"/>
                <w:sz w:val="20"/>
              </w:rPr>
              <w:instrText xml:space="preserve"> FORMTEXT </w:instrText>
            </w:r>
            <w:r w:rsidRPr="00650545">
              <w:rPr>
                <w:b w:val="0"/>
                <w:color w:val="auto"/>
                <w:sz w:val="20"/>
              </w:rPr>
            </w:r>
            <w:r w:rsidRPr="00650545">
              <w:rPr>
                <w:b w:val="0"/>
                <w:color w:val="auto"/>
                <w:sz w:val="20"/>
              </w:rPr>
              <w:fldChar w:fldCharType="separate"/>
            </w:r>
            <w:r w:rsidR="00FE3313" w:rsidRPr="00650545">
              <w:rPr>
                <w:b w:val="0"/>
                <w:color w:val="auto"/>
                <w:sz w:val="20"/>
              </w:rPr>
              <w:t>Optional</w:t>
            </w:r>
            <w:r w:rsidRPr="00650545">
              <w:rPr>
                <w:b w:val="0"/>
                <w:color w:val="auto"/>
                <w:sz w:val="20"/>
              </w:rPr>
              <w:fldChar w:fldCharType="end"/>
            </w:r>
          </w:p>
        </w:tc>
        <w:tc>
          <w:tcPr>
            <w:tcW w:w="2636" w:type="dxa"/>
            <w:gridSpan w:val="2"/>
            <w:tcBorders>
              <w:top w:val="single" w:sz="6" w:space="0" w:color="auto"/>
              <w:left w:val="single" w:sz="12" w:space="0" w:color="auto"/>
              <w:bottom w:val="single" w:sz="12" w:space="0" w:color="auto"/>
            </w:tcBorders>
            <w:shd w:val="clear" w:color="auto" w:fill="auto"/>
            <w:vAlign w:val="center"/>
          </w:tcPr>
          <w:p w:rsidR="001844B6" w:rsidRPr="00650545" w:rsidRDefault="00D65CF1" w:rsidP="00FE3313">
            <w:pPr>
              <w:pStyle w:val="POTBBenHigh"/>
              <w:rPr>
                <w:b/>
                <w:color w:val="auto"/>
                <w:sz w:val="20"/>
              </w:rPr>
            </w:pPr>
            <w:r w:rsidRPr="00650545">
              <w:rPr>
                <w:b/>
                <w:color w:val="auto"/>
                <w:sz w:val="20"/>
              </w:rPr>
              <w:fldChar w:fldCharType="begin">
                <w:ffData>
                  <w:name w:val=""/>
                  <w:enabled/>
                  <w:calcOnExit w:val="0"/>
                  <w:textInput>
                    <w:default w:val="Optional"/>
                    <w:maxLength w:val="14"/>
                  </w:textInput>
                </w:ffData>
              </w:fldChar>
            </w:r>
            <w:r w:rsidR="001844B6" w:rsidRPr="00650545">
              <w:rPr>
                <w:b/>
                <w:color w:val="auto"/>
                <w:sz w:val="20"/>
              </w:rPr>
              <w:instrText xml:space="preserve"> FORMTEXT </w:instrText>
            </w:r>
            <w:r w:rsidRPr="00650545">
              <w:rPr>
                <w:b/>
                <w:color w:val="auto"/>
                <w:sz w:val="20"/>
              </w:rPr>
            </w:r>
            <w:r w:rsidRPr="00650545">
              <w:rPr>
                <w:b/>
                <w:color w:val="auto"/>
                <w:sz w:val="20"/>
              </w:rPr>
              <w:fldChar w:fldCharType="separate"/>
            </w:r>
            <w:r w:rsidR="00FE3313" w:rsidRPr="00650545">
              <w:rPr>
                <w:b/>
                <w:color w:val="auto"/>
                <w:sz w:val="20"/>
              </w:rPr>
              <w:t>Optional</w:t>
            </w:r>
            <w:r w:rsidRPr="00650545">
              <w:rPr>
                <w:b/>
                <w:color w:val="auto"/>
                <w:sz w:val="20"/>
              </w:rPr>
              <w:fldChar w:fldCharType="end"/>
            </w:r>
          </w:p>
        </w:tc>
      </w:tr>
      <w:tr w:rsidR="001844B6" w:rsidRPr="00092C07" w:rsidTr="00092C07">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rsidR="001844B6" w:rsidRPr="00826F71" w:rsidRDefault="001844B6" w:rsidP="005A3880">
            <w:pPr>
              <w:pStyle w:val="IATableLabel"/>
            </w:pPr>
            <w:r w:rsidRPr="00826F71">
              <w:t xml:space="preserve">Best </w:t>
            </w:r>
            <w:r>
              <w:t>E</w:t>
            </w:r>
            <w:r w:rsidRPr="00826F71">
              <w:t>stimate</w:t>
            </w:r>
          </w:p>
          <w:p w:rsidR="001844B6" w:rsidRPr="00092C07" w:rsidRDefault="001844B6" w:rsidP="00704A0C">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rsidR="001844B6" w:rsidRPr="00650545" w:rsidRDefault="003740F8" w:rsidP="00FE3313">
            <w:pPr>
              <w:pStyle w:val="POTTBenBest"/>
              <w:rPr>
                <w:b w:val="0"/>
                <w:color w:val="auto"/>
                <w:sz w:val="20"/>
              </w:rPr>
            </w:pPr>
            <w:r>
              <w:rPr>
                <w:b w:val="0"/>
                <w:color w:val="auto"/>
                <w:sz w:val="20"/>
              </w:rPr>
              <w:t>-</w:t>
            </w:r>
          </w:p>
        </w:tc>
        <w:tc>
          <w:tcPr>
            <w:tcW w:w="790" w:type="dxa"/>
            <w:vMerge/>
            <w:tcBorders>
              <w:left w:val="single" w:sz="12" w:space="0" w:color="auto"/>
              <w:right w:val="single" w:sz="12" w:space="0" w:color="auto"/>
            </w:tcBorders>
            <w:shd w:val="clear" w:color="auto" w:fill="FFFFFF"/>
            <w:vAlign w:val="center"/>
          </w:tcPr>
          <w:p w:rsidR="001844B6" w:rsidRPr="00650545" w:rsidRDefault="001844B6" w:rsidP="00092C07">
            <w:pPr>
              <w:pStyle w:val="IATableText"/>
              <w:jc w:val="right"/>
              <w:rPr>
                <w:b w:val="0"/>
                <w:color w:val="auto"/>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rsidR="001844B6" w:rsidRPr="00650545" w:rsidRDefault="003740F8" w:rsidP="00FE3313">
            <w:pPr>
              <w:pStyle w:val="POAABenBest"/>
              <w:rPr>
                <w:b w:val="0"/>
                <w:color w:val="auto"/>
                <w:sz w:val="20"/>
              </w:rPr>
            </w:pPr>
            <w:r>
              <w:rPr>
                <w:b w:val="0"/>
                <w:color w:val="auto"/>
                <w:sz w:val="20"/>
              </w:rPr>
              <w:t>-</w:t>
            </w:r>
          </w:p>
        </w:tc>
        <w:tc>
          <w:tcPr>
            <w:tcW w:w="2636" w:type="dxa"/>
            <w:gridSpan w:val="2"/>
            <w:tcBorders>
              <w:top w:val="single" w:sz="12" w:space="0" w:color="auto"/>
              <w:left w:val="single" w:sz="12" w:space="0" w:color="auto"/>
              <w:bottom w:val="single" w:sz="12" w:space="0" w:color="auto"/>
            </w:tcBorders>
            <w:shd w:val="clear" w:color="auto" w:fill="FFFFFF"/>
            <w:vAlign w:val="center"/>
          </w:tcPr>
          <w:p w:rsidR="001844B6" w:rsidRPr="00650545" w:rsidRDefault="003740F8" w:rsidP="005A276B">
            <w:pPr>
              <w:pStyle w:val="POTBBenBest"/>
              <w:rPr>
                <w:b/>
                <w:color w:val="auto"/>
                <w:sz w:val="20"/>
              </w:rPr>
            </w:pPr>
            <w:r>
              <w:rPr>
                <w:b/>
                <w:color w:val="auto"/>
                <w:sz w:val="20"/>
              </w:rPr>
              <w:t>-</w:t>
            </w:r>
          </w:p>
        </w:tc>
      </w:tr>
      <w:tr w:rsidR="001844B6" w:rsidRPr="00826F71" w:rsidTr="00092C07">
        <w:trPr>
          <w:trHeight w:hRule="exact" w:val="1701"/>
        </w:trPr>
        <w:tc>
          <w:tcPr>
            <w:tcW w:w="10235" w:type="dxa"/>
            <w:gridSpan w:val="6"/>
            <w:shd w:val="clear" w:color="auto" w:fill="auto"/>
          </w:tcPr>
          <w:p w:rsidR="001844B6" w:rsidRPr="00092C07" w:rsidRDefault="001844B6" w:rsidP="005A3880">
            <w:pPr>
              <w:pStyle w:val="IPPOQ3"/>
              <w:rPr>
                <w:szCs w:val="22"/>
              </w:rPr>
            </w:pPr>
            <w:r w:rsidRPr="00544292">
              <w:t xml:space="preserve">Description and scale of </w:t>
            </w:r>
            <w:r w:rsidRPr="00826F71">
              <w:t xml:space="preserve">key monetised </w:t>
            </w:r>
            <w:r>
              <w:t>benefits</w:t>
            </w:r>
            <w:r w:rsidR="0001388E">
              <w:t xml:space="preserve"> by ‘main affected groups’</w:t>
            </w:r>
          </w:p>
          <w:p w:rsidR="001844B6" w:rsidRPr="00650545" w:rsidRDefault="003740F8" w:rsidP="00354A61">
            <w:pPr>
              <w:pStyle w:val="IAPOA3"/>
              <w:jc w:val="both"/>
              <w:rPr>
                <w:b w:val="0"/>
                <w:color w:val="auto"/>
              </w:rPr>
            </w:pPr>
            <w:r>
              <w:rPr>
                <w:b w:val="0"/>
                <w:color w:val="auto"/>
              </w:rPr>
              <w:t>None – see below.</w:t>
            </w:r>
            <w:r w:rsidR="00837689">
              <w:rPr>
                <w:b w:val="0"/>
                <w:color w:val="auto"/>
              </w:rPr>
              <w:t xml:space="preserve"> </w:t>
            </w:r>
          </w:p>
        </w:tc>
      </w:tr>
      <w:tr w:rsidR="001844B6" w:rsidRPr="00826F71" w:rsidTr="00716703">
        <w:trPr>
          <w:trHeight w:hRule="exact" w:val="1760"/>
        </w:trPr>
        <w:tc>
          <w:tcPr>
            <w:tcW w:w="10235" w:type="dxa"/>
            <w:gridSpan w:val="6"/>
            <w:shd w:val="clear" w:color="auto" w:fill="auto"/>
          </w:tcPr>
          <w:p w:rsidR="001844B6" w:rsidRPr="00092C07" w:rsidRDefault="001844B6" w:rsidP="005A3880">
            <w:pPr>
              <w:pStyle w:val="IAPOQ4"/>
              <w:rPr>
                <w:szCs w:val="22"/>
              </w:rPr>
            </w:pPr>
            <w:r w:rsidRPr="00544292">
              <w:t>Other</w:t>
            </w:r>
            <w:r w:rsidRPr="00826F71">
              <w:t xml:space="preserve"> key non-monetised </w:t>
            </w:r>
            <w:r>
              <w:t>benefits</w:t>
            </w:r>
            <w:r w:rsidRPr="00544292">
              <w:t xml:space="preserve"> by ‘main affected groups’ </w:t>
            </w:r>
          </w:p>
          <w:p w:rsidR="003F50CE" w:rsidRPr="005E5CB3" w:rsidRDefault="003F50CE" w:rsidP="003F50CE">
            <w:pPr>
              <w:pStyle w:val="Default"/>
              <w:spacing w:after="240"/>
              <w:ind w:left="113" w:right="113"/>
              <w:jc w:val="both"/>
              <w:rPr>
                <w:b/>
                <w:sz w:val="20"/>
                <w:szCs w:val="20"/>
              </w:rPr>
            </w:pPr>
            <w:r>
              <w:rPr>
                <w:sz w:val="20"/>
              </w:rPr>
              <w:t>The labelling changes will provide information to the consumer on gear type used to catch</w:t>
            </w:r>
            <w:r w:rsidR="00332ED8">
              <w:rPr>
                <w:sz w:val="20"/>
              </w:rPr>
              <w:t xml:space="preserve"> the relevant fishery and aquaculture products</w:t>
            </w:r>
            <w:r>
              <w:rPr>
                <w:sz w:val="20"/>
              </w:rPr>
              <w:t>, which is a major factor in the sustainability of a product, and on minimum durability</w:t>
            </w:r>
            <w:r w:rsidR="00332ED8">
              <w:rPr>
                <w:sz w:val="20"/>
              </w:rPr>
              <w:t xml:space="preserve"> </w:t>
            </w:r>
            <w:r w:rsidR="008F64B5">
              <w:rPr>
                <w:sz w:val="20"/>
              </w:rPr>
              <w:t xml:space="preserve">(where appropriate) </w:t>
            </w:r>
            <w:r w:rsidR="00332ED8">
              <w:rPr>
                <w:sz w:val="20"/>
              </w:rPr>
              <w:t>of those products</w:t>
            </w:r>
            <w:r>
              <w:rPr>
                <w:sz w:val="20"/>
              </w:rPr>
              <w:t xml:space="preserve">. This provides greater confidence in the quality of products and allows customers to express preferences for sustainable products. Benefits </w:t>
            </w:r>
            <w:r w:rsidRPr="0044096F">
              <w:rPr>
                <w:sz w:val="20"/>
              </w:rPr>
              <w:t>are not quantified as it has not been possible given t</w:t>
            </w:r>
            <w:r>
              <w:rPr>
                <w:sz w:val="20"/>
              </w:rPr>
              <w:t>he existing evidence base. The CMO is part of measures under the CFP and</w:t>
            </w:r>
            <w:r w:rsidR="00964F54">
              <w:rPr>
                <w:sz w:val="20"/>
              </w:rPr>
              <w:t xml:space="preserve"> the</w:t>
            </w:r>
            <w:r>
              <w:rPr>
                <w:sz w:val="20"/>
              </w:rPr>
              <w:t xml:space="preserve"> European Maritime and Fisheries Fund expected to improve industry </w:t>
            </w:r>
            <w:r w:rsidR="003F2789">
              <w:rPr>
                <w:sz w:val="20"/>
              </w:rPr>
              <w:t>sustainability</w:t>
            </w:r>
            <w:r w:rsidR="000C32AA">
              <w:rPr>
                <w:sz w:val="20"/>
              </w:rPr>
              <w:t>;</w:t>
            </w:r>
            <w:r>
              <w:rPr>
                <w:sz w:val="20"/>
              </w:rPr>
              <w:t xml:space="preserve"> </w:t>
            </w:r>
            <w:r w:rsidR="000C32AA">
              <w:rPr>
                <w:sz w:val="20"/>
              </w:rPr>
              <w:t>making</w:t>
            </w:r>
            <w:r>
              <w:rPr>
                <w:sz w:val="20"/>
              </w:rPr>
              <w:t xml:space="preserve"> attribution of benefits difficult</w:t>
            </w:r>
            <w:r w:rsidRPr="0044096F">
              <w:rPr>
                <w:sz w:val="20"/>
              </w:rPr>
              <w:t>.</w:t>
            </w:r>
          </w:p>
          <w:p w:rsidR="001844B6" w:rsidRPr="00C13D1D" w:rsidRDefault="001844B6" w:rsidP="00E4087C">
            <w:pPr>
              <w:pStyle w:val="IAPOA4"/>
              <w:jc w:val="both"/>
              <w:rPr>
                <w:b w:val="0"/>
                <w:color w:val="auto"/>
                <w:sz w:val="20"/>
              </w:rPr>
            </w:pPr>
          </w:p>
        </w:tc>
      </w:tr>
      <w:tr w:rsidR="001844B6" w:rsidRPr="00826F71" w:rsidTr="00092C07">
        <w:trPr>
          <w:trHeight w:hRule="exact" w:val="346"/>
        </w:trPr>
        <w:tc>
          <w:tcPr>
            <w:tcW w:w="9375" w:type="dxa"/>
            <w:gridSpan w:val="5"/>
            <w:tcBorders>
              <w:top w:val="single" w:sz="6" w:space="0" w:color="auto"/>
              <w:bottom w:val="nil"/>
            </w:tcBorders>
            <w:shd w:val="clear" w:color="auto" w:fill="auto"/>
          </w:tcPr>
          <w:p w:rsidR="001844B6" w:rsidRDefault="001844B6" w:rsidP="00092C07">
            <w:pPr>
              <w:pStyle w:val="IATableLabel"/>
              <w:tabs>
                <w:tab w:val="left" w:pos="7655"/>
              </w:tabs>
            </w:pPr>
            <w:r w:rsidRPr="002044A1">
              <w:rPr>
                <w:rStyle w:val="IAPOQ5Char"/>
                <w:b/>
              </w:rPr>
              <w:t>Key assumptions/sensitivities/risks</w:t>
            </w:r>
            <w:r>
              <w:tab/>
              <w:t>Discount rate (%)</w:t>
            </w:r>
          </w:p>
          <w:p w:rsidR="001844B6" w:rsidRPr="00455895" w:rsidRDefault="001844B6" w:rsidP="005A3880">
            <w:pPr>
              <w:pStyle w:val="IATableLabel"/>
            </w:pPr>
          </w:p>
        </w:tc>
        <w:tc>
          <w:tcPr>
            <w:tcW w:w="860" w:type="dxa"/>
            <w:tcBorders>
              <w:top w:val="single" w:sz="6" w:space="0" w:color="auto"/>
              <w:bottom w:val="single" w:sz="4" w:space="0" w:color="auto"/>
            </w:tcBorders>
            <w:shd w:val="clear" w:color="auto" w:fill="auto"/>
          </w:tcPr>
          <w:p w:rsidR="001844B6" w:rsidRPr="007E6CF8" w:rsidRDefault="00D65CF1" w:rsidP="00244E4E">
            <w:pPr>
              <w:pStyle w:val="IAPODisRate"/>
            </w:pPr>
            <w:r w:rsidRPr="00D337D1">
              <w:fldChar w:fldCharType="begin">
                <w:ffData>
                  <w:name w:val=""/>
                  <w:enabled/>
                  <w:calcOnExit w:val="0"/>
                  <w:textInput>
                    <w:maxLength w:val="5"/>
                  </w:textInput>
                </w:ffData>
              </w:fldChar>
            </w:r>
            <w:r w:rsidR="001844B6" w:rsidRPr="00D337D1">
              <w:instrText xml:space="preserve"> FORMTEXT </w:instrText>
            </w:r>
            <w:r w:rsidRPr="00D337D1">
              <w:fldChar w:fldCharType="separate"/>
            </w:r>
            <w:r w:rsidR="00244E4E">
              <w:rPr>
                <w:noProof/>
              </w:rPr>
              <w:t>3.5</w:t>
            </w:r>
            <w:r w:rsidRPr="00D337D1">
              <w:fldChar w:fldCharType="end"/>
            </w:r>
          </w:p>
        </w:tc>
      </w:tr>
      <w:tr w:rsidR="001844B6" w:rsidRPr="00092C07" w:rsidTr="00092C07">
        <w:trPr>
          <w:trHeight w:hRule="exact" w:val="1507"/>
        </w:trPr>
        <w:tc>
          <w:tcPr>
            <w:tcW w:w="10235" w:type="dxa"/>
            <w:gridSpan w:val="6"/>
            <w:tcBorders>
              <w:top w:val="nil"/>
              <w:bottom w:val="single" w:sz="12" w:space="0" w:color="auto"/>
            </w:tcBorders>
            <w:shd w:val="clear" w:color="auto" w:fill="auto"/>
          </w:tcPr>
          <w:p w:rsidR="00A74022" w:rsidRPr="00354A61" w:rsidRDefault="003F50CE" w:rsidP="00D708DB">
            <w:pPr>
              <w:pStyle w:val="IAPOA5"/>
              <w:jc w:val="both"/>
              <w:rPr>
                <w:b w:val="0"/>
                <w:color w:val="auto"/>
                <w:sz w:val="20"/>
              </w:rPr>
            </w:pPr>
            <w:r>
              <w:rPr>
                <w:b w:val="0"/>
                <w:color w:val="auto"/>
                <w:sz w:val="20"/>
              </w:rPr>
              <w:t>The</w:t>
            </w:r>
            <w:r w:rsidR="007C0A8F">
              <w:rPr>
                <w:b w:val="0"/>
                <w:color w:val="auto"/>
                <w:sz w:val="20"/>
              </w:rPr>
              <w:t xml:space="preserve"> costs are based on the assumption </w:t>
            </w:r>
            <w:r w:rsidR="00A74022" w:rsidRPr="00354A61">
              <w:rPr>
                <w:b w:val="0"/>
                <w:color w:val="auto"/>
                <w:sz w:val="20"/>
              </w:rPr>
              <w:t xml:space="preserve">that industry will not face material costs for the labelling changes resulting from </w:t>
            </w:r>
            <w:r w:rsidR="00D708DB">
              <w:rPr>
                <w:b w:val="0"/>
                <w:color w:val="auto"/>
                <w:sz w:val="20"/>
              </w:rPr>
              <w:t xml:space="preserve">implementation </w:t>
            </w:r>
            <w:r>
              <w:rPr>
                <w:b w:val="0"/>
                <w:color w:val="auto"/>
                <w:sz w:val="20"/>
              </w:rPr>
              <w:t xml:space="preserve">of </w:t>
            </w:r>
            <w:r w:rsidR="00A74022" w:rsidRPr="00354A61">
              <w:rPr>
                <w:b w:val="0"/>
                <w:color w:val="auto"/>
                <w:sz w:val="20"/>
              </w:rPr>
              <w:t>the CMO</w:t>
            </w:r>
            <w:r>
              <w:rPr>
                <w:b w:val="0"/>
                <w:color w:val="auto"/>
                <w:sz w:val="20"/>
              </w:rPr>
              <w:t xml:space="preserve"> in E &amp; W</w:t>
            </w:r>
            <w:r w:rsidR="003E60A6" w:rsidRPr="00354A61">
              <w:rPr>
                <w:b w:val="0"/>
                <w:color w:val="auto"/>
                <w:sz w:val="20"/>
              </w:rPr>
              <w:t xml:space="preserve">, this is </w:t>
            </w:r>
            <w:r w:rsidR="00A74022" w:rsidRPr="00354A61">
              <w:rPr>
                <w:b w:val="0"/>
                <w:color w:val="auto"/>
                <w:sz w:val="20"/>
              </w:rPr>
              <w:t>based on advice from the Food and Drink Federation</w:t>
            </w:r>
            <w:r w:rsidR="00354A61">
              <w:rPr>
                <w:b w:val="0"/>
                <w:color w:val="auto"/>
                <w:sz w:val="20"/>
              </w:rPr>
              <w:t xml:space="preserve"> (FDF)</w:t>
            </w:r>
            <w:r w:rsidR="00A74022" w:rsidRPr="00354A61">
              <w:rPr>
                <w:b w:val="0"/>
                <w:color w:val="auto"/>
                <w:sz w:val="20"/>
              </w:rPr>
              <w:t>, the Fishmongers Company</w:t>
            </w:r>
            <w:r w:rsidR="00354A61">
              <w:rPr>
                <w:b w:val="0"/>
                <w:color w:val="auto"/>
                <w:sz w:val="20"/>
              </w:rPr>
              <w:t xml:space="preserve"> (FC)</w:t>
            </w:r>
            <w:r w:rsidR="00A74022" w:rsidRPr="00354A61">
              <w:rPr>
                <w:b w:val="0"/>
                <w:color w:val="auto"/>
                <w:sz w:val="20"/>
              </w:rPr>
              <w:t>, and the Food Standards Agency</w:t>
            </w:r>
            <w:r w:rsidR="00354A61" w:rsidRPr="00354A61">
              <w:rPr>
                <w:b w:val="0"/>
                <w:color w:val="auto"/>
                <w:sz w:val="20"/>
              </w:rPr>
              <w:t xml:space="preserve"> (FSA)</w:t>
            </w:r>
            <w:r>
              <w:rPr>
                <w:b w:val="0"/>
                <w:color w:val="auto"/>
                <w:sz w:val="20"/>
              </w:rPr>
              <w:t>. Therefore the only</w:t>
            </w:r>
            <w:r w:rsidR="00A74022" w:rsidRPr="00354A61">
              <w:rPr>
                <w:b w:val="0"/>
                <w:color w:val="auto"/>
                <w:sz w:val="20"/>
              </w:rPr>
              <w:t xml:space="preserve"> costs are those associated with the time to become familiar with the legislation</w:t>
            </w:r>
            <w:r>
              <w:rPr>
                <w:b w:val="0"/>
                <w:color w:val="auto"/>
                <w:sz w:val="20"/>
              </w:rPr>
              <w:t xml:space="preserve">. </w:t>
            </w:r>
            <w:r w:rsidR="00354A61" w:rsidRPr="00354A61">
              <w:rPr>
                <w:b w:val="0"/>
                <w:color w:val="auto"/>
                <w:sz w:val="20"/>
              </w:rPr>
              <w:t>Based on advice from the FSA</w:t>
            </w:r>
            <w:r w:rsidR="0001388E">
              <w:rPr>
                <w:b w:val="0"/>
                <w:color w:val="auto"/>
                <w:sz w:val="20"/>
              </w:rPr>
              <w:t xml:space="preserve"> it</w:t>
            </w:r>
            <w:r w:rsidR="00A74022" w:rsidRPr="00354A61">
              <w:rPr>
                <w:b w:val="0"/>
                <w:color w:val="auto"/>
                <w:sz w:val="20"/>
              </w:rPr>
              <w:t xml:space="preserve"> is assumed that local authorities</w:t>
            </w:r>
            <w:r w:rsidR="00B25FF2">
              <w:rPr>
                <w:b w:val="0"/>
                <w:color w:val="auto"/>
                <w:sz w:val="20"/>
              </w:rPr>
              <w:t>’ Trading Standards officers will</w:t>
            </w:r>
            <w:r w:rsidR="00A74022" w:rsidRPr="00354A61">
              <w:rPr>
                <w:b w:val="0"/>
                <w:color w:val="auto"/>
                <w:sz w:val="20"/>
              </w:rPr>
              <w:t xml:space="preserve"> enforce labelling requirements under existing regime at no extra cost apart from </w:t>
            </w:r>
            <w:r w:rsidR="003E4BD5" w:rsidRPr="00354A61">
              <w:rPr>
                <w:b w:val="0"/>
                <w:color w:val="auto"/>
                <w:sz w:val="20"/>
              </w:rPr>
              <w:t>familiarisation</w:t>
            </w:r>
            <w:r w:rsidR="00686805">
              <w:rPr>
                <w:b w:val="0"/>
                <w:color w:val="auto"/>
                <w:sz w:val="20"/>
              </w:rPr>
              <w:t>.</w:t>
            </w:r>
            <w:r>
              <w:rPr>
                <w:b w:val="0"/>
                <w:color w:val="auto"/>
                <w:sz w:val="20"/>
              </w:rPr>
              <w:t xml:space="preserve"> Advice from MMO</w:t>
            </w:r>
            <w:r w:rsidR="00741720">
              <w:rPr>
                <w:b w:val="0"/>
                <w:color w:val="auto"/>
                <w:sz w:val="20"/>
              </w:rPr>
              <w:t>, FSA</w:t>
            </w:r>
            <w:r>
              <w:rPr>
                <w:b w:val="0"/>
                <w:color w:val="auto"/>
                <w:sz w:val="20"/>
              </w:rPr>
              <w:t xml:space="preserve"> and WG indica</w:t>
            </w:r>
            <w:r w:rsidR="00741720">
              <w:rPr>
                <w:b w:val="0"/>
                <w:color w:val="auto"/>
                <w:sz w:val="20"/>
              </w:rPr>
              <w:t>tes that there are no additional ongoing enforcement costs.</w:t>
            </w:r>
          </w:p>
        </w:tc>
      </w:tr>
    </w:tbl>
    <w:p w:rsidR="001844B6" w:rsidRDefault="001844B6" w:rsidP="005A3880">
      <w:pPr>
        <w:pStyle w:val="IASpacer"/>
      </w:pPr>
    </w:p>
    <w:p w:rsidR="001844B6" w:rsidRDefault="00F63895" w:rsidP="005A3880">
      <w:pPr>
        <w:pStyle w:val="IAHeadLabel"/>
        <w:spacing w:before="50"/>
      </w:pPr>
      <w:r>
        <w:t xml:space="preserve">BUSINESS </w:t>
      </w:r>
      <w:r w:rsidR="001844B6">
        <w:t xml:space="preserve">ASSESSMENT (Option </w:t>
      </w:r>
      <w:fldSimple w:instr=" SEQ BA ">
        <w:r w:rsidR="006F5637">
          <w:rPr>
            <w:noProof/>
          </w:rPr>
          <w:t>1</w:t>
        </w:r>
      </w:fldSimple>
      <w:r w:rsidR="001844B6">
        <w:t>)</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90"/>
        <w:gridCol w:w="2155"/>
        <w:gridCol w:w="1980"/>
        <w:gridCol w:w="1980"/>
        <w:gridCol w:w="2110"/>
      </w:tblGrid>
      <w:tr w:rsidR="001844B6" w:rsidRPr="000E02BE" w:rsidTr="005A3880">
        <w:trPr>
          <w:trHeight w:hRule="exact" w:val="312"/>
        </w:trPr>
        <w:tc>
          <w:tcPr>
            <w:tcW w:w="6125" w:type="dxa"/>
            <w:gridSpan w:val="3"/>
            <w:tcBorders>
              <w:top w:val="single" w:sz="4" w:space="0" w:color="auto"/>
              <w:bottom w:val="nil"/>
              <w:right w:val="single" w:sz="4" w:space="0" w:color="auto"/>
            </w:tcBorders>
          </w:tcPr>
          <w:p w:rsidR="001844B6" w:rsidRPr="000E02BE" w:rsidRDefault="001844B6" w:rsidP="005A3880">
            <w:pPr>
              <w:pStyle w:val="IATableLabel"/>
            </w:pPr>
            <w:r w:rsidRPr="000E02BE">
              <w:t xml:space="preserve">Direct impact on </w:t>
            </w:r>
            <w:r>
              <w:t>business (Equivalent Annual) £m</w:t>
            </w:r>
            <w:r w:rsidRPr="000E02BE">
              <w:t xml:space="preserve">: </w:t>
            </w:r>
          </w:p>
        </w:tc>
        <w:tc>
          <w:tcPr>
            <w:tcW w:w="1980" w:type="dxa"/>
            <w:tcBorders>
              <w:top w:val="single" w:sz="4" w:space="0" w:color="auto"/>
              <w:left w:val="single" w:sz="4" w:space="0" w:color="auto"/>
              <w:bottom w:val="nil"/>
              <w:right w:val="nil"/>
            </w:tcBorders>
          </w:tcPr>
          <w:p w:rsidR="001844B6" w:rsidRPr="000E02BE" w:rsidRDefault="00682091" w:rsidP="005A3880">
            <w:pPr>
              <w:pStyle w:val="IATableLabel"/>
            </w:pPr>
            <w:r>
              <w:t>In scope of OIT</w:t>
            </w:r>
            <w:r w:rsidR="001844B6" w:rsidRPr="000E02BE">
              <w:t>O?</w:t>
            </w:r>
          </w:p>
        </w:tc>
        <w:tc>
          <w:tcPr>
            <w:tcW w:w="2110" w:type="dxa"/>
            <w:tcBorders>
              <w:top w:val="single" w:sz="4" w:space="0" w:color="auto"/>
              <w:left w:val="nil"/>
              <w:bottom w:val="nil"/>
              <w:right w:val="single" w:sz="4" w:space="0" w:color="auto"/>
            </w:tcBorders>
            <w:shd w:val="clear" w:color="auto" w:fill="auto"/>
          </w:tcPr>
          <w:p w:rsidR="001844B6" w:rsidRPr="000E02BE" w:rsidRDefault="001844B6" w:rsidP="005A3880">
            <w:pPr>
              <w:pStyle w:val="IATableLabel"/>
              <w:ind w:left="0"/>
            </w:pPr>
            <w:r w:rsidRPr="000E02BE">
              <w:t xml:space="preserve">  Measure qualifies as</w:t>
            </w:r>
          </w:p>
        </w:tc>
      </w:tr>
      <w:tr w:rsidR="001844B6" w:rsidRPr="00E75380" w:rsidTr="005A3880">
        <w:trPr>
          <w:trHeight w:hRule="exact" w:val="340"/>
        </w:trPr>
        <w:tc>
          <w:tcPr>
            <w:tcW w:w="1990" w:type="dxa"/>
            <w:tcBorders>
              <w:top w:val="nil"/>
              <w:bottom w:val="single" w:sz="4" w:space="0" w:color="auto"/>
              <w:right w:val="single" w:sz="4" w:space="0" w:color="auto"/>
            </w:tcBorders>
            <w:shd w:val="clear" w:color="auto" w:fill="FFFFFF"/>
          </w:tcPr>
          <w:p w:rsidR="001844B6" w:rsidRPr="00F63895" w:rsidRDefault="001844B6" w:rsidP="003F50CE">
            <w:pPr>
              <w:pStyle w:val="IATableLabel"/>
              <w:spacing w:after="0"/>
            </w:pPr>
            <w:r w:rsidRPr="00F63895">
              <w:t xml:space="preserve">Costs: </w:t>
            </w:r>
            <w:r w:rsidR="00C60925" w:rsidRPr="00C60925">
              <w:rPr>
                <w:b w:val="0"/>
              </w:rPr>
              <w:t>0.</w:t>
            </w:r>
            <w:r w:rsidR="003F50CE">
              <w:rPr>
                <w:b w:val="0"/>
              </w:rPr>
              <w:t>05</w:t>
            </w:r>
          </w:p>
        </w:tc>
        <w:tc>
          <w:tcPr>
            <w:tcW w:w="2155" w:type="dxa"/>
            <w:tcBorders>
              <w:top w:val="nil"/>
              <w:bottom w:val="single" w:sz="4" w:space="0" w:color="auto"/>
              <w:right w:val="single" w:sz="4" w:space="0" w:color="auto"/>
            </w:tcBorders>
            <w:shd w:val="clear" w:color="auto" w:fill="FFFFFF"/>
          </w:tcPr>
          <w:p w:rsidR="001844B6" w:rsidRPr="00F63895" w:rsidRDefault="001844B6" w:rsidP="00682091">
            <w:pPr>
              <w:pStyle w:val="IATableLabel"/>
            </w:pPr>
            <w:r w:rsidRPr="00F63895">
              <w:t xml:space="preserve">Benefits: </w:t>
            </w:r>
            <w:r w:rsidR="00C60925" w:rsidRPr="00C60925">
              <w:rPr>
                <w:b w:val="0"/>
              </w:rPr>
              <w:t>0</w:t>
            </w:r>
          </w:p>
        </w:tc>
        <w:tc>
          <w:tcPr>
            <w:tcW w:w="1980" w:type="dxa"/>
            <w:tcBorders>
              <w:top w:val="nil"/>
              <w:bottom w:val="single" w:sz="4" w:space="0" w:color="auto"/>
              <w:right w:val="single" w:sz="4" w:space="0" w:color="auto"/>
            </w:tcBorders>
            <w:shd w:val="clear" w:color="auto" w:fill="FFFFFF"/>
          </w:tcPr>
          <w:p w:rsidR="001844B6" w:rsidRPr="00F63895" w:rsidRDefault="001844B6" w:rsidP="003F50CE">
            <w:pPr>
              <w:pStyle w:val="IATableLabel"/>
            </w:pPr>
            <w:r w:rsidRPr="00F63895">
              <w:t xml:space="preserve">Net: </w:t>
            </w:r>
            <w:r w:rsidR="00C60925" w:rsidRPr="00C60925">
              <w:rPr>
                <w:b w:val="0"/>
              </w:rPr>
              <w:t>-0.</w:t>
            </w:r>
            <w:r w:rsidR="003F50CE">
              <w:rPr>
                <w:b w:val="0"/>
              </w:rPr>
              <w:t>05</w:t>
            </w:r>
          </w:p>
        </w:tc>
        <w:bookmarkStart w:id="26" w:name="Dropdown23"/>
        <w:tc>
          <w:tcPr>
            <w:tcW w:w="1980" w:type="dxa"/>
            <w:tcBorders>
              <w:top w:val="nil"/>
              <w:left w:val="single" w:sz="4" w:space="0" w:color="auto"/>
              <w:bottom w:val="single" w:sz="4" w:space="0" w:color="auto"/>
              <w:right w:val="single" w:sz="4" w:space="0" w:color="auto"/>
            </w:tcBorders>
            <w:shd w:val="clear" w:color="auto" w:fill="FFFFFF"/>
          </w:tcPr>
          <w:p w:rsidR="001844B6" w:rsidRPr="00F63895" w:rsidRDefault="00D65CF1" w:rsidP="005A3880">
            <w:pPr>
              <w:pStyle w:val="IAPODIOIOO"/>
              <w:rPr>
                <w:sz w:val="20"/>
                <w:szCs w:val="20"/>
              </w:rPr>
            </w:pPr>
            <w:r>
              <w:rPr>
                <w:sz w:val="20"/>
                <w:szCs w:val="20"/>
              </w:rPr>
              <w:fldChar w:fldCharType="begin">
                <w:ffData>
                  <w:name w:val="Dropdown23"/>
                  <w:enabled/>
                  <w:calcOnExit w:val="0"/>
                  <w:ddList>
                    <w:listEntry w:val="No"/>
                    <w:listEntry w:val="Yes/No"/>
                    <w:listEntry w:val="Yes"/>
                  </w:ddList>
                </w:ffData>
              </w:fldChar>
            </w:r>
            <w:r w:rsidR="00EB63F3">
              <w:rPr>
                <w:sz w:val="20"/>
                <w:szCs w:val="20"/>
              </w:rPr>
              <w:instrText xml:space="preserve"> FORMDROPDOWN </w:instrText>
            </w:r>
            <w:r w:rsidR="004311A7">
              <w:rPr>
                <w:sz w:val="20"/>
                <w:szCs w:val="20"/>
              </w:rPr>
            </w:r>
            <w:r w:rsidR="004311A7">
              <w:rPr>
                <w:sz w:val="20"/>
                <w:szCs w:val="20"/>
              </w:rPr>
              <w:fldChar w:fldCharType="separate"/>
            </w:r>
            <w:r>
              <w:rPr>
                <w:sz w:val="20"/>
                <w:szCs w:val="20"/>
              </w:rPr>
              <w:fldChar w:fldCharType="end"/>
            </w:r>
            <w:bookmarkEnd w:id="26"/>
          </w:p>
        </w:tc>
        <w:bookmarkStart w:id="27" w:name="Dropdown27"/>
        <w:tc>
          <w:tcPr>
            <w:tcW w:w="2110" w:type="dxa"/>
            <w:tcBorders>
              <w:top w:val="nil"/>
              <w:left w:val="single" w:sz="4" w:space="0" w:color="auto"/>
              <w:bottom w:val="single" w:sz="4" w:space="0" w:color="auto"/>
              <w:right w:val="single" w:sz="4" w:space="0" w:color="auto"/>
            </w:tcBorders>
            <w:shd w:val="clear" w:color="auto" w:fill="auto"/>
          </w:tcPr>
          <w:p w:rsidR="001844B6" w:rsidRPr="00650545" w:rsidRDefault="00D65CF1" w:rsidP="005A3880">
            <w:pPr>
              <w:pStyle w:val="IAPODIMQ"/>
              <w:rPr>
                <w:b w:val="0"/>
              </w:rPr>
            </w:pPr>
            <w:r>
              <w:rPr>
                <w:b w:val="0"/>
              </w:rPr>
              <w:fldChar w:fldCharType="begin">
                <w:ffData>
                  <w:name w:val="Dropdown27"/>
                  <w:enabled/>
                  <w:calcOnExit w:val="0"/>
                  <w:ddList>
                    <w:listEntry w:val="NA"/>
                    <w:listEntry w:val="IN/OUT/Zero net cost"/>
                    <w:listEntry w:val="IN"/>
                    <w:listEntry w:val="OUT"/>
                    <w:listEntry w:val="Zero net cost"/>
                  </w:ddList>
                </w:ffData>
              </w:fldChar>
            </w:r>
            <w:r w:rsidR="00EB63F3">
              <w:rPr>
                <w:b w:val="0"/>
              </w:rPr>
              <w:instrText xml:space="preserve"> FORMDROPDOWN </w:instrText>
            </w:r>
            <w:r w:rsidR="004311A7">
              <w:rPr>
                <w:b w:val="0"/>
              </w:rPr>
            </w:r>
            <w:r w:rsidR="004311A7">
              <w:rPr>
                <w:b w:val="0"/>
              </w:rPr>
              <w:fldChar w:fldCharType="separate"/>
            </w:r>
            <w:r>
              <w:rPr>
                <w:b w:val="0"/>
              </w:rPr>
              <w:fldChar w:fldCharType="end"/>
            </w:r>
            <w:bookmarkEnd w:id="27"/>
          </w:p>
        </w:tc>
      </w:tr>
    </w:tbl>
    <w:p w:rsidR="00E7243F" w:rsidRPr="006957C5" w:rsidRDefault="00332EB2" w:rsidP="00251677">
      <w:pPr>
        <w:pStyle w:val="Heading1"/>
        <w:spacing w:before="0" w:line="276" w:lineRule="auto"/>
        <w:rPr>
          <w:rFonts w:ascii="Arial" w:hAnsi="Arial"/>
          <w:szCs w:val="20"/>
        </w:rPr>
      </w:pPr>
      <w:bookmarkStart w:id="28" w:name="EvidenceHead"/>
      <w:r w:rsidRPr="00DA3F65">
        <w:rPr>
          <w:rFonts w:ascii="Arial" w:hAnsi="Arial"/>
          <w:szCs w:val="20"/>
        </w:rPr>
        <w:lastRenderedPageBreak/>
        <w:t>Evidence Base</w:t>
      </w:r>
      <w:bookmarkStart w:id="29" w:name="EvidenceBase"/>
      <w:bookmarkEnd w:id="29"/>
    </w:p>
    <w:p w:rsidR="002026A2" w:rsidRDefault="006A7126" w:rsidP="00251677">
      <w:pPr>
        <w:spacing w:before="240" w:after="240" w:line="276" w:lineRule="auto"/>
        <w:rPr>
          <w:rFonts w:cs="Arial"/>
          <w:b/>
          <w:szCs w:val="20"/>
        </w:rPr>
      </w:pPr>
      <w:bookmarkStart w:id="30" w:name="EvidenceBulletEnd"/>
      <w:bookmarkEnd w:id="28"/>
      <w:r>
        <w:rPr>
          <w:rFonts w:cs="Arial"/>
          <w:b/>
          <w:szCs w:val="20"/>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815"/>
      </w:tblGrid>
      <w:tr w:rsidR="00784CBD" w:rsidRPr="00DD1253" w:rsidTr="00DD1253">
        <w:trPr>
          <w:trHeight w:val="20"/>
        </w:trPr>
        <w:tc>
          <w:tcPr>
            <w:tcW w:w="9606" w:type="dxa"/>
            <w:vAlign w:val="center"/>
          </w:tcPr>
          <w:p w:rsidR="00784CBD" w:rsidRPr="00DD1253" w:rsidRDefault="00784CBD" w:rsidP="003A5312">
            <w:pPr>
              <w:pStyle w:val="ListParagraph"/>
              <w:numPr>
                <w:ilvl w:val="0"/>
                <w:numId w:val="12"/>
              </w:numPr>
              <w:spacing w:line="360" w:lineRule="auto"/>
              <w:ind w:left="357" w:hanging="357"/>
              <w:contextualSpacing/>
              <w:rPr>
                <w:rFonts w:ascii="Arial" w:hAnsi="Arial" w:cs="Arial"/>
                <w:b/>
              </w:rPr>
            </w:pPr>
            <w:r w:rsidRPr="00DD1253">
              <w:rPr>
                <w:rFonts w:ascii="Arial" w:hAnsi="Arial" w:cs="Arial"/>
                <w:b/>
              </w:rPr>
              <w:t xml:space="preserve">      Problem Under Consideration and Rationale for Intervention</w:t>
            </w:r>
          </w:p>
        </w:tc>
        <w:tc>
          <w:tcPr>
            <w:tcW w:w="815" w:type="dxa"/>
            <w:vAlign w:val="center"/>
          </w:tcPr>
          <w:p w:rsidR="00784CBD" w:rsidRPr="00DD1253" w:rsidRDefault="00DD1253" w:rsidP="00DD1253">
            <w:pPr>
              <w:spacing w:line="360" w:lineRule="auto"/>
              <w:jc w:val="right"/>
              <w:rPr>
                <w:rFonts w:cs="Arial"/>
                <w:b/>
                <w:sz w:val="22"/>
                <w:szCs w:val="22"/>
              </w:rPr>
            </w:pPr>
            <w:r w:rsidRPr="00DD1253">
              <w:rPr>
                <w:rFonts w:cs="Arial"/>
                <w:b/>
                <w:sz w:val="22"/>
                <w:szCs w:val="22"/>
              </w:rPr>
              <w:t>4</w:t>
            </w:r>
          </w:p>
        </w:tc>
      </w:tr>
      <w:tr w:rsidR="00784CBD" w:rsidRPr="00DD1253" w:rsidTr="00DD1253">
        <w:trPr>
          <w:trHeight w:val="20"/>
        </w:trPr>
        <w:tc>
          <w:tcPr>
            <w:tcW w:w="9606" w:type="dxa"/>
            <w:vAlign w:val="center"/>
          </w:tcPr>
          <w:p w:rsidR="00784CBD" w:rsidRPr="00DD1253" w:rsidRDefault="00784CBD" w:rsidP="003A5312">
            <w:pPr>
              <w:pStyle w:val="ListParagraph"/>
              <w:numPr>
                <w:ilvl w:val="0"/>
                <w:numId w:val="12"/>
              </w:numPr>
              <w:spacing w:line="360" w:lineRule="auto"/>
              <w:ind w:left="709" w:hanging="709"/>
              <w:contextualSpacing/>
              <w:rPr>
                <w:rFonts w:ascii="Arial" w:hAnsi="Arial" w:cs="Arial"/>
                <w:b/>
                <w:bCs/>
                <w:spacing w:val="-4"/>
                <w:kern w:val="32"/>
              </w:rPr>
            </w:pPr>
            <w:r w:rsidRPr="00DD1253">
              <w:rPr>
                <w:rFonts w:ascii="Arial" w:hAnsi="Arial" w:cs="Arial"/>
                <w:b/>
                <w:bCs/>
                <w:spacing w:val="-4"/>
                <w:kern w:val="32"/>
              </w:rPr>
              <w:t>Policy Objective</w:t>
            </w:r>
          </w:p>
        </w:tc>
        <w:tc>
          <w:tcPr>
            <w:tcW w:w="815" w:type="dxa"/>
            <w:vAlign w:val="center"/>
          </w:tcPr>
          <w:p w:rsidR="00784CBD" w:rsidRPr="00DD1253" w:rsidRDefault="004C46FC" w:rsidP="00DD1253">
            <w:pPr>
              <w:spacing w:line="360" w:lineRule="auto"/>
              <w:jc w:val="right"/>
              <w:rPr>
                <w:rFonts w:cs="Arial"/>
                <w:b/>
                <w:sz w:val="22"/>
                <w:szCs w:val="22"/>
              </w:rPr>
            </w:pPr>
            <w:r>
              <w:rPr>
                <w:rFonts w:cs="Arial"/>
                <w:b/>
                <w:sz w:val="22"/>
                <w:szCs w:val="22"/>
              </w:rPr>
              <w:t>6</w:t>
            </w:r>
          </w:p>
        </w:tc>
      </w:tr>
      <w:tr w:rsidR="00784CBD" w:rsidRPr="00DD1253" w:rsidTr="00DD1253">
        <w:trPr>
          <w:trHeight w:val="20"/>
        </w:trPr>
        <w:tc>
          <w:tcPr>
            <w:tcW w:w="9606" w:type="dxa"/>
            <w:vAlign w:val="center"/>
          </w:tcPr>
          <w:p w:rsidR="00784CBD" w:rsidRPr="00DD1253" w:rsidRDefault="00784CBD" w:rsidP="00DD1253">
            <w:pPr>
              <w:pStyle w:val="ListParagraph"/>
              <w:spacing w:line="360" w:lineRule="auto"/>
              <w:ind w:left="709"/>
              <w:contextualSpacing/>
              <w:rPr>
                <w:rFonts w:ascii="Arial" w:hAnsi="Arial" w:cs="Arial"/>
                <w:bCs/>
                <w:spacing w:val="-4"/>
                <w:kern w:val="32"/>
              </w:rPr>
            </w:pPr>
            <w:r w:rsidRPr="00DD1253">
              <w:rPr>
                <w:rFonts w:ascii="Arial" w:hAnsi="Arial" w:cs="Arial"/>
              </w:rPr>
              <w:t>Policy and Impact Assessment Scope</w:t>
            </w:r>
          </w:p>
        </w:tc>
        <w:tc>
          <w:tcPr>
            <w:tcW w:w="815" w:type="dxa"/>
            <w:vAlign w:val="center"/>
          </w:tcPr>
          <w:p w:rsidR="00784CBD" w:rsidRPr="00DD1253" w:rsidRDefault="00DD1253" w:rsidP="00DD1253">
            <w:pPr>
              <w:spacing w:line="360" w:lineRule="auto"/>
              <w:jc w:val="right"/>
              <w:rPr>
                <w:rFonts w:cs="Arial"/>
                <w:b/>
                <w:sz w:val="22"/>
                <w:szCs w:val="22"/>
              </w:rPr>
            </w:pPr>
            <w:r w:rsidRPr="00DD1253">
              <w:rPr>
                <w:rFonts w:cs="Arial"/>
                <w:sz w:val="22"/>
                <w:szCs w:val="22"/>
              </w:rPr>
              <w:t>6</w:t>
            </w:r>
          </w:p>
        </w:tc>
      </w:tr>
      <w:tr w:rsidR="00784CBD" w:rsidRPr="00DD1253" w:rsidTr="00DD1253">
        <w:trPr>
          <w:trHeight w:val="20"/>
        </w:trPr>
        <w:tc>
          <w:tcPr>
            <w:tcW w:w="9606" w:type="dxa"/>
            <w:vAlign w:val="center"/>
          </w:tcPr>
          <w:p w:rsidR="00784CBD" w:rsidRPr="00DD1253" w:rsidRDefault="00784CBD" w:rsidP="003A5312">
            <w:pPr>
              <w:pStyle w:val="ListParagraph"/>
              <w:numPr>
                <w:ilvl w:val="0"/>
                <w:numId w:val="12"/>
              </w:numPr>
              <w:spacing w:line="360" w:lineRule="auto"/>
              <w:ind w:left="709" w:hanging="709"/>
              <w:contextualSpacing/>
              <w:rPr>
                <w:rFonts w:ascii="Arial" w:hAnsi="Arial" w:cs="Arial"/>
                <w:b/>
                <w:bCs/>
                <w:spacing w:val="-4"/>
                <w:kern w:val="32"/>
              </w:rPr>
            </w:pPr>
            <w:r w:rsidRPr="00DD1253">
              <w:rPr>
                <w:rFonts w:ascii="Arial" w:hAnsi="Arial" w:cs="Arial"/>
                <w:b/>
                <w:bCs/>
                <w:spacing w:val="-4"/>
                <w:kern w:val="32"/>
              </w:rPr>
              <w:t>Description of Options Considered</w:t>
            </w:r>
          </w:p>
        </w:tc>
        <w:tc>
          <w:tcPr>
            <w:tcW w:w="815" w:type="dxa"/>
            <w:vAlign w:val="center"/>
          </w:tcPr>
          <w:p w:rsidR="00784CBD" w:rsidRPr="00DD1253" w:rsidRDefault="00DD1253" w:rsidP="00DD1253">
            <w:pPr>
              <w:spacing w:line="360" w:lineRule="auto"/>
              <w:jc w:val="right"/>
              <w:rPr>
                <w:rFonts w:cs="Arial"/>
                <w:b/>
                <w:sz w:val="22"/>
                <w:szCs w:val="22"/>
              </w:rPr>
            </w:pPr>
            <w:r w:rsidRPr="00DD1253">
              <w:rPr>
                <w:rFonts w:cs="Arial"/>
                <w:b/>
                <w:sz w:val="22"/>
                <w:szCs w:val="22"/>
              </w:rPr>
              <w:t>9</w:t>
            </w:r>
          </w:p>
        </w:tc>
      </w:tr>
      <w:tr w:rsidR="00784CBD" w:rsidRPr="00DD1253" w:rsidTr="00DD1253">
        <w:trPr>
          <w:trHeight w:val="20"/>
        </w:trPr>
        <w:tc>
          <w:tcPr>
            <w:tcW w:w="9606" w:type="dxa"/>
            <w:vAlign w:val="center"/>
          </w:tcPr>
          <w:p w:rsidR="00784CBD" w:rsidRPr="00DD1253" w:rsidRDefault="00784CBD" w:rsidP="00DD1253">
            <w:pPr>
              <w:pStyle w:val="ListParagraph"/>
              <w:spacing w:line="360" w:lineRule="auto"/>
              <w:ind w:left="709"/>
              <w:contextualSpacing/>
              <w:rPr>
                <w:rFonts w:ascii="Arial" w:hAnsi="Arial" w:cs="Arial"/>
              </w:rPr>
            </w:pPr>
            <w:r w:rsidRPr="00DD1253">
              <w:rPr>
                <w:rFonts w:ascii="Arial" w:hAnsi="Arial" w:cs="Arial"/>
              </w:rPr>
              <w:t>Option 0 (Baseline) and Main Affect Groups</w:t>
            </w:r>
          </w:p>
        </w:tc>
        <w:tc>
          <w:tcPr>
            <w:tcW w:w="815" w:type="dxa"/>
            <w:vAlign w:val="center"/>
          </w:tcPr>
          <w:p w:rsidR="00784CBD" w:rsidRPr="00DD1253" w:rsidRDefault="00DD1253" w:rsidP="00DD1253">
            <w:pPr>
              <w:spacing w:line="360" w:lineRule="auto"/>
              <w:jc w:val="right"/>
              <w:rPr>
                <w:rFonts w:cs="Arial"/>
                <w:b/>
                <w:sz w:val="22"/>
                <w:szCs w:val="22"/>
              </w:rPr>
            </w:pPr>
            <w:r w:rsidRPr="00DD1253">
              <w:rPr>
                <w:rFonts w:cs="Arial"/>
                <w:sz w:val="22"/>
                <w:szCs w:val="22"/>
              </w:rPr>
              <w:t>9</w:t>
            </w:r>
          </w:p>
        </w:tc>
      </w:tr>
      <w:tr w:rsidR="00784CBD" w:rsidRPr="00DD1253" w:rsidTr="00DD1253">
        <w:trPr>
          <w:trHeight w:val="20"/>
        </w:trPr>
        <w:tc>
          <w:tcPr>
            <w:tcW w:w="9606" w:type="dxa"/>
            <w:vAlign w:val="center"/>
          </w:tcPr>
          <w:p w:rsidR="00784CBD" w:rsidRPr="00DD1253" w:rsidRDefault="00784CBD" w:rsidP="00DD1253">
            <w:pPr>
              <w:pStyle w:val="ListParagraph"/>
              <w:spacing w:line="360" w:lineRule="auto"/>
              <w:ind w:left="709"/>
              <w:contextualSpacing/>
              <w:rPr>
                <w:rFonts w:ascii="Arial" w:hAnsi="Arial" w:cs="Arial"/>
                <w:bCs/>
                <w:spacing w:val="-4"/>
                <w:kern w:val="32"/>
              </w:rPr>
            </w:pPr>
            <w:r w:rsidRPr="00DD1253">
              <w:rPr>
                <w:rFonts w:ascii="Arial" w:hAnsi="Arial" w:cs="Arial"/>
              </w:rPr>
              <w:t>Option 1 (Preferred)</w:t>
            </w:r>
          </w:p>
        </w:tc>
        <w:tc>
          <w:tcPr>
            <w:tcW w:w="815" w:type="dxa"/>
            <w:vAlign w:val="center"/>
          </w:tcPr>
          <w:p w:rsidR="00784CBD" w:rsidRPr="00DD1253" w:rsidRDefault="00610F70" w:rsidP="00DD1253">
            <w:pPr>
              <w:spacing w:line="360" w:lineRule="auto"/>
              <w:jc w:val="right"/>
              <w:rPr>
                <w:rFonts w:cs="Arial"/>
                <w:b/>
                <w:sz w:val="22"/>
                <w:szCs w:val="22"/>
              </w:rPr>
            </w:pPr>
            <w:r>
              <w:rPr>
                <w:rFonts w:cs="Arial"/>
                <w:sz w:val="22"/>
                <w:szCs w:val="22"/>
              </w:rPr>
              <w:t>12</w:t>
            </w:r>
          </w:p>
        </w:tc>
      </w:tr>
      <w:tr w:rsidR="00784CBD" w:rsidRPr="00DD1253" w:rsidTr="00DD1253">
        <w:trPr>
          <w:trHeight w:val="20"/>
        </w:trPr>
        <w:tc>
          <w:tcPr>
            <w:tcW w:w="9606" w:type="dxa"/>
            <w:vAlign w:val="center"/>
          </w:tcPr>
          <w:p w:rsidR="00784CBD" w:rsidRPr="00DD1253" w:rsidRDefault="00784CBD" w:rsidP="003A5312">
            <w:pPr>
              <w:pStyle w:val="ListParagraph"/>
              <w:numPr>
                <w:ilvl w:val="0"/>
                <w:numId w:val="12"/>
              </w:numPr>
              <w:spacing w:line="360" w:lineRule="auto"/>
              <w:ind w:left="709" w:hanging="709"/>
              <w:contextualSpacing/>
              <w:rPr>
                <w:rFonts w:ascii="Arial" w:hAnsi="Arial" w:cs="Arial"/>
                <w:b/>
                <w:bCs/>
                <w:spacing w:val="-4"/>
                <w:kern w:val="32"/>
              </w:rPr>
            </w:pPr>
            <w:r w:rsidRPr="00DD1253">
              <w:rPr>
                <w:rFonts w:ascii="Arial" w:hAnsi="Arial" w:cs="Arial"/>
                <w:b/>
                <w:bCs/>
                <w:spacing w:val="-4"/>
                <w:kern w:val="32"/>
              </w:rPr>
              <w:t>Costs of Policy Options</w:t>
            </w:r>
          </w:p>
        </w:tc>
        <w:tc>
          <w:tcPr>
            <w:tcW w:w="815" w:type="dxa"/>
            <w:vAlign w:val="center"/>
          </w:tcPr>
          <w:p w:rsidR="00784CBD" w:rsidRPr="00DD1253" w:rsidRDefault="00610F70" w:rsidP="004C46FC">
            <w:pPr>
              <w:spacing w:line="360" w:lineRule="auto"/>
              <w:jc w:val="right"/>
              <w:rPr>
                <w:rFonts w:cs="Arial"/>
                <w:b/>
                <w:sz w:val="22"/>
                <w:szCs w:val="22"/>
              </w:rPr>
            </w:pPr>
            <w:r>
              <w:rPr>
                <w:rFonts w:cs="Arial"/>
                <w:b/>
                <w:sz w:val="22"/>
                <w:szCs w:val="22"/>
              </w:rPr>
              <w:t>1</w:t>
            </w:r>
            <w:r w:rsidR="004C46FC">
              <w:rPr>
                <w:rFonts w:cs="Arial"/>
                <w:b/>
                <w:sz w:val="22"/>
                <w:szCs w:val="22"/>
              </w:rPr>
              <w:t>2</w:t>
            </w:r>
          </w:p>
        </w:tc>
      </w:tr>
      <w:tr w:rsidR="00784CBD" w:rsidRPr="00DD1253" w:rsidTr="00DD1253">
        <w:trPr>
          <w:trHeight w:val="20"/>
        </w:trPr>
        <w:tc>
          <w:tcPr>
            <w:tcW w:w="9606" w:type="dxa"/>
            <w:vAlign w:val="center"/>
          </w:tcPr>
          <w:p w:rsidR="00784CBD" w:rsidRPr="00DD1253" w:rsidRDefault="00784CBD" w:rsidP="00DD1253">
            <w:pPr>
              <w:pStyle w:val="ListParagraph"/>
              <w:spacing w:line="360" w:lineRule="auto"/>
              <w:ind w:left="709"/>
              <w:contextualSpacing/>
              <w:rPr>
                <w:rFonts w:ascii="Arial" w:hAnsi="Arial" w:cs="Arial"/>
                <w:bCs/>
                <w:spacing w:val="-4"/>
                <w:kern w:val="32"/>
              </w:rPr>
            </w:pPr>
            <w:r w:rsidRPr="00DD1253">
              <w:rPr>
                <w:rFonts w:ascii="Arial" w:hAnsi="Arial" w:cs="Arial"/>
                <w:bCs/>
                <w:spacing w:val="-4"/>
                <w:kern w:val="32"/>
              </w:rPr>
              <w:t>Option 0 (Baseline)</w:t>
            </w:r>
          </w:p>
        </w:tc>
        <w:tc>
          <w:tcPr>
            <w:tcW w:w="815" w:type="dxa"/>
            <w:vAlign w:val="center"/>
          </w:tcPr>
          <w:p w:rsidR="00784CBD" w:rsidRPr="00DD1253" w:rsidRDefault="0023133A" w:rsidP="004C46FC">
            <w:pPr>
              <w:spacing w:line="360" w:lineRule="auto"/>
              <w:jc w:val="right"/>
              <w:rPr>
                <w:rFonts w:cs="Arial"/>
                <w:b/>
                <w:sz w:val="22"/>
                <w:szCs w:val="22"/>
              </w:rPr>
            </w:pPr>
            <w:r>
              <w:rPr>
                <w:rFonts w:cs="Arial"/>
                <w:bCs/>
                <w:spacing w:val="-4"/>
                <w:kern w:val="32"/>
                <w:sz w:val="22"/>
                <w:szCs w:val="22"/>
              </w:rPr>
              <w:t>1</w:t>
            </w:r>
            <w:r w:rsidR="004C46FC">
              <w:rPr>
                <w:rFonts w:cs="Arial"/>
                <w:bCs/>
                <w:spacing w:val="-4"/>
                <w:kern w:val="32"/>
                <w:sz w:val="22"/>
                <w:szCs w:val="22"/>
              </w:rPr>
              <w:t>3</w:t>
            </w:r>
          </w:p>
        </w:tc>
      </w:tr>
      <w:tr w:rsidR="00784CBD" w:rsidRPr="00DD1253" w:rsidTr="00DD1253">
        <w:trPr>
          <w:trHeight w:val="20"/>
        </w:trPr>
        <w:tc>
          <w:tcPr>
            <w:tcW w:w="9606" w:type="dxa"/>
            <w:vAlign w:val="center"/>
          </w:tcPr>
          <w:p w:rsidR="00784CBD" w:rsidRPr="00DD1253" w:rsidRDefault="00784CBD" w:rsidP="00DD1253">
            <w:pPr>
              <w:spacing w:line="360" w:lineRule="auto"/>
              <w:ind w:left="720"/>
              <w:contextualSpacing/>
              <w:rPr>
                <w:rFonts w:cs="Arial"/>
                <w:bCs/>
                <w:spacing w:val="-4"/>
                <w:kern w:val="32"/>
                <w:sz w:val="22"/>
                <w:szCs w:val="22"/>
              </w:rPr>
            </w:pPr>
            <w:r w:rsidRPr="00DD1253">
              <w:rPr>
                <w:rFonts w:cs="Arial"/>
                <w:bCs/>
                <w:spacing w:val="-4"/>
                <w:kern w:val="32"/>
                <w:sz w:val="22"/>
                <w:szCs w:val="22"/>
              </w:rPr>
              <w:t>Option 1 (Preferred)</w:t>
            </w:r>
          </w:p>
        </w:tc>
        <w:tc>
          <w:tcPr>
            <w:tcW w:w="815" w:type="dxa"/>
            <w:vAlign w:val="center"/>
          </w:tcPr>
          <w:p w:rsidR="00784CBD" w:rsidRPr="00DD1253" w:rsidRDefault="005658EB" w:rsidP="00DD1253">
            <w:pPr>
              <w:spacing w:line="360" w:lineRule="auto"/>
              <w:jc w:val="right"/>
              <w:rPr>
                <w:rFonts w:cs="Arial"/>
                <w:b/>
                <w:sz w:val="22"/>
                <w:szCs w:val="22"/>
              </w:rPr>
            </w:pPr>
            <w:r>
              <w:rPr>
                <w:rFonts w:cs="Arial"/>
                <w:bCs/>
                <w:spacing w:val="-4"/>
                <w:kern w:val="32"/>
                <w:sz w:val="22"/>
                <w:szCs w:val="22"/>
              </w:rPr>
              <w:t>13</w:t>
            </w:r>
          </w:p>
        </w:tc>
      </w:tr>
      <w:tr w:rsidR="00784CBD" w:rsidRPr="00DD1253" w:rsidTr="00DD1253">
        <w:trPr>
          <w:trHeight w:val="20"/>
        </w:trPr>
        <w:tc>
          <w:tcPr>
            <w:tcW w:w="9606" w:type="dxa"/>
            <w:vAlign w:val="center"/>
          </w:tcPr>
          <w:p w:rsidR="00784CBD" w:rsidRPr="00DD1253" w:rsidRDefault="00784CBD" w:rsidP="003A5312">
            <w:pPr>
              <w:pStyle w:val="ListParagraph"/>
              <w:numPr>
                <w:ilvl w:val="0"/>
                <w:numId w:val="12"/>
              </w:numPr>
              <w:spacing w:line="360" w:lineRule="auto"/>
              <w:ind w:left="709" w:hanging="709"/>
              <w:contextualSpacing/>
              <w:rPr>
                <w:rFonts w:ascii="Arial" w:hAnsi="Arial" w:cs="Arial"/>
                <w:b/>
                <w:bCs/>
                <w:spacing w:val="-4"/>
                <w:kern w:val="32"/>
              </w:rPr>
            </w:pPr>
            <w:r w:rsidRPr="00DD1253">
              <w:rPr>
                <w:rFonts w:ascii="Arial" w:hAnsi="Arial" w:cs="Arial"/>
                <w:b/>
                <w:bCs/>
                <w:spacing w:val="-4"/>
                <w:kern w:val="32"/>
              </w:rPr>
              <w:t>Benefits</w:t>
            </w:r>
          </w:p>
        </w:tc>
        <w:tc>
          <w:tcPr>
            <w:tcW w:w="815" w:type="dxa"/>
            <w:vAlign w:val="center"/>
          </w:tcPr>
          <w:p w:rsidR="00784CBD" w:rsidRPr="00DD1253" w:rsidRDefault="005658EB" w:rsidP="00DD1253">
            <w:pPr>
              <w:spacing w:line="360" w:lineRule="auto"/>
              <w:jc w:val="right"/>
              <w:rPr>
                <w:rFonts w:cs="Arial"/>
                <w:b/>
                <w:sz w:val="22"/>
                <w:szCs w:val="22"/>
              </w:rPr>
            </w:pPr>
            <w:r>
              <w:rPr>
                <w:rFonts w:cs="Arial"/>
                <w:b/>
                <w:sz w:val="22"/>
                <w:szCs w:val="22"/>
              </w:rPr>
              <w:t>16</w:t>
            </w:r>
          </w:p>
        </w:tc>
      </w:tr>
      <w:tr w:rsidR="00784CBD" w:rsidRPr="00DD1253" w:rsidTr="00DD1253">
        <w:trPr>
          <w:trHeight w:val="20"/>
        </w:trPr>
        <w:tc>
          <w:tcPr>
            <w:tcW w:w="9606" w:type="dxa"/>
            <w:vAlign w:val="center"/>
          </w:tcPr>
          <w:p w:rsidR="00784CBD" w:rsidRPr="00DD1253" w:rsidRDefault="00784CBD" w:rsidP="003A5312">
            <w:pPr>
              <w:pStyle w:val="ListParagraph"/>
              <w:numPr>
                <w:ilvl w:val="0"/>
                <w:numId w:val="12"/>
              </w:numPr>
              <w:spacing w:line="360" w:lineRule="auto"/>
              <w:ind w:left="709" w:hanging="709"/>
              <w:contextualSpacing/>
              <w:rPr>
                <w:rFonts w:ascii="Arial" w:hAnsi="Arial" w:cs="Arial"/>
                <w:b/>
                <w:bCs/>
                <w:spacing w:val="-4"/>
                <w:kern w:val="32"/>
              </w:rPr>
            </w:pPr>
            <w:r w:rsidRPr="00DD1253">
              <w:rPr>
                <w:rFonts w:ascii="Arial" w:hAnsi="Arial" w:cs="Arial"/>
                <w:b/>
                <w:bCs/>
                <w:spacing w:val="-4"/>
                <w:kern w:val="32"/>
              </w:rPr>
              <w:t>Conclusions</w:t>
            </w:r>
          </w:p>
        </w:tc>
        <w:tc>
          <w:tcPr>
            <w:tcW w:w="815" w:type="dxa"/>
            <w:vAlign w:val="center"/>
          </w:tcPr>
          <w:p w:rsidR="00784CBD" w:rsidRPr="00DD1253" w:rsidRDefault="005658EB" w:rsidP="00DD1253">
            <w:pPr>
              <w:spacing w:line="360" w:lineRule="auto"/>
              <w:jc w:val="right"/>
              <w:rPr>
                <w:rFonts w:cs="Arial"/>
                <w:b/>
                <w:sz w:val="22"/>
                <w:szCs w:val="22"/>
              </w:rPr>
            </w:pPr>
            <w:r>
              <w:rPr>
                <w:rFonts w:cs="Arial"/>
                <w:b/>
                <w:sz w:val="22"/>
                <w:szCs w:val="22"/>
              </w:rPr>
              <w:t>16</w:t>
            </w:r>
          </w:p>
        </w:tc>
      </w:tr>
      <w:tr w:rsidR="00784CBD" w:rsidRPr="00DD1253" w:rsidTr="00DD1253">
        <w:trPr>
          <w:trHeight w:val="20"/>
        </w:trPr>
        <w:tc>
          <w:tcPr>
            <w:tcW w:w="9606" w:type="dxa"/>
            <w:vAlign w:val="center"/>
          </w:tcPr>
          <w:p w:rsidR="00784CBD" w:rsidRPr="00DD1253" w:rsidRDefault="00784CBD" w:rsidP="003A5312">
            <w:pPr>
              <w:pStyle w:val="ListParagraph"/>
              <w:numPr>
                <w:ilvl w:val="0"/>
                <w:numId w:val="12"/>
              </w:numPr>
              <w:spacing w:line="360" w:lineRule="auto"/>
              <w:ind w:left="709" w:hanging="709"/>
              <w:contextualSpacing/>
              <w:rPr>
                <w:rFonts w:ascii="Arial" w:hAnsi="Arial" w:cs="Arial"/>
                <w:b/>
                <w:bCs/>
                <w:spacing w:val="-4"/>
                <w:kern w:val="32"/>
              </w:rPr>
            </w:pPr>
            <w:r w:rsidRPr="00DD1253">
              <w:rPr>
                <w:rFonts w:ascii="Arial" w:hAnsi="Arial" w:cs="Arial"/>
                <w:b/>
                <w:bCs/>
                <w:spacing w:val="-4"/>
                <w:kern w:val="32"/>
              </w:rPr>
              <w:t>Annexes</w:t>
            </w:r>
          </w:p>
        </w:tc>
        <w:tc>
          <w:tcPr>
            <w:tcW w:w="815" w:type="dxa"/>
            <w:vAlign w:val="center"/>
          </w:tcPr>
          <w:p w:rsidR="00784CBD" w:rsidRPr="00DD1253" w:rsidRDefault="005658EB" w:rsidP="00DD1253">
            <w:pPr>
              <w:spacing w:line="360" w:lineRule="auto"/>
              <w:jc w:val="right"/>
              <w:rPr>
                <w:rFonts w:cs="Arial"/>
                <w:b/>
                <w:sz w:val="22"/>
                <w:szCs w:val="22"/>
              </w:rPr>
            </w:pPr>
            <w:r>
              <w:rPr>
                <w:rFonts w:cs="Arial"/>
                <w:b/>
                <w:sz w:val="22"/>
                <w:szCs w:val="22"/>
              </w:rPr>
              <w:t>18</w:t>
            </w:r>
          </w:p>
        </w:tc>
      </w:tr>
      <w:tr w:rsidR="00784CBD" w:rsidRPr="00DD1253" w:rsidTr="00DD1253">
        <w:trPr>
          <w:trHeight w:val="20"/>
        </w:trPr>
        <w:tc>
          <w:tcPr>
            <w:tcW w:w="9606" w:type="dxa"/>
            <w:vAlign w:val="center"/>
          </w:tcPr>
          <w:p w:rsidR="00784CBD" w:rsidRPr="00DD1253" w:rsidRDefault="00784CBD" w:rsidP="00DD1253">
            <w:pPr>
              <w:pStyle w:val="ListParagraph"/>
              <w:spacing w:line="360" w:lineRule="auto"/>
              <w:ind w:left="709"/>
              <w:contextualSpacing/>
              <w:rPr>
                <w:rFonts w:ascii="Arial" w:hAnsi="Arial" w:cs="Arial"/>
              </w:rPr>
            </w:pPr>
            <w:r w:rsidRPr="00DD1253">
              <w:rPr>
                <w:rFonts w:ascii="Arial" w:hAnsi="Arial" w:cs="Arial"/>
              </w:rPr>
              <w:t>Annex A: Fishery and Aquaculture Products covered by the CMO</w:t>
            </w:r>
          </w:p>
        </w:tc>
        <w:tc>
          <w:tcPr>
            <w:tcW w:w="815" w:type="dxa"/>
            <w:vAlign w:val="center"/>
          </w:tcPr>
          <w:p w:rsidR="00784CBD" w:rsidRPr="00DD1253" w:rsidRDefault="005658EB" w:rsidP="00DD1253">
            <w:pPr>
              <w:spacing w:line="360" w:lineRule="auto"/>
              <w:jc w:val="right"/>
              <w:rPr>
                <w:rFonts w:cs="Arial"/>
                <w:b/>
                <w:sz w:val="22"/>
                <w:szCs w:val="22"/>
              </w:rPr>
            </w:pPr>
            <w:r>
              <w:rPr>
                <w:rFonts w:cs="Arial"/>
                <w:sz w:val="22"/>
                <w:szCs w:val="22"/>
              </w:rPr>
              <w:t>18</w:t>
            </w:r>
          </w:p>
        </w:tc>
      </w:tr>
      <w:tr w:rsidR="00784CBD" w:rsidRPr="00DD1253" w:rsidTr="00DD1253">
        <w:trPr>
          <w:trHeight w:val="20"/>
        </w:trPr>
        <w:tc>
          <w:tcPr>
            <w:tcW w:w="9606" w:type="dxa"/>
            <w:vAlign w:val="center"/>
          </w:tcPr>
          <w:p w:rsidR="00784CBD" w:rsidRPr="00DD1253" w:rsidRDefault="00784CBD" w:rsidP="00DD1253">
            <w:pPr>
              <w:pStyle w:val="ListParagraph"/>
              <w:spacing w:line="360" w:lineRule="auto"/>
              <w:ind w:left="709"/>
              <w:contextualSpacing/>
              <w:rPr>
                <w:rFonts w:ascii="Arial" w:hAnsi="Arial" w:cs="Arial"/>
              </w:rPr>
            </w:pPr>
            <w:r w:rsidRPr="00DD1253">
              <w:rPr>
                <w:rFonts w:ascii="Arial" w:hAnsi="Arial" w:cs="Arial"/>
              </w:rPr>
              <w:t>Annex B: Information on Fishing Gear which can be supplied under the CMO</w:t>
            </w:r>
          </w:p>
        </w:tc>
        <w:tc>
          <w:tcPr>
            <w:tcW w:w="815" w:type="dxa"/>
            <w:vAlign w:val="center"/>
          </w:tcPr>
          <w:p w:rsidR="00784CBD" w:rsidRPr="00DD1253" w:rsidRDefault="005658EB" w:rsidP="00DD1253">
            <w:pPr>
              <w:spacing w:line="360" w:lineRule="auto"/>
              <w:jc w:val="right"/>
              <w:rPr>
                <w:rFonts w:cs="Arial"/>
                <w:sz w:val="22"/>
                <w:szCs w:val="22"/>
              </w:rPr>
            </w:pPr>
            <w:r>
              <w:rPr>
                <w:rFonts w:cs="Arial"/>
                <w:sz w:val="22"/>
                <w:szCs w:val="22"/>
              </w:rPr>
              <w:t>19</w:t>
            </w:r>
          </w:p>
        </w:tc>
      </w:tr>
      <w:tr w:rsidR="00784CBD" w:rsidRPr="00DD1253" w:rsidTr="00DD1253">
        <w:trPr>
          <w:trHeight w:val="20"/>
        </w:trPr>
        <w:tc>
          <w:tcPr>
            <w:tcW w:w="9606" w:type="dxa"/>
            <w:vAlign w:val="center"/>
          </w:tcPr>
          <w:p w:rsidR="00784CBD" w:rsidRPr="00DD1253" w:rsidRDefault="00784CBD" w:rsidP="00DD1253">
            <w:pPr>
              <w:pStyle w:val="ListParagraph"/>
              <w:spacing w:line="360" w:lineRule="auto"/>
              <w:ind w:left="709"/>
              <w:contextualSpacing/>
              <w:rPr>
                <w:rFonts w:ascii="Arial" w:hAnsi="Arial" w:cs="Arial"/>
              </w:rPr>
            </w:pPr>
            <w:r w:rsidRPr="00DD1253">
              <w:rPr>
                <w:rFonts w:ascii="Arial" w:hAnsi="Arial" w:cs="Arial"/>
              </w:rPr>
              <w:t>Annex C: Consultation Questions for the Impact Assessment</w:t>
            </w:r>
          </w:p>
        </w:tc>
        <w:tc>
          <w:tcPr>
            <w:tcW w:w="815" w:type="dxa"/>
            <w:vAlign w:val="center"/>
          </w:tcPr>
          <w:p w:rsidR="00784CBD" w:rsidRPr="00DD1253" w:rsidRDefault="005658EB" w:rsidP="00DD1253">
            <w:pPr>
              <w:spacing w:line="360" w:lineRule="auto"/>
              <w:jc w:val="right"/>
              <w:rPr>
                <w:rFonts w:cs="Arial"/>
                <w:sz w:val="22"/>
                <w:szCs w:val="22"/>
              </w:rPr>
            </w:pPr>
            <w:r>
              <w:rPr>
                <w:rFonts w:cs="Arial"/>
                <w:sz w:val="22"/>
                <w:szCs w:val="22"/>
              </w:rPr>
              <w:t>20</w:t>
            </w:r>
          </w:p>
        </w:tc>
      </w:tr>
    </w:tbl>
    <w:p w:rsidR="006A7126" w:rsidRDefault="006A7126" w:rsidP="006A7126">
      <w:pPr>
        <w:pStyle w:val="ListParagraph"/>
        <w:spacing w:after="240" w:line="360" w:lineRule="auto"/>
        <w:ind w:left="709"/>
        <w:contextualSpacing/>
        <w:rPr>
          <w:rFonts w:cs="Arial"/>
          <w:bCs/>
          <w:spacing w:val="-4"/>
          <w:kern w:val="32"/>
        </w:rPr>
      </w:pPr>
    </w:p>
    <w:p w:rsidR="004D7D02" w:rsidRDefault="004D7D02" w:rsidP="006A7126">
      <w:pPr>
        <w:pStyle w:val="ListParagraph"/>
        <w:spacing w:after="240" w:line="360" w:lineRule="auto"/>
        <w:ind w:left="709"/>
        <w:contextualSpacing/>
        <w:rPr>
          <w:rFonts w:cs="Arial"/>
          <w:bCs/>
          <w:spacing w:val="-4"/>
          <w:kern w:val="32"/>
        </w:rPr>
      </w:pPr>
    </w:p>
    <w:p w:rsidR="004D7D02" w:rsidRDefault="004D7D02" w:rsidP="006A7126">
      <w:pPr>
        <w:pStyle w:val="ListParagraph"/>
        <w:spacing w:after="240" w:line="360" w:lineRule="auto"/>
        <w:ind w:left="709"/>
        <w:contextualSpacing/>
        <w:rPr>
          <w:rFonts w:cs="Arial"/>
          <w:bCs/>
          <w:spacing w:val="-4"/>
          <w:kern w:val="32"/>
        </w:rPr>
      </w:pPr>
    </w:p>
    <w:p w:rsidR="004D7D02" w:rsidRDefault="004D7D02" w:rsidP="006A7126">
      <w:pPr>
        <w:pStyle w:val="ListParagraph"/>
        <w:spacing w:after="240" w:line="360" w:lineRule="auto"/>
        <w:ind w:left="709"/>
        <w:contextualSpacing/>
        <w:rPr>
          <w:rFonts w:cs="Arial"/>
          <w:bCs/>
          <w:spacing w:val="-4"/>
          <w:kern w:val="32"/>
        </w:rPr>
      </w:pPr>
    </w:p>
    <w:p w:rsidR="004D7D02" w:rsidRDefault="004D7D02" w:rsidP="006A7126">
      <w:pPr>
        <w:pStyle w:val="ListParagraph"/>
        <w:spacing w:after="240" w:line="360" w:lineRule="auto"/>
        <w:ind w:left="709"/>
        <w:contextualSpacing/>
        <w:rPr>
          <w:rFonts w:cs="Arial"/>
          <w:bCs/>
          <w:spacing w:val="-4"/>
          <w:kern w:val="32"/>
        </w:rPr>
      </w:pPr>
    </w:p>
    <w:p w:rsidR="004D7D02" w:rsidRDefault="004D7D02" w:rsidP="006A7126">
      <w:pPr>
        <w:pStyle w:val="ListParagraph"/>
        <w:spacing w:after="240" w:line="360" w:lineRule="auto"/>
        <w:ind w:left="709"/>
        <w:contextualSpacing/>
        <w:rPr>
          <w:rFonts w:cs="Arial"/>
          <w:bCs/>
          <w:spacing w:val="-4"/>
          <w:kern w:val="32"/>
        </w:rPr>
      </w:pPr>
    </w:p>
    <w:p w:rsidR="004D7D02" w:rsidRDefault="004D7D02" w:rsidP="006A7126">
      <w:pPr>
        <w:pStyle w:val="ListParagraph"/>
        <w:spacing w:after="240" w:line="360" w:lineRule="auto"/>
        <w:ind w:left="709"/>
        <w:contextualSpacing/>
        <w:rPr>
          <w:rFonts w:cs="Arial"/>
          <w:bCs/>
          <w:spacing w:val="-4"/>
          <w:kern w:val="32"/>
        </w:rPr>
      </w:pPr>
    </w:p>
    <w:p w:rsidR="004D7D02" w:rsidRDefault="004D7D02" w:rsidP="006A7126">
      <w:pPr>
        <w:pStyle w:val="ListParagraph"/>
        <w:spacing w:after="240" w:line="360" w:lineRule="auto"/>
        <w:ind w:left="709"/>
        <w:contextualSpacing/>
        <w:rPr>
          <w:rFonts w:cs="Arial"/>
          <w:bCs/>
          <w:spacing w:val="-4"/>
          <w:kern w:val="32"/>
        </w:rPr>
      </w:pPr>
    </w:p>
    <w:p w:rsidR="004D7D02" w:rsidRDefault="004D7D02" w:rsidP="006A7126">
      <w:pPr>
        <w:pStyle w:val="ListParagraph"/>
        <w:spacing w:after="240" w:line="360" w:lineRule="auto"/>
        <w:ind w:left="709"/>
        <w:contextualSpacing/>
        <w:rPr>
          <w:rFonts w:cs="Arial"/>
          <w:bCs/>
          <w:spacing w:val="-4"/>
          <w:kern w:val="32"/>
        </w:rPr>
      </w:pPr>
    </w:p>
    <w:p w:rsidR="004D7D02" w:rsidRDefault="004D7D02" w:rsidP="006A7126">
      <w:pPr>
        <w:pStyle w:val="ListParagraph"/>
        <w:spacing w:after="240" w:line="360" w:lineRule="auto"/>
        <w:ind w:left="709"/>
        <w:contextualSpacing/>
        <w:rPr>
          <w:rFonts w:cs="Arial"/>
          <w:bCs/>
          <w:spacing w:val="-4"/>
          <w:kern w:val="32"/>
        </w:rPr>
      </w:pPr>
    </w:p>
    <w:p w:rsidR="004D7D02" w:rsidRDefault="004D7D02" w:rsidP="006A7126">
      <w:pPr>
        <w:pStyle w:val="ListParagraph"/>
        <w:spacing w:after="240" w:line="360" w:lineRule="auto"/>
        <w:ind w:left="709"/>
        <w:contextualSpacing/>
        <w:rPr>
          <w:rFonts w:cs="Arial"/>
          <w:bCs/>
          <w:spacing w:val="-4"/>
          <w:kern w:val="32"/>
        </w:rPr>
      </w:pPr>
    </w:p>
    <w:p w:rsidR="004D7D02" w:rsidRDefault="004D7D02" w:rsidP="006A7126">
      <w:pPr>
        <w:pStyle w:val="ListParagraph"/>
        <w:spacing w:after="240" w:line="360" w:lineRule="auto"/>
        <w:ind w:left="709"/>
        <w:contextualSpacing/>
        <w:rPr>
          <w:rFonts w:cs="Arial"/>
          <w:bCs/>
          <w:spacing w:val="-4"/>
          <w:kern w:val="32"/>
        </w:rPr>
      </w:pPr>
    </w:p>
    <w:p w:rsidR="004D7D02" w:rsidRDefault="004D7D02" w:rsidP="006A7126">
      <w:pPr>
        <w:pStyle w:val="ListParagraph"/>
        <w:spacing w:after="240" w:line="360" w:lineRule="auto"/>
        <w:ind w:left="709"/>
        <w:contextualSpacing/>
        <w:rPr>
          <w:rFonts w:cs="Arial"/>
          <w:bCs/>
          <w:spacing w:val="-4"/>
          <w:kern w:val="32"/>
        </w:rPr>
      </w:pPr>
    </w:p>
    <w:p w:rsidR="00D23351" w:rsidRDefault="00D23351" w:rsidP="006A7126">
      <w:pPr>
        <w:pStyle w:val="ListParagraph"/>
        <w:spacing w:after="240" w:line="360" w:lineRule="auto"/>
        <w:ind w:left="709"/>
        <w:contextualSpacing/>
        <w:rPr>
          <w:rFonts w:cs="Arial"/>
          <w:bCs/>
          <w:spacing w:val="-4"/>
          <w:kern w:val="32"/>
        </w:rPr>
      </w:pPr>
    </w:p>
    <w:p w:rsidR="004D7D02" w:rsidRDefault="004D7D02" w:rsidP="006A7126">
      <w:pPr>
        <w:pStyle w:val="ListParagraph"/>
        <w:spacing w:after="240" w:line="360" w:lineRule="auto"/>
        <w:ind w:left="709"/>
        <w:contextualSpacing/>
        <w:rPr>
          <w:rFonts w:cs="Arial"/>
          <w:bCs/>
          <w:spacing w:val="-4"/>
          <w:kern w:val="32"/>
        </w:rPr>
      </w:pPr>
    </w:p>
    <w:p w:rsidR="004D7D02" w:rsidRDefault="004D7D02" w:rsidP="006A7126">
      <w:pPr>
        <w:pStyle w:val="ListParagraph"/>
        <w:spacing w:after="240" w:line="360" w:lineRule="auto"/>
        <w:ind w:left="709"/>
        <w:contextualSpacing/>
        <w:rPr>
          <w:rFonts w:cs="Arial"/>
          <w:bCs/>
          <w:spacing w:val="-4"/>
          <w:kern w:val="32"/>
        </w:rPr>
      </w:pPr>
    </w:p>
    <w:p w:rsidR="004D7D02" w:rsidRDefault="004D7D02" w:rsidP="006A7126">
      <w:pPr>
        <w:pStyle w:val="ListParagraph"/>
        <w:spacing w:after="240" w:line="360" w:lineRule="auto"/>
        <w:ind w:left="709"/>
        <w:contextualSpacing/>
        <w:rPr>
          <w:rFonts w:cs="Arial"/>
          <w:bCs/>
          <w:spacing w:val="-4"/>
          <w:kern w:val="32"/>
        </w:rPr>
      </w:pPr>
    </w:p>
    <w:p w:rsidR="004D7D02" w:rsidRDefault="004D7D02" w:rsidP="006A7126">
      <w:pPr>
        <w:pStyle w:val="ListParagraph"/>
        <w:spacing w:after="240" w:line="360" w:lineRule="auto"/>
        <w:ind w:left="709"/>
        <w:contextualSpacing/>
        <w:rPr>
          <w:rFonts w:cs="Arial"/>
          <w:bCs/>
          <w:spacing w:val="-4"/>
          <w:kern w:val="32"/>
        </w:rPr>
      </w:pPr>
    </w:p>
    <w:p w:rsidR="004D7D02" w:rsidRDefault="004D7D02" w:rsidP="006A7126">
      <w:pPr>
        <w:pStyle w:val="ListParagraph"/>
        <w:spacing w:after="240" w:line="360" w:lineRule="auto"/>
        <w:ind w:left="709"/>
        <w:contextualSpacing/>
        <w:rPr>
          <w:rFonts w:cs="Arial"/>
          <w:bCs/>
          <w:spacing w:val="-4"/>
          <w:kern w:val="32"/>
        </w:rPr>
      </w:pPr>
    </w:p>
    <w:p w:rsidR="004D7D02" w:rsidRPr="00B07F44" w:rsidRDefault="004D7D02" w:rsidP="00B07F44">
      <w:pPr>
        <w:spacing w:after="240" w:line="360" w:lineRule="auto"/>
        <w:contextualSpacing/>
        <w:rPr>
          <w:rFonts w:cs="Arial"/>
          <w:bCs/>
          <w:spacing w:val="-4"/>
          <w:kern w:val="32"/>
        </w:rPr>
      </w:pPr>
    </w:p>
    <w:p w:rsidR="00965FBB" w:rsidRDefault="00965FBB" w:rsidP="00965FBB">
      <w:pPr>
        <w:jc w:val="both"/>
        <w:rPr>
          <w:rFonts w:cs="Arial"/>
          <w:sz w:val="22"/>
          <w:szCs w:val="22"/>
        </w:rPr>
      </w:pPr>
    </w:p>
    <w:p w:rsidR="00965FBB" w:rsidRDefault="00965FBB" w:rsidP="00965FBB">
      <w:pPr>
        <w:pStyle w:val="ListParagraph"/>
        <w:numPr>
          <w:ilvl w:val="0"/>
          <w:numId w:val="4"/>
        </w:numPr>
        <w:spacing w:before="240" w:after="240" w:line="276" w:lineRule="auto"/>
        <w:contextualSpacing/>
        <w:jc w:val="both"/>
        <w:rPr>
          <w:rFonts w:ascii="Arial" w:hAnsi="Arial" w:cs="Arial"/>
          <w:b/>
          <w:sz w:val="24"/>
          <w:szCs w:val="20"/>
        </w:rPr>
      </w:pPr>
      <w:r w:rsidRPr="00DA3F65">
        <w:rPr>
          <w:rFonts w:ascii="Arial" w:hAnsi="Arial" w:cs="Arial"/>
          <w:b/>
          <w:sz w:val="24"/>
          <w:szCs w:val="20"/>
        </w:rPr>
        <w:lastRenderedPageBreak/>
        <w:t>Problem Under Consideration and Rationale for Intervention</w:t>
      </w:r>
    </w:p>
    <w:p w:rsidR="00965FBB" w:rsidRPr="00965FBB" w:rsidRDefault="00965FBB" w:rsidP="00965FBB">
      <w:pPr>
        <w:pStyle w:val="ListParagraph"/>
        <w:spacing w:before="240" w:after="240" w:line="276" w:lineRule="auto"/>
        <w:ind w:left="360"/>
        <w:contextualSpacing/>
        <w:jc w:val="both"/>
        <w:rPr>
          <w:rFonts w:ascii="Arial" w:hAnsi="Arial" w:cs="Arial"/>
          <w:b/>
          <w:sz w:val="24"/>
          <w:szCs w:val="20"/>
        </w:rPr>
      </w:pPr>
    </w:p>
    <w:p w:rsidR="00965FBB" w:rsidRPr="00965FBB" w:rsidRDefault="00965FBB" w:rsidP="00965FBB">
      <w:pPr>
        <w:pStyle w:val="ListParagraph"/>
        <w:numPr>
          <w:ilvl w:val="1"/>
          <w:numId w:val="4"/>
        </w:numPr>
        <w:jc w:val="both"/>
        <w:rPr>
          <w:rFonts w:ascii="Arial" w:hAnsi="Arial" w:cs="Arial"/>
        </w:rPr>
      </w:pPr>
      <w:r w:rsidRPr="00965FBB">
        <w:rPr>
          <w:rFonts w:ascii="Arial" w:hAnsi="Arial" w:cs="Arial"/>
        </w:rPr>
        <w:t xml:space="preserve">The Common Fisheries Policy (CFP) is the EU’s instrument for the management of fisheries and aquaculture. The CFP is made up of three regulations, the CFP basic regulation, the Common Market Organisation </w:t>
      </w:r>
      <w:r w:rsidR="00D87686">
        <w:rPr>
          <w:rFonts w:ascii="Arial" w:hAnsi="Arial" w:cs="Arial"/>
        </w:rPr>
        <w:t>in</w:t>
      </w:r>
      <w:r w:rsidRPr="00965FBB">
        <w:rPr>
          <w:rFonts w:ascii="Arial" w:hAnsi="Arial" w:cs="Arial"/>
        </w:rPr>
        <w:t xml:space="preserve"> Fishery and Aquaculture Products (CMO) and the European Maritime and Fisheries Fund (EMFF). Reforms to the CFP basic regulation and the CMO came into force on the 1 January 2014, with support being made available under the EMFF from 2015. The reformed CFP basic regulation can be accessed here </w:t>
      </w:r>
      <w:r w:rsidRPr="00965FBB">
        <w:rPr>
          <w:rFonts w:ascii="Arial" w:hAnsi="Arial" w:cs="Arial"/>
          <w:noProof/>
        </w:rPr>
        <w:t>here (</w:t>
      </w:r>
      <w:hyperlink r:id="rId10" w:history="1">
        <w:r w:rsidRPr="00965FBB">
          <w:rPr>
            <w:rStyle w:val="Hyperlink"/>
            <w:rFonts w:ascii="Arial" w:hAnsi="Arial" w:cs="Arial"/>
            <w:noProof/>
            <w:color w:val="0070C0"/>
          </w:rPr>
          <w:t>Reformed CFP Regulation</w:t>
        </w:r>
      </w:hyperlink>
      <w:r w:rsidRPr="00965FBB">
        <w:rPr>
          <w:rFonts w:ascii="Arial" w:hAnsi="Arial" w:cs="Arial"/>
          <w:noProof/>
        </w:rPr>
        <w:t>) and the reformed CMO regulation can be accessed here (</w:t>
      </w:r>
      <w:hyperlink r:id="rId11" w:history="1">
        <w:r w:rsidRPr="00965FBB">
          <w:rPr>
            <w:rStyle w:val="Hyperlink"/>
            <w:rFonts w:ascii="Arial" w:hAnsi="Arial" w:cs="Arial"/>
            <w:noProof/>
            <w:color w:val="0070C0"/>
          </w:rPr>
          <w:t>Reformed CMO Regulation</w:t>
        </w:r>
      </w:hyperlink>
      <w:r w:rsidRPr="00965FBB">
        <w:rPr>
          <w:rFonts w:ascii="Arial" w:hAnsi="Arial" w:cs="Arial"/>
          <w:noProof/>
        </w:rPr>
        <w:t>).</w:t>
      </w:r>
      <w:r w:rsidRPr="00965FBB">
        <w:rPr>
          <w:rFonts w:ascii="Arial" w:hAnsi="Arial" w:cs="Arial"/>
        </w:rPr>
        <w:t xml:space="preserve"> </w:t>
      </w:r>
    </w:p>
    <w:p w:rsidR="00965FBB" w:rsidRPr="00965FBB" w:rsidRDefault="00965FBB" w:rsidP="00965FBB">
      <w:pPr>
        <w:jc w:val="both"/>
        <w:rPr>
          <w:rFonts w:cs="Arial"/>
          <w:sz w:val="22"/>
          <w:szCs w:val="22"/>
        </w:rPr>
      </w:pPr>
    </w:p>
    <w:p w:rsidR="00965FBB" w:rsidRPr="00965FBB" w:rsidRDefault="00965FBB" w:rsidP="00965FBB">
      <w:pPr>
        <w:pStyle w:val="ListParagraph"/>
        <w:numPr>
          <w:ilvl w:val="1"/>
          <w:numId w:val="4"/>
        </w:numPr>
        <w:jc w:val="both"/>
        <w:rPr>
          <w:rFonts w:ascii="Arial" w:hAnsi="Arial" w:cs="Arial"/>
        </w:rPr>
      </w:pPr>
      <w:r w:rsidRPr="00965FBB">
        <w:rPr>
          <w:rFonts w:ascii="Arial" w:hAnsi="Arial" w:cs="Arial"/>
        </w:rPr>
        <w:t>The ultimate purpose for the package of reforms is to deliver sustainable fish stocks, a prosperous fishing industry and a healthy marine environment. These reforms will help to meet the Government’s priorities of growing the rural economy and protecting the environment.</w:t>
      </w:r>
    </w:p>
    <w:p w:rsidR="00965FBB" w:rsidRPr="00965FBB" w:rsidRDefault="00965FBB" w:rsidP="00965FBB">
      <w:pPr>
        <w:jc w:val="both"/>
        <w:rPr>
          <w:rFonts w:cs="Arial"/>
          <w:sz w:val="22"/>
          <w:szCs w:val="22"/>
        </w:rPr>
      </w:pPr>
    </w:p>
    <w:p w:rsidR="00965FBB" w:rsidRPr="00965FBB" w:rsidRDefault="00965FBB" w:rsidP="00965FBB">
      <w:pPr>
        <w:pStyle w:val="ListParagraph"/>
        <w:numPr>
          <w:ilvl w:val="1"/>
          <w:numId w:val="4"/>
        </w:numPr>
        <w:jc w:val="both"/>
        <w:rPr>
          <w:rFonts w:ascii="Arial" w:hAnsi="Arial" w:cs="Arial"/>
        </w:rPr>
      </w:pPr>
      <w:r w:rsidRPr="00965FBB">
        <w:rPr>
          <w:rFonts w:ascii="Arial" w:hAnsi="Arial" w:cs="Arial"/>
        </w:rPr>
        <w:t>On 31 March 2014 we launched a package of consultations relating to three areas of the reformed CFP. The three consultations specifically cover:</w:t>
      </w:r>
    </w:p>
    <w:p w:rsidR="00965FBB" w:rsidRPr="00965FBB" w:rsidRDefault="00965FBB" w:rsidP="00965FBB">
      <w:pPr>
        <w:pStyle w:val="ListParagraph"/>
        <w:numPr>
          <w:ilvl w:val="0"/>
          <w:numId w:val="41"/>
        </w:numPr>
        <w:spacing w:line="276" w:lineRule="auto"/>
        <w:contextualSpacing/>
        <w:jc w:val="both"/>
        <w:rPr>
          <w:rFonts w:ascii="Arial" w:hAnsi="Arial" w:cs="Arial"/>
        </w:rPr>
      </w:pPr>
      <w:r w:rsidRPr="00965FBB">
        <w:rPr>
          <w:rFonts w:ascii="Arial" w:hAnsi="Arial" w:cs="Arial"/>
        </w:rPr>
        <w:t>Proposals to implement the pelagic landing obligation in England;</w:t>
      </w:r>
    </w:p>
    <w:p w:rsidR="00965FBB" w:rsidRPr="00965FBB" w:rsidRDefault="00965FBB" w:rsidP="00965FBB">
      <w:pPr>
        <w:pStyle w:val="ListParagraph"/>
        <w:numPr>
          <w:ilvl w:val="0"/>
          <w:numId w:val="41"/>
        </w:numPr>
        <w:spacing w:line="276" w:lineRule="auto"/>
        <w:contextualSpacing/>
        <w:jc w:val="both"/>
        <w:rPr>
          <w:rFonts w:ascii="Arial" w:hAnsi="Arial" w:cs="Arial"/>
        </w:rPr>
      </w:pPr>
      <w:r w:rsidRPr="00965FBB">
        <w:rPr>
          <w:rFonts w:ascii="Arial" w:hAnsi="Arial" w:cs="Arial"/>
        </w:rPr>
        <w:t xml:space="preserve">The UK’s proposed strategy to implement the EMFF; and </w:t>
      </w:r>
    </w:p>
    <w:p w:rsidR="00965FBB" w:rsidRPr="00965FBB" w:rsidRDefault="00965FBB" w:rsidP="00965FBB">
      <w:pPr>
        <w:pStyle w:val="ListParagraph"/>
        <w:numPr>
          <w:ilvl w:val="0"/>
          <w:numId w:val="41"/>
        </w:numPr>
        <w:spacing w:line="276" w:lineRule="auto"/>
        <w:contextualSpacing/>
        <w:jc w:val="both"/>
        <w:rPr>
          <w:rFonts w:ascii="Arial" w:hAnsi="Arial" w:cs="Arial"/>
        </w:rPr>
      </w:pPr>
      <w:r w:rsidRPr="00965FBB">
        <w:rPr>
          <w:rFonts w:ascii="Arial" w:hAnsi="Arial" w:cs="Arial"/>
        </w:rPr>
        <w:t xml:space="preserve">Proposed changes to the current fish labelling domestic legislation in England, and new domestic legislation on marketing standards in England and Wales for fishery and aquaculture products. </w:t>
      </w:r>
    </w:p>
    <w:p w:rsidR="00965FBB" w:rsidRPr="00965FBB" w:rsidRDefault="00965FBB" w:rsidP="00965FBB">
      <w:pPr>
        <w:jc w:val="both"/>
        <w:rPr>
          <w:rFonts w:cs="Arial"/>
          <w:sz w:val="22"/>
          <w:szCs w:val="22"/>
        </w:rPr>
      </w:pPr>
    </w:p>
    <w:p w:rsidR="00965FBB" w:rsidRPr="00965FBB" w:rsidRDefault="00965FBB" w:rsidP="00965FBB">
      <w:pPr>
        <w:pStyle w:val="ListParagraph"/>
        <w:numPr>
          <w:ilvl w:val="1"/>
          <w:numId w:val="4"/>
        </w:numPr>
        <w:jc w:val="both"/>
        <w:rPr>
          <w:rFonts w:ascii="Arial" w:hAnsi="Arial" w:cs="Arial"/>
        </w:rPr>
      </w:pPr>
      <w:r w:rsidRPr="00965FBB">
        <w:rPr>
          <w:rFonts w:ascii="Arial" w:hAnsi="Arial" w:cs="Arial"/>
        </w:rPr>
        <w:t xml:space="preserve">For each consultation we have produced an associated Impact Assessment. As far a possible we have kept the assumptions and methods used across the three Impact Assessments consistent.  </w:t>
      </w:r>
    </w:p>
    <w:p w:rsidR="006957C5" w:rsidRPr="00965FBB" w:rsidRDefault="006957C5" w:rsidP="00251677">
      <w:pPr>
        <w:pStyle w:val="ListParagraph"/>
        <w:spacing w:after="240" w:line="276" w:lineRule="auto"/>
        <w:ind w:left="360"/>
        <w:contextualSpacing/>
        <w:jc w:val="both"/>
        <w:rPr>
          <w:rFonts w:ascii="Arial" w:hAnsi="Arial" w:cs="Arial"/>
          <w:b/>
          <w:sz w:val="24"/>
          <w:szCs w:val="20"/>
        </w:rPr>
      </w:pPr>
    </w:p>
    <w:p w:rsidR="00235E17" w:rsidRPr="002D5C3A" w:rsidRDefault="004854F9" w:rsidP="002D5C3A">
      <w:pPr>
        <w:pStyle w:val="ListParagraph"/>
        <w:numPr>
          <w:ilvl w:val="1"/>
          <w:numId w:val="4"/>
        </w:numPr>
        <w:spacing w:before="240" w:after="240" w:line="276" w:lineRule="auto"/>
        <w:jc w:val="both"/>
        <w:rPr>
          <w:rFonts w:ascii="Arial" w:hAnsi="Arial" w:cs="Arial"/>
        </w:rPr>
      </w:pPr>
      <w:r w:rsidRPr="00965FBB">
        <w:rPr>
          <w:rFonts w:ascii="Arial" w:hAnsi="Arial" w:cs="Arial"/>
        </w:rPr>
        <w:t>The European Common Organisation of the Markets in Fishery and Aquaculture</w:t>
      </w:r>
      <w:r w:rsidRPr="004854F9">
        <w:rPr>
          <w:rFonts w:ascii="Arial" w:hAnsi="Arial" w:cs="Arial"/>
        </w:rPr>
        <w:t xml:space="preserve"> Products is the EU regime to manage the market and maximise value for EU seafood</w:t>
      </w:r>
      <w:r w:rsidRPr="004854F9">
        <w:rPr>
          <w:rStyle w:val="FootnoteReference"/>
          <w:rFonts w:ascii="Arial" w:hAnsi="Arial" w:cs="Arial"/>
        </w:rPr>
        <w:footnoteReference w:id="1"/>
      </w:r>
      <w:r w:rsidRPr="004854F9">
        <w:rPr>
          <w:rFonts w:ascii="Arial" w:hAnsi="Arial" w:cs="Arial"/>
        </w:rPr>
        <w:t xml:space="preserve"> products. The CMO was established in 1970 and it has been amended at the European level to contribute more to the Common Fisheries Policy objective of sustainable fisheries and aquaculture and to secure the future of the sector. The policy issue is the implementation in England and Wales (E &amp; W) of the reformed CMO, which came into force 1</w:t>
      </w:r>
      <w:r w:rsidRPr="004854F9">
        <w:rPr>
          <w:rFonts w:ascii="Arial" w:hAnsi="Arial" w:cs="Arial"/>
          <w:vertAlign w:val="superscript"/>
        </w:rPr>
        <w:t>st</w:t>
      </w:r>
      <w:r w:rsidRPr="004854F9">
        <w:rPr>
          <w:rFonts w:ascii="Arial" w:hAnsi="Arial" w:cs="Arial"/>
        </w:rPr>
        <w:t xml:space="preserve"> January 2014. </w:t>
      </w:r>
      <w:r w:rsidR="006957C5" w:rsidRPr="008A7966">
        <w:rPr>
          <w:rFonts w:ascii="Arial" w:hAnsi="Arial" w:cs="Arial"/>
        </w:rPr>
        <w:t xml:space="preserve">National legislation needs to be updated to fully implement the EU regulation. </w:t>
      </w:r>
      <w:r w:rsidR="00D708DB">
        <w:rPr>
          <w:rFonts w:ascii="Arial" w:hAnsi="Arial" w:cs="Arial"/>
        </w:rPr>
        <w:t>L</w:t>
      </w:r>
      <w:r w:rsidR="006957C5" w:rsidRPr="008A7966">
        <w:rPr>
          <w:rFonts w:ascii="Arial" w:hAnsi="Arial" w:cs="Arial"/>
        </w:rPr>
        <w:t>abelling changes will not come into force until 13</w:t>
      </w:r>
      <w:r w:rsidR="006957C5" w:rsidRPr="008A7966">
        <w:rPr>
          <w:rFonts w:ascii="Arial" w:hAnsi="Arial" w:cs="Arial"/>
          <w:vertAlign w:val="superscript"/>
        </w:rPr>
        <w:t>th</w:t>
      </w:r>
      <w:r w:rsidR="006957C5" w:rsidRPr="008A7966">
        <w:rPr>
          <w:rFonts w:ascii="Arial" w:hAnsi="Arial" w:cs="Arial"/>
        </w:rPr>
        <w:t xml:space="preserve"> December 2014 and from this date member states are obliged to carry out checks to ensure compliance with the marketing standards (MS) requirements.</w:t>
      </w:r>
      <w:r w:rsidR="002D18EA" w:rsidRPr="002D18EA">
        <w:rPr>
          <w:rFonts w:ascii="Arial" w:hAnsi="Arial" w:cs="Arial"/>
        </w:rPr>
        <w:t xml:space="preserve"> </w:t>
      </w:r>
      <w:r w:rsidR="002D18EA">
        <w:rPr>
          <w:rFonts w:ascii="Arial" w:hAnsi="Arial" w:cs="Arial"/>
        </w:rPr>
        <w:t>T</w:t>
      </w:r>
      <w:r w:rsidR="002D18EA" w:rsidRPr="004854F9">
        <w:rPr>
          <w:rFonts w:ascii="Arial" w:hAnsi="Arial" w:cs="Arial"/>
        </w:rPr>
        <w:t>he Marin</w:t>
      </w:r>
      <w:r w:rsidR="002D18EA">
        <w:rPr>
          <w:rFonts w:ascii="Arial" w:hAnsi="Arial" w:cs="Arial"/>
        </w:rPr>
        <w:t>e Management Organisation (MMO) is</w:t>
      </w:r>
      <w:r w:rsidR="002D18EA" w:rsidRPr="004854F9">
        <w:rPr>
          <w:rFonts w:ascii="Arial" w:hAnsi="Arial" w:cs="Arial"/>
        </w:rPr>
        <w:t xml:space="preserve"> the </w:t>
      </w:r>
      <w:r w:rsidR="00D708DB">
        <w:rPr>
          <w:rFonts w:ascii="Arial" w:hAnsi="Arial" w:cs="Arial"/>
        </w:rPr>
        <w:t>enforcement</w:t>
      </w:r>
      <w:r w:rsidR="00D708DB" w:rsidRPr="004854F9">
        <w:rPr>
          <w:rFonts w:ascii="Arial" w:hAnsi="Arial" w:cs="Arial"/>
        </w:rPr>
        <w:t xml:space="preserve"> </w:t>
      </w:r>
      <w:r w:rsidR="002D18EA" w:rsidRPr="004854F9">
        <w:rPr>
          <w:rFonts w:ascii="Arial" w:hAnsi="Arial" w:cs="Arial"/>
        </w:rPr>
        <w:t>authority in England</w:t>
      </w:r>
      <w:r w:rsidR="002D18EA">
        <w:rPr>
          <w:rFonts w:ascii="Arial" w:hAnsi="Arial" w:cs="Arial"/>
        </w:rPr>
        <w:t xml:space="preserve"> and the Welsh Government is the </w:t>
      </w:r>
      <w:r w:rsidR="00E564C7">
        <w:rPr>
          <w:rFonts w:ascii="Arial" w:hAnsi="Arial" w:cs="Arial"/>
        </w:rPr>
        <w:t>enforcement</w:t>
      </w:r>
      <w:r w:rsidR="002D18EA">
        <w:rPr>
          <w:rFonts w:ascii="Arial" w:hAnsi="Arial" w:cs="Arial"/>
        </w:rPr>
        <w:t xml:space="preserve"> authority in Wales.</w:t>
      </w:r>
      <w:r w:rsidR="006957C5" w:rsidRPr="008A7966">
        <w:rPr>
          <w:rFonts w:ascii="Arial" w:hAnsi="Arial" w:cs="Arial"/>
        </w:rPr>
        <w:t xml:space="preserve"> Enforcement </w:t>
      </w:r>
      <w:r w:rsidR="002D18EA">
        <w:rPr>
          <w:rFonts w:ascii="Arial" w:hAnsi="Arial" w:cs="Arial"/>
        </w:rPr>
        <w:t>officers</w:t>
      </w:r>
      <w:r w:rsidR="00A84666">
        <w:rPr>
          <w:rFonts w:ascii="Arial" w:hAnsi="Arial" w:cs="Arial"/>
        </w:rPr>
        <w:t>,</w:t>
      </w:r>
      <w:r w:rsidR="006957C5" w:rsidRPr="008A7966">
        <w:rPr>
          <w:rFonts w:ascii="Arial" w:hAnsi="Arial" w:cs="Arial"/>
        </w:rPr>
        <w:t xml:space="preserve"> </w:t>
      </w:r>
      <w:r w:rsidR="002D18EA">
        <w:rPr>
          <w:rFonts w:ascii="Arial" w:hAnsi="Arial" w:cs="Arial"/>
        </w:rPr>
        <w:t>in the</w:t>
      </w:r>
      <w:r w:rsidR="006957C5" w:rsidRPr="008A7966">
        <w:rPr>
          <w:rFonts w:ascii="Arial" w:hAnsi="Arial" w:cs="Arial"/>
        </w:rPr>
        <w:t xml:space="preserve"> </w:t>
      </w:r>
      <w:r w:rsidR="006957C5">
        <w:rPr>
          <w:rFonts w:ascii="Arial" w:hAnsi="Arial" w:cs="Arial"/>
        </w:rPr>
        <w:t>MMO</w:t>
      </w:r>
      <w:r w:rsidR="006957C5" w:rsidRPr="008A7966">
        <w:rPr>
          <w:rFonts w:ascii="Arial" w:hAnsi="Arial" w:cs="Arial"/>
        </w:rPr>
        <w:t xml:space="preserve"> and Trading Standards (TS)</w:t>
      </w:r>
      <w:r w:rsidR="002D5C3A">
        <w:rPr>
          <w:rFonts w:ascii="Arial" w:hAnsi="Arial" w:cs="Arial"/>
        </w:rPr>
        <w:t xml:space="preserve"> Officers in Local Authorities</w:t>
      </w:r>
      <w:r w:rsidR="00A84666">
        <w:rPr>
          <w:rFonts w:ascii="Arial" w:hAnsi="Arial" w:cs="Arial"/>
        </w:rPr>
        <w:t>,</w:t>
      </w:r>
      <w:r w:rsidR="006957C5" w:rsidRPr="008A7966">
        <w:rPr>
          <w:rFonts w:ascii="Arial" w:hAnsi="Arial" w:cs="Arial"/>
        </w:rPr>
        <w:t xml:space="preserve"> need p</w:t>
      </w:r>
      <w:r w:rsidR="006957C5">
        <w:rPr>
          <w:rFonts w:ascii="Arial" w:hAnsi="Arial" w:cs="Arial"/>
        </w:rPr>
        <w:t xml:space="preserve">ower to enforce the regulation. </w:t>
      </w:r>
      <w:r w:rsidR="005905D8">
        <w:rPr>
          <w:rFonts w:ascii="Arial" w:hAnsi="Arial" w:cs="Arial"/>
        </w:rPr>
        <w:t>The other Devolved A</w:t>
      </w:r>
      <w:r w:rsidRPr="006957C5">
        <w:rPr>
          <w:rFonts w:ascii="Arial" w:hAnsi="Arial" w:cs="Arial"/>
        </w:rPr>
        <w:t xml:space="preserve">dministrations </w:t>
      </w:r>
      <w:r w:rsidR="002D5C3A">
        <w:rPr>
          <w:rFonts w:ascii="Arial" w:hAnsi="Arial" w:cs="Arial"/>
        </w:rPr>
        <w:t>are not in the scope of this impact assessment.</w:t>
      </w:r>
    </w:p>
    <w:p w:rsidR="00656D69" w:rsidRDefault="00656D69" w:rsidP="003A5312">
      <w:pPr>
        <w:pStyle w:val="ListParagraph"/>
        <w:numPr>
          <w:ilvl w:val="1"/>
          <w:numId w:val="4"/>
        </w:numPr>
        <w:spacing w:after="240" w:line="276" w:lineRule="auto"/>
        <w:contextualSpacing/>
        <w:jc w:val="both"/>
        <w:rPr>
          <w:rFonts w:ascii="Arial" w:hAnsi="Arial" w:cs="Arial"/>
        </w:rPr>
      </w:pPr>
      <w:r w:rsidRPr="002D5C3A">
        <w:rPr>
          <w:rFonts w:ascii="Arial" w:hAnsi="Arial" w:cs="Arial"/>
        </w:rPr>
        <w:t>The CMO was the first component of the CFP to be put in place and has been throug</w:t>
      </w:r>
      <w:r w:rsidR="006957C5" w:rsidRPr="002D5C3A">
        <w:rPr>
          <w:rFonts w:ascii="Arial" w:hAnsi="Arial" w:cs="Arial"/>
        </w:rPr>
        <w:t>h periodic amendments</w:t>
      </w:r>
      <w:r w:rsidRPr="002D5C3A">
        <w:rPr>
          <w:rFonts w:ascii="Arial" w:hAnsi="Arial" w:cs="Arial"/>
        </w:rPr>
        <w:t xml:space="preserve">. It has </w:t>
      </w:r>
      <w:r w:rsidR="00051AA8">
        <w:rPr>
          <w:rFonts w:ascii="Arial" w:hAnsi="Arial" w:cs="Arial"/>
        </w:rPr>
        <w:t>the following</w:t>
      </w:r>
      <w:r w:rsidRPr="002D5C3A">
        <w:rPr>
          <w:rFonts w:ascii="Arial" w:hAnsi="Arial" w:cs="Arial"/>
        </w:rPr>
        <w:t xml:space="preserve"> objectives</w:t>
      </w:r>
      <w:r w:rsidR="00702BBA">
        <w:rPr>
          <w:rFonts w:ascii="Arial" w:hAnsi="Arial" w:cs="Arial"/>
        </w:rPr>
        <w:t>, to</w:t>
      </w:r>
      <w:r w:rsidRPr="002D5C3A">
        <w:rPr>
          <w:rFonts w:ascii="Arial" w:hAnsi="Arial" w:cs="Arial"/>
        </w:rPr>
        <w:t>:</w:t>
      </w:r>
    </w:p>
    <w:p w:rsidR="00051AA8" w:rsidRDefault="00051AA8" w:rsidP="00051AA8">
      <w:pPr>
        <w:pStyle w:val="ListParagraph"/>
        <w:spacing w:after="240" w:line="276" w:lineRule="auto"/>
        <w:ind w:left="420"/>
        <w:contextualSpacing/>
        <w:jc w:val="both"/>
        <w:rPr>
          <w:rFonts w:ascii="Arial" w:hAnsi="Arial" w:cs="Arial"/>
        </w:rPr>
      </w:pPr>
    </w:p>
    <w:p w:rsidR="00051AA8" w:rsidRPr="00051AA8" w:rsidRDefault="00051AA8" w:rsidP="00051AA8">
      <w:pPr>
        <w:pStyle w:val="ListParagraph"/>
        <w:numPr>
          <w:ilvl w:val="0"/>
          <w:numId w:val="33"/>
        </w:numPr>
        <w:spacing w:after="240" w:line="276" w:lineRule="auto"/>
        <w:contextualSpacing/>
        <w:jc w:val="both"/>
        <w:rPr>
          <w:rFonts w:ascii="Arial" w:hAnsi="Arial" w:cs="Arial"/>
        </w:rPr>
      </w:pPr>
      <w:r w:rsidRPr="00051AA8">
        <w:rPr>
          <w:rFonts w:ascii="Arial" w:hAnsi="Arial" w:cs="Arial"/>
        </w:rPr>
        <w:t>Contribute to the achievement of the of the CFP’s objectives in particular to the sustainable exploitation of living marine biological resources</w:t>
      </w:r>
    </w:p>
    <w:p w:rsidR="00051AA8" w:rsidRPr="00051AA8" w:rsidRDefault="00051AA8" w:rsidP="00051AA8">
      <w:pPr>
        <w:pStyle w:val="ListParagraph"/>
        <w:numPr>
          <w:ilvl w:val="0"/>
          <w:numId w:val="33"/>
        </w:numPr>
        <w:spacing w:after="240" w:line="276" w:lineRule="auto"/>
        <w:contextualSpacing/>
        <w:jc w:val="both"/>
        <w:rPr>
          <w:rFonts w:ascii="Arial" w:hAnsi="Arial" w:cs="Arial"/>
        </w:rPr>
      </w:pPr>
      <w:r w:rsidRPr="00051AA8">
        <w:rPr>
          <w:rFonts w:ascii="Arial" w:hAnsi="Arial" w:cs="Arial"/>
        </w:rPr>
        <w:t>Enable the fishery and aquaculture industry to apply the CFP at the appropriate level</w:t>
      </w:r>
    </w:p>
    <w:p w:rsidR="00051AA8" w:rsidRPr="00051AA8" w:rsidRDefault="00051AA8" w:rsidP="00051AA8">
      <w:pPr>
        <w:pStyle w:val="ListParagraph"/>
        <w:numPr>
          <w:ilvl w:val="0"/>
          <w:numId w:val="33"/>
        </w:numPr>
        <w:spacing w:after="240" w:line="276" w:lineRule="auto"/>
        <w:contextualSpacing/>
        <w:jc w:val="both"/>
        <w:rPr>
          <w:rFonts w:ascii="Arial" w:hAnsi="Arial" w:cs="Arial"/>
        </w:rPr>
      </w:pPr>
      <w:r w:rsidRPr="00051AA8">
        <w:rPr>
          <w:rFonts w:ascii="Arial" w:hAnsi="Arial" w:cs="Arial"/>
        </w:rPr>
        <w:t>Strengthen the competitiveness of the Union fishery and aquaculture industry, in particular producers</w:t>
      </w:r>
    </w:p>
    <w:p w:rsidR="00051AA8" w:rsidRPr="00051AA8" w:rsidRDefault="00051AA8" w:rsidP="00051AA8">
      <w:pPr>
        <w:pStyle w:val="ListParagraph"/>
        <w:numPr>
          <w:ilvl w:val="0"/>
          <w:numId w:val="33"/>
        </w:numPr>
        <w:spacing w:after="240" w:line="276" w:lineRule="auto"/>
        <w:contextualSpacing/>
        <w:jc w:val="both"/>
        <w:rPr>
          <w:rFonts w:ascii="Arial" w:hAnsi="Arial" w:cs="Arial"/>
        </w:rPr>
      </w:pPr>
      <w:r w:rsidRPr="00051AA8">
        <w:rPr>
          <w:rFonts w:ascii="Arial" w:hAnsi="Arial" w:cs="Arial"/>
        </w:rPr>
        <w:t>Improve transparency and stability of the markets</w:t>
      </w:r>
    </w:p>
    <w:p w:rsidR="00051AA8" w:rsidRPr="00051AA8" w:rsidRDefault="00051AA8" w:rsidP="00051AA8">
      <w:pPr>
        <w:pStyle w:val="ListParagraph"/>
        <w:numPr>
          <w:ilvl w:val="0"/>
          <w:numId w:val="33"/>
        </w:numPr>
        <w:spacing w:after="240" w:line="276" w:lineRule="auto"/>
        <w:contextualSpacing/>
        <w:jc w:val="both"/>
        <w:rPr>
          <w:rFonts w:ascii="Arial" w:hAnsi="Arial" w:cs="Arial"/>
        </w:rPr>
      </w:pPr>
      <w:r w:rsidRPr="00051AA8">
        <w:rPr>
          <w:rFonts w:ascii="Arial" w:hAnsi="Arial" w:cs="Arial"/>
        </w:rPr>
        <w:t xml:space="preserve">Contribute to ensuring a level-playing field for all marketed products in the Union </w:t>
      </w:r>
    </w:p>
    <w:p w:rsidR="00051AA8" w:rsidRPr="00051AA8" w:rsidRDefault="00051AA8" w:rsidP="00051AA8">
      <w:pPr>
        <w:pStyle w:val="ListParagraph"/>
        <w:numPr>
          <w:ilvl w:val="0"/>
          <w:numId w:val="33"/>
        </w:numPr>
        <w:spacing w:after="240" w:line="276" w:lineRule="auto"/>
        <w:contextualSpacing/>
        <w:jc w:val="both"/>
        <w:rPr>
          <w:rFonts w:ascii="Arial" w:hAnsi="Arial" w:cs="Arial"/>
        </w:rPr>
      </w:pPr>
      <w:r w:rsidRPr="00051AA8">
        <w:rPr>
          <w:rFonts w:ascii="Arial" w:hAnsi="Arial" w:cs="Arial"/>
        </w:rPr>
        <w:t>Contribute to ensuring consumers have a diverse supply of products</w:t>
      </w:r>
    </w:p>
    <w:p w:rsidR="00051AA8" w:rsidRPr="00051AA8" w:rsidRDefault="00051AA8" w:rsidP="00051AA8">
      <w:pPr>
        <w:pStyle w:val="ListParagraph"/>
        <w:numPr>
          <w:ilvl w:val="0"/>
          <w:numId w:val="33"/>
        </w:numPr>
        <w:spacing w:after="240" w:line="276" w:lineRule="auto"/>
        <w:contextualSpacing/>
        <w:jc w:val="both"/>
        <w:rPr>
          <w:rFonts w:ascii="Arial" w:hAnsi="Arial" w:cs="Arial"/>
        </w:rPr>
      </w:pPr>
      <w:r w:rsidRPr="00051AA8">
        <w:rPr>
          <w:rFonts w:ascii="Arial" w:hAnsi="Arial" w:cs="Arial"/>
        </w:rPr>
        <w:t>Provide consumers with verifiable and accurate information on product origin and production method.</w:t>
      </w:r>
    </w:p>
    <w:p w:rsidR="00051AA8" w:rsidRPr="00051AA8" w:rsidRDefault="00051AA8" w:rsidP="00051AA8">
      <w:pPr>
        <w:pStyle w:val="ListParagraph"/>
        <w:numPr>
          <w:ilvl w:val="0"/>
          <w:numId w:val="33"/>
        </w:numPr>
        <w:spacing w:after="240" w:line="276" w:lineRule="auto"/>
        <w:contextualSpacing/>
        <w:jc w:val="both"/>
        <w:rPr>
          <w:rFonts w:ascii="Arial" w:hAnsi="Arial" w:cs="Arial"/>
        </w:rPr>
      </w:pPr>
      <w:r w:rsidRPr="00051AA8">
        <w:rPr>
          <w:rFonts w:ascii="Arial" w:hAnsi="Arial" w:cs="Arial"/>
        </w:rPr>
        <w:t>Market stabilisation measures</w:t>
      </w:r>
    </w:p>
    <w:p w:rsidR="00051AA8" w:rsidRPr="00051AA8" w:rsidRDefault="00051AA8" w:rsidP="00051AA8">
      <w:pPr>
        <w:pStyle w:val="ListParagraph"/>
        <w:numPr>
          <w:ilvl w:val="0"/>
          <w:numId w:val="33"/>
        </w:numPr>
        <w:spacing w:after="240" w:line="276" w:lineRule="auto"/>
        <w:contextualSpacing/>
        <w:jc w:val="both"/>
        <w:rPr>
          <w:rFonts w:ascii="Arial" w:hAnsi="Arial" w:cs="Arial"/>
        </w:rPr>
      </w:pPr>
      <w:r w:rsidRPr="00051AA8">
        <w:rPr>
          <w:rFonts w:ascii="Arial" w:hAnsi="Arial" w:cs="Arial"/>
        </w:rPr>
        <w:lastRenderedPageBreak/>
        <w:t>Production and marketing plans of producer organisations</w:t>
      </w:r>
    </w:p>
    <w:p w:rsidR="00051AA8" w:rsidRPr="00051AA8" w:rsidRDefault="00051AA8" w:rsidP="00051AA8">
      <w:pPr>
        <w:pStyle w:val="ListParagraph"/>
        <w:numPr>
          <w:ilvl w:val="0"/>
          <w:numId w:val="33"/>
        </w:numPr>
        <w:spacing w:after="240" w:line="276" w:lineRule="auto"/>
        <w:contextualSpacing/>
        <w:jc w:val="both"/>
        <w:rPr>
          <w:rFonts w:ascii="Arial" w:hAnsi="Arial" w:cs="Arial"/>
        </w:rPr>
      </w:pPr>
      <w:r w:rsidRPr="00051AA8">
        <w:rPr>
          <w:rFonts w:ascii="Arial" w:hAnsi="Arial" w:cs="Arial"/>
        </w:rPr>
        <w:t>Common marketing standards and consumer information.</w:t>
      </w:r>
    </w:p>
    <w:p w:rsidR="00051AA8" w:rsidRPr="002D5C3A" w:rsidRDefault="00051AA8" w:rsidP="00051AA8">
      <w:pPr>
        <w:pStyle w:val="ListParagraph"/>
        <w:spacing w:after="240" w:line="276" w:lineRule="auto"/>
        <w:ind w:left="420"/>
        <w:contextualSpacing/>
        <w:jc w:val="both"/>
        <w:rPr>
          <w:rFonts w:ascii="Arial" w:hAnsi="Arial" w:cs="Arial"/>
        </w:rPr>
      </w:pPr>
    </w:p>
    <w:p w:rsidR="004854F9" w:rsidRPr="004854F9" w:rsidRDefault="006957C5" w:rsidP="003A5312">
      <w:pPr>
        <w:pStyle w:val="ListParagraph"/>
        <w:numPr>
          <w:ilvl w:val="1"/>
          <w:numId w:val="4"/>
        </w:numPr>
        <w:spacing w:after="240" w:line="276" w:lineRule="auto"/>
        <w:jc w:val="both"/>
        <w:rPr>
          <w:rFonts w:ascii="Arial" w:hAnsi="Arial" w:cs="Arial"/>
        </w:rPr>
      </w:pPr>
      <w:r>
        <w:rPr>
          <w:rFonts w:ascii="Arial" w:hAnsi="Arial" w:cs="Arial"/>
        </w:rPr>
        <w:t>T</w:t>
      </w:r>
      <w:r w:rsidR="004854F9" w:rsidRPr="004854F9">
        <w:rPr>
          <w:rFonts w:ascii="Arial" w:hAnsi="Arial" w:cs="Arial"/>
        </w:rPr>
        <w:t>he amendments</w:t>
      </w:r>
      <w:r>
        <w:rPr>
          <w:rFonts w:ascii="Arial" w:hAnsi="Arial" w:cs="Arial"/>
        </w:rPr>
        <w:t xml:space="preserve"> </w:t>
      </w:r>
      <w:r w:rsidR="00EE58B7">
        <w:rPr>
          <w:rFonts w:ascii="Arial" w:hAnsi="Arial" w:cs="Arial"/>
        </w:rPr>
        <w:t xml:space="preserve">required </w:t>
      </w:r>
      <w:r>
        <w:rPr>
          <w:rFonts w:ascii="Arial" w:hAnsi="Arial" w:cs="Arial"/>
        </w:rPr>
        <w:t xml:space="preserve">to national legislation in E &amp; W </w:t>
      </w:r>
      <w:r w:rsidR="00EE58B7">
        <w:rPr>
          <w:rFonts w:ascii="Arial" w:hAnsi="Arial" w:cs="Arial"/>
        </w:rPr>
        <w:t xml:space="preserve">to </w:t>
      </w:r>
      <w:r w:rsidR="00A84666">
        <w:rPr>
          <w:rFonts w:ascii="Arial" w:hAnsi="Arial" w:cs="Arial"/>
        </w:rPr>
        <w:t>reflect the new requirements in</w:t>
      </w:r>
      <w:r w:rsidR="004854F9" w:rsidRPr="004854F9">
        <w:rPr>
          <w:rFonts w:ascii="Arial" w:hAnsi="Arial" w:cs="Arial"/>
        </w:rPr>
        <w:t xml:space="preserve"> the CMO involve changes to </w:t>
      </w:r>
      <w:r w:rsidR="002731A0">
        <w:rPr>
          <w:rFonts w:ascii="Arial" w:hAnsi="Arial" w:cs="Arial"/>
        </w:rPr>
        <w:t>fishery and aquaculture</w:t>
      </w:r>
      <w:r w:rsidR="002731A0" w:rsidRPr="004854F9">
        <w:rPr>
          <w:rFonts w:ascii="Arial" w:hAnsi="Arial" w:cs="Arial"/>
        </w:rPr>
        <w:t xml:space="preserve"> </w:t>
      </w:r>
      <w:r w:rsidR="004854F9" w:rsidRPr="004854F9">
        <w:rPr>
          <w:rFonts w:ascii="Arial" w:hAnsi="Arial" w:cs="Arial"/>
        </w:rPr>
        <w:t>product labelling (unprocessed fish, shellfish and seaweed only</w:t>
      </w:r>
      <w:r w:rsidR="00B24ECD">
        <w:rPr>
          <w:rFonts w:ascii="Arial" w:hAnsi="Arial" w:cs="Arial"/>
        </w:rPr>
        <w:t xml:space="preserve"> – see</w:t>
      </w:r>
      <w:r w:rsidR="003E14B6">
        <w:rPr>
          <w:rFonts w:ascii="Arial" w:hAnsi="Arial" w:cs="Arial"/>
        </w:rPr>
        <w:t xml:space="preserve"> categories a, b, c &amp; e of</w:t>
      </w:r>
      <w:r w:rsidR="00B24ECD">
        <w:rPr>
          <w:rFonts w:ascii="Arial" w:hAnsi="Arial" w:cs="Arial"/>
        </w:rPr>
        <w:t xml:space="preserve"> Annex A</w:t>
      </w:r>
      <w:r w:rsidR="004854F9" w:rsidRPr="004854F9">
        <w:rPr>
          <w:rFonts w:ascii="Arial" w:hAnsi="Arial" w:cs="Arial"/>
        </w:rPr>
        <w:t xml:space="preserve">) to give consumers greater information on sustainability and durability. </w:t>
      </w:r>
      <w:r w:rsidR="002731A0">
        <w:rPr>
          <w:rFonts w:ascii="Arial" w:hAnsi="Arial" w:cs="Arial"/>
        </w:rPr>
        <w:t xml:space="preserve">The rules establishing the common marketing standards continue to apply - businesses already have to meet these marketing standards and the policy issue is to update the domestic marketing standards regulation to allow </w:t>
      </w:r>
      <w:r w:rsidR="00655933">
        <w:rPr>
          <w:rFonts w:ascii="Arial" w:hAnsi="Arial" w:cs="Arial"/>
        </w:rPr>
        <w:t>for</w:t>
      </w:r>
      <w:r w:rsidR="002731A0">
        <w:rPr>
          <w:rFonts w:ascii="Arial" w:hAnsi="Arial" w:cs="Arial"/>
        </w:rPr>
        <w:t xml:space="preserve"> effective enforcement (i.e. product checks). </w:t>
      </w:r>
    </w:p>
    <w:p w:rsidR="004854F9" w:rsidRPr="004854F9" w:rsidRDefault="004854F9" w:rsidP="003A5312">
      <w:pPr>
        <w:pStyle w:val="CommentText"/>
        <w:numPr>
          <w:ilvl w:val="1"/>
          <w:numId w:val="4"/>
        </w:numPr>
        <w:spacing w:line="276" w:lineRule="auto"/>
        <w:jc w:val="both"/>
        <w:rPr>
          <w:rFonts w:ascii="Arial" w:hAnsi="Arial" w:cs="Arial"/>
          <w:sz w:val="22"/>
          <w:szCs w:val="22"/>
        </w:rPr>
      </w:pPr>
      <w:r w:rsidRPr="004854F9">
        <w:rPr>
          <w:rFonts w:ascii="Arial" w:hAnsi="Arial" w:cs="Arial"/>
          <w:sz w:val="22"/>
          <w:szCs w:val="22"/>
        </w:rPr>
        <w:t xml:space="preserve">Other changes to the CMO, that do not require changes to national legislation, </w:t>
      </w:r>
      <w:r w:rsidR="000241D9">
        <w:rPr>
          <w:rFonts w:ascii="Arial" w:hAnsi="Arial" w:cs="Arial"/>
          <w:sz w:val="22"/>
          <w:szCs w:val="22"/>
          <w:lang w:val="en-GB"/>
        </w:rPr>
        <w:t xml:space="preserve">came </w:t>
      </w:r>
      <w:r w:rsidRPr="004854F9">
        <w:rPr>
          <w:rFonts w:ascii="Arial" w:hAnsi="Arial" w:cs="Arial"/>
          <w:sz w:val="22"/>
          <w:szCs w:val="22"/>
        </w:rPr>
        <w:t>into force on 1</w:t>
      </w:r>
      <w:r w:rsidRPr="004854F9">
        <w:rPr>
          <w:rFonts w:ascii="Arial" w:hAnsi="Arial" w:cs="Arial"/>
          <w:sz w:val="22"/>
          <w:szCs w:val="22"/>
          <w:vertAlign w:val="superscript"/>
        </w:rPr>
        <w:t>st</w:t>
      </w:r>
      <w:r w:rsidRPr="004854F9">
        <w:rPr>
          <w:rFonts w:ascii="Arial" w:hAnsi="Arial" w:cs="Arial"/>
          <w:sz w:val="22"/>
          <w:szCs w:val="22"/>
        </w:rPr>
        <w:t xml:space="preserve"> January 2014. For example, the amended CMO replaces Operational Programmes (OPs)</w:t>
      </w:r>
      <w:r w:rsidR="00EE58B7">
        <w:rPr>
          <w:rFonts w:ascii="Arial" w:hAnsi="Arial" w:cs="Arial"/>
          <w:sz w:val="22"/>
          <w:szCs w:val="22"/>
          <w:lang w:val="en-GB"/>
        </w:rPr>
        <w:t xml:space="preserve"> developed by Producer Organisations (POs)</w:t>
      </w:r>
      <w:r w:rsidRPr="004854F9">
        <w:rPr>
          <w:rFonts w:ascii="Arial" w:hAnsi="Arial" w:cs="Arial"/>
          <w:sz w:val="22"/>
          <w:szCs w:val="22"/>
        </w:rPr>
        <w:t xml:space="preserve"> with Production and Marketing Plans </w:t>
      </w:r>
      <w:r w:rsidR="000241D9">
        <w:rPr>
          <w:rFonts w:ascii="Arial" w:hAnsi="Arial" w:cs="Arial"/>
          <w:sz w:val="22"/>
          <w:szCs w:val="22"/>
          <w:lang w:val="en-GB"/>
        </w:rPr>
        <w:t>(</w:t>
      </w:r>
      <w:r w:rsidRPr="004854F9">
        <w:rPr>
          <w:rFonts w:ascii="Arial" w:hAnsi="Arial" w:cs="Arial"/>
          <w:sz w:val="22"/>
          <w:szCs w:val="22"/>
        </w:rPr>
        <w:t>PMPs</w:t>
      </w:r>
      <w:r w:rsidR="000241D9">
        <w:rPr>
          <w:rFonts w:ascii="Arial" w:hAnsi="Arial" w:cs="Arial"/>
          <w:sz w:val="22"/>
          <w:szCs w:val="22"/>
          <w:lang w:val="en-GB"/>
        </w:rPr>
        <w:t>)</w:t>
      </w:r>
      <w:r w:rsidR="00EE58B7">
        <w:rPr>
          <w:rFonts w:ascii="Arial" w:hAnsi="Arial" w:cs="Arial"/>
          <w:sz w:val="22"/>
          <w:szCs w:val="22"/>
          <w:lang w:val="en-GB"/>
        </w:rPr>
        <w:t>;</w:t>
      </w:r>
      <w:r w:rsidRPr="004854F9">
        <w:rPr>
          <w:rFonts w:ascii="Arial" w:hAnsi="Arial" w:cs="Arial"/>
          <w:sz w:val="22"/>
          <w:szCs w:val="22"/>
        </w:rPr>
        <w:t xml:space="preserve"> which have more emphasis on maximising value for producers (e.g. marketing previously discarded fish when CFP landing obligations come into force). These changes were consulted on in August 2011</w:t>
      </w:r>
      <w:r w:rsidRPr="004854F9">
        <w:rPr>
          <w:rStyle w:val="FootnoteReference"/>
          <w:rFonts w:ascii="Arial" w:hAnsi="Arial" w:cs="Arial"/>
          <w:szCs w:val="22"/>
        </w:rPr>
        <w:footnoteReference w:id="2"/>
      </w:r>
      <w:r w:rsidRPr="004854F9">
        <w:rPr>
          <w:rFonts w:ascii="Arial" w:hAnsi="Arial" w:cs="Arial"/>
          <w:sz w:val="22"/>
          <w:szCs w:val="22"/>
        </w:rPr>
        <w:t xml:space="preserve"> as part of consulta</w:t>
      </w:r>
      <w:r w:rsidR="00EE58B7">
        <w:rPr>
          <w:rFonts w:ascii="Arial" w:hAnsi="Arial" w:cs="Arial"/>
          <w:sz w:val="22"/>
          <w:szCs w:val="22"/>
        </w:rPr>
        <w:t>tions on the CFP reform; so th</w:t>
      </w:r>
      <w:r w:rsidR="00EE58B7">
        <w:rPr>
          <w:rFonts w:ascii="Arial" w:hAnsi="Arial" w:cs="Arial"/>
          <w:sz w:val="22"/>
          <w:szCs w:val="22"/>
          <w:lang w:val="en-GB"/>
        </w:rPr>
        <w:t>e</w:t>
      </w:r>
      <w:r w:rsidRPr="004854F9">
        <w:rPr>
          <w:rFonts w:ascii="Arial" w:hAnsi="Arial" w:cs="Arial"/>
          <w:sz w:val="22"/>
          <w:szCs w:val="22"/>
        </w:rPr>
        <w:t xml:space="preserve"> analysis here and subsequent consultation focus only on the parts of the CMO that require amendments to national legislation to implement fully in E &amp; W.</w:t>
      </w:r>
    </w:p>
    <w:p w:rsidR="00DA3F65" w:rsidRPr="00D934CA" w:rsidRDefault="004854F9" w:rsidP="003A5312">
      <w:pPr>
        <w:pStyle w:val="ListParagraph"/>
        <w:numPr>
          <w:ilvl w:val="1"/>
          <w:numId w:val="4"/>
        </w:numPr>
        <w:spacing w:after="240" w:line="276" w:lineRule="auto"/>
        <w:jc w:val="both"/>
        <w:rPr>
          <w:rFonts w:ascii="Arial" w:hAnsi="Arial" w:cs="Arial"/>
        </w:rPr>
      </w:pPr>
      <w:r w:rsidRPr="004854F9">
        <w:rPr>
          <w:rFonts w:ascii="Arial" w:hAnsi="Arial" w:cs="Arial"/>
        </w:rPr>
        <w:t>Overall, intervention is needed in the common market for fishery and aquaculture products as multiple market failures exist. They occur when the market has not and cannot in itself be expected to deliver an efficient outcome.</w:t>
      </w:r>
      <w:r w:rsidRPr="004854F9">
        <w:rPr>
          <w:rStyle w:val="FootnoteReference"/>
          <w:rFonts w:ascii="Arial" w:hAnsi="Arial" w:cs="Arial"/>
        </w:rPr>
        <w:footnoteReference w:id="3"/>
      </w:r>
      <w:r w:rsidRPr="004854F9">
        <w:rPr>
          <w:rFonts w:ascii="Arial" w:hAnsi="Arial" w:cs="Arial"/>
        </w:rPr>
        <w:t xml:space="preserve"> The fishing and aquaculture industry faces multiple challenges ranging from market failures, such as public goods and asymmetric information (e.g. consumer information on product sustainability), to supply shocks caused by natural variation. The latest reform of the CMO aims to contribute to addressing these problems (in conjunction with complimentary policies under the reformed CFP and EMFF</w:t>
      </w:r>
      <w:r w:rsidR="00CC056A">
        <w:rPr>
          <w:rFonts w:ascii="Arial" w:hAnsi="Arial" w:cs="Arial"/>
        </w:rPr>
        <w:t xml:space="preserve"> Regulations</w:t>
      </w:r>
      <w:r w:rsidRPr="004854F9">
        <w:rPr>
          <w:rFonts w:ascii="Arial" w:hAnsi="Arial" w:cs="Arial"/>
        </w:rPr>
        <w:t>).</w:t>
      </w:r>
      <w:r w:rsidR="00EE58B7">
        <w:rPr>
          <w:rFonts w:ascii="Arial" w:hAnsi="Arial" w:cs="Arial"/>
        </w:rPr>
        <w:t xml:space="preserve"> </w:t>
      </w:r>
      <w:r w:rsidR="00DA3F65" w:rsidRPr="00EE58B7">
        <w:rPr>
          <w:rFonts w:ascii="Arial" w:hAnsi="Arial" w:cs="Arial"/>
        </w:rPr>
        <w:t>The following</w:t>
      </w:r>
      <w:r w:rsidR="00D934CA">
        <w:rPr>
          <w:rFonts w:ascii="Arial" w:hAnsi="Arial" w:cs="Arial"/>
        </w:rPr>
        <w:t xml:space="preserve"> market failures</w:t>
      </w:r>
      <w:r w:rsidR="00DA3F65" w:rsidRPr="00EE58B7">
        <w:rPr>
          <w:rFonts w:ascii="Arial" w:hAnsi="Arial" w:cs="Arial"/>
        </w:rPr>
        <w:t xml:space="preserve"> are specific to the fishery and aquaculture sector:</w:t>
      </w:r>
    </w:p>
    <w:p w:rsidR="00DA3F65" w:rsidRPr="004854F9" w:rsidRDefault="00EE58B7" w:rsidP="003A5312">
      <w:pPr>
        <w:pStyle w:val="EBBodyPara"/>
        <w:numPr>
          <w:ilvl w:val="0"/>
          <w:numId w:val="7"/>
        </w:numPr>
        <w:spacing w:line="276" w:lineRule="auto"/>
        <w:jc w:val="both"/>
      </w:pPr>
      <w:r>
        <w:t>Public / Common</w:t>
      </w:r>
      <w:r w:rsidR="00DA3F65" w:rsidRPr="004854F9">
        <w:t xml:space="preserve"> Goods - A number of goods and services provided by the marine environment such as populations of wild fish are ‘common goods’ (no-one can be excluded from benefiting from them but consumption of the service does diminish the stock available to others)</w:t>
      </w:r>
      <w:r>
        <w:t xml:space="preserve"> and others</w:t>
      </w:r>
      <w:r w:rsidR="00D934CA">
        <w:t>,</w:t>
      </w:r>
      <w:r>
        <w:t xml:space="preserve"> such as biodiversity</w:t>
      </w:r>
      <w:r w:rsidR="00D934CA">
        <w:t>,</w:t>
      </w:r>
      <w:r w:rsidR="00743BF5">
        <w:t xml:space="preserve"> are public goods (</w:t>
      </w:r>
      <w:r w:rsidR="00743BF5" w:rsidRPr="004854F9">
        <w:t>no-one can be excluded from benefiting from them</w:t>
      </w:r>
      <w:r w:rsidR="00743BF5">
        <w:t xml:space="preserve"> and consumption does not diminish the amount available to others)</w:t>
      </w:r>
      <w:r w:rsidR="00DA3F65" w:rsidRPr="004854F9">
        <w:t xml:space="preserve">. The characteristics of </w:t>
      </w:r>
      <w:r w:rsidR="00743BF5">
        <w:t xml:space="preserve">public / </w:t>
      </w:r>
      <w:r w:rsidR="00DA3F65" w:rsidRPr="004854F9">
        <w:t>common goods mean that individuals do not necessarily have an economic incentive to voluntarily contribute effort or money to ensure the continued existence of these goods leading to overconsumption.</w:t>
      </w:r>
      <w:r w:rsidR="00B35364" w:rsidRPr="004854F9">
        <w:t xml:space="preserve"> Furthermore, it is in the interest of each individual to catch as much stock as possible as quickly as</w:t>
      </w:r>
      <w:r w:rsidR="004D6E55" w:rsidRPr="004854F9">
        <w:t xml:space="preserve"> possible so that competitors do</w:t>
      </w:r>
      <w:r w:rsidR="00B35364" w:rsidRPr="004854F9">
        <w:t xml:space="preserve"> not take all the benefits. This race to fish leads to an inefficient amount of effort and unsustainable exploitation.</w:t>
      </w:r>
    </w:p>
    <w:p w:rsidR="00DA3F65" w:rsidRPr="004854F9" w:rsidRDefault="00DA3F65" w:rsidP="003A5312">
      <w:pPr>
        <w:pStyle w:val="EBBodyPara"/>
        <w:numPr>
          <w:ilvl w:val="0"/>
          <w:numId w:val="7"/>
        </w:numPr>
        <w:spacing w:line="276" w:lineRule="auto"/>
        <w:jc w:val="both"/>
      </w:pPr>
      <w:r w:rsidRPr="004854F9">
        <w:t xml:space="preserve">Negative externalities – </w:t>
      </w:r>
      <w:r w:rsidR="0062064D">
        <w:t>These</w:t>
      </w:r>
      <w:r w:rsidRPr="004854F9">
        <w:t xml:space="preserve"> occur when damage to the marine environment is not fully accounted for by users.  In many cases no monetary price is attached to marine goods and services therefore the cost of damage is not directly priced by the market. Even for those goods that are traded (such as wild fish), market prices often do not reflect the full economic cost</w:t>
      </w:r>
      <w:r w:rsidR="00202559" w:rsidRPr="004854F9">
        <w:t xml:space="preserve"> (e.g. lost recreational opportunities</w:t>
      </w:r>
      <w:r w:rsidR="00D934CA">
        <w:t xml:space="preserve"> or damage to ecosystem services by certain gear types</w:t>
      </w:r>
      <w:r w:rsidR="00202559" w:rsidRPr="004854F9">
        <w:t>)</w:t>
      </w:r>
      <w:r w:rsidRPr="004854F9">
        <w:t>, which ends up being borne by other individuals and society.</w:t>
      </w:r>
    </w:p>
    <w:p w:rsidR="00743BF5" w:rsidRDefault="00DA3F65" w:rsidP="003A5312">
      <w:pPr>
        <w:pStyle w:val="ListParagraph"/>
        <w:numPr>
          <w:ilvl w:val="0"/>
          <w:numId w:val="6"/>
        </w:numPr>
        <w:spacing w:after="240" w:line="276" w:lineRule="auto"/>
        <w:contextualSpacing/>
        <w:jc w:val="both"/>
        <w:rPr>
          <w:rFonts w:ascii="Arial" w:hAnsi="Arial" w:cs="Arial"/>
        </w:rPr>
      </w:pPr>
      <w:r w:rsidRPr="004854F9">
        <w:rPr>
          <w:rFonts w:ascii="Arial" w:hAnsi="Arial" w:cs="Arial"/>
        </w:rPr>
        <w:t xml:space="preserve">Asymmetric information – Participants in a market do not have access to information or it is costly to obtain. Fishermen cannot perfectly observe stock levels which makes planning of production and fishing at maximum sustainable yield (MSY) </w:t>
      </w:r>
      <w:r w:rsidR="004B1E62" w:rsidRPr="004854F9">
        <w:rPr>
          <w:rFonts w:ascii="Arial" w:hAnsi="Arial" w:cs="Arial"/>
        </w:rPr>
        <w:t>difficult to assess</w:t>
      </w:r>
      <w:r w:rsidRPr="004854F9">
        <w:rPr>
          <w:rFonts w:ascii="Arial" w:hAnsi="Arial" w:cs="Arial"/>
        </w:rPr>
        <w:t>. Industry stakeholders may not be aware of investment opportunities that would improve their profitability or know how to access funding for the investments. They canno</w:t>
      </w:r>
      <w:r w:rsidR="00D934CA">
        <w:rPr>
          <w:rFonts w:ascii="Arial" w:hAnsi="Arial" w:cs="Arial"/>
        </w:rPr>
        <w:t>t anticipate and mitigate</w:t>
      </w:r>
      <w:r w:rsidRPr="004854F9">
        <w:rPr>
          <w:rFonts w:ascii="Arial" w:hAnsi="Arial" w:cs="Arial"/>
        </w:rPr>
        <w:t xml:space="preserve"> supply shocks caused by natural variability</w:t>
      </w:r>
      <w:r w:rsidR="00D934CA">
        <w:rPr>
          <w:rFonts w:ascii="Arial" w:hAnsi="Arial" w:cs="Arial"/>
        </w:rPr>
        <w:t xml:space="preserve"> and p</w:t>
      </w:r>
      <w:r w:rsidR="004D6E55" w:rsidRPr="004854F9">
        <w:rPr>
          <w:rFonts w:ascii="Arial" w:hAnsi="Arial" w:cs="Arial"/>
        </w:rPr>
        <w:t>ollution</w:t>
      </w:r>
      <w:r w:rsidR="00D934CA">
        <w:rPr>
          <w:rFonts w:ascii="Arial" w:hAnsi="Arial" w:cs="Arial"/>
        </w:rPr>
        <w:t xml:space="preserve"> incidents</w:t>
      </w:r>
      <w:r w:rsidR="00AA757B" w:rsidRPr="004854F9">
        <w:rPr>
          <w:rFonts w:ascii="Arial" w:hAnsi="Arial" w:cs="Arial"/>
        </w:rPr>
        <w:t>. Furthermore, c</w:t>
      </w:r>
      <w:r w:rsidRPr="004854F9">
        <w:rPr>
          <w:rFonts w:ascii="Arial" w:hAnsi="Arial" w:cs="Arial"/>
        </w:rPr>
        <w:t xml:space="preserve">onsumers lack knowledge on the </w:t>
      </w:r>
      <w:r w:rsidRPr="004854F9">
        <w:rPr>
          <w:rFonts w:ascii="Arial" w:hAnsi="Arial" w:cs="Arial"/>
        </w:rPr>
        <w:lastRenderedPageBreak/>
        <w:t>origin and sustainability of products which means they cannot fully express their preferences and provide incentives to industry to adopt better practices.</w:t>
      </w:r>
    </w:p>
    <w:p w:rsidR="00D934CA" w:rsidRPr="00D934CA" w:rsidRDefault="00D934CA" w:rsidP="00251677">
      <w:pPr>
        <w:pStyle w:val="ListParagraph"/>
        <w:spacing w:after="240" w:line="276" w:lineRule="auto"/>
        <w:contextualSpacing/>
        <w:jc w:val="both"/>
        <w:rPr>
          <w:rFonts w:ascii="Arial" w:hAnsi="Arial" w:cs="Arial"/>
        </w:rPr>
      </w:pPr>
    </w:p>
    <w:p w:rsidR="00D934CA" w:rsidRDefault="00DA3F65" w:rsidP="008C1DB6">
      <w:pPr>
        <w:pStyle w:val="ListParagraph"/>
        <w:numPr>
          <w:ilvl w:val="0"/>
          <w:numId w:val="6"/>
        </w:numPr>
        <w:spacing w:before="240" w:after="240" w:line="276" w:lineRule="auto"/>
        <w:contextualSpacing/>
        <w:jc w:val="both"/>
        <w:rPr>
          <w:rFonts w:ascii="Arial" w:hAnsi="Arial" w:cs="Arial"/>
        </w:rPr>
      </w:pPr>
      <w:r w:rsidRPr="004854F9">
        <w:rPr>
          <w:rFonts w:ascii="Arial" w:hAnsi="Arial" w:cs="Arial"/>
        </w:rPr>
        <w:t>Trans</w:t>
      </w:r>
      <w:r w:rsidR="00AA757B" w:rsidRPr="004854F9">
        <w:rPr>
          <w:rFonts w:ascii="Arial" w:hAnsi="Arial" w:cs="Arial"/>
        </w:rPr>
        <w:t>ac</w:t>
      </w:r>
      <w:r w:rsidRPr="004854F9">
        <w:rPr>
          <w:rFonts w:ascii="Arial" w:hAnsi="Arial" w:cs="Arial"/>
        </w:rPr>
        <w:t>tion and search costs – Producers, particularly small-scale ones, face high transaction and search costs to find buyers for their products. They are not able to guarantee a stable supply of quality fish throughout t</w:t>
      </w:r>
      <w:r w:rsidR="00D934CA">
        <w:rPr>
          <w:rFonts w:ascii="Arial" w:hAnsi="Arial" w:cs="Arial"/>
        </w:rPr>
        <w:t>he year and so being part of a Producer O</w:t>
      </w:r>
      <w:r w:rsidRPr="004854F9">
        <w:rPr>
          <w:rFonts w:ascii="Arial" w:hAnsi="Arial" w:cs="Arial"/>
        </w:rPr>
        <w:t>rganisation can help reduce these costs and give them greater negotiating powers with processors and retailers.</w:t>
      </w:r>
    </w:p>
    <w:p w:rsidR="0073412E" w:rsidRPr="0073412E" w:rsidRDefault="0073412E" w:rsidP="008C1DB6">
      <w:pPr>
        <w:pStyle w:val="ListParagraph"/>
        <w:spacing w:before="240" w:after="240" w:line="276" w:lineRule="auto"/>
        <w:contextualSpacing/>
        <w:jc w:val="both"/>
        <w:rPr>
          <w:rFonts w:ascii="Arial" w:hAnsi="Arial" w:cs="Arial"/>
        </w:rPr>
      </w:pPr>
    </w:p>
    <w:p w:rsidR="00A02658" w:rsidRDefault="00743BF5" w:rsidP="00716703">
      <w:pPr>
        <w:pStyle w:val="ListParagraph"/>
        <w:numPr>
          <w:ilvl w:val="1"/>
          <w:numId w:val="4"/>
        </w:numPr>
        <w:spacing w:after="240" w:line="276" w:lineRule="auto"/>
        <w:contextualSpacing/>
        <w:jc w:val="both"/>
        <w:rPr>
          <w:rFonts w:ascii="Arial" w:hAnsi="Arial" w:cs="Arial"/>
        </w:rPr>
      </w:pPr>
      <w:r w:rsidRPr="00716703">
        <w:rPr>
          <w:rFonts w:ascii="Arial" w:hAnsi="Arial" w:cs="Arial"/>
        </w:rPr>
        <w:t xml:space="preserve">The </w:t>
      </w:r>
      <w:r w:rsidR="00B35364" w:rsidRPr="00716703">
        <w:rPr>
          <w:rFonts w:ascii="Arial" w:hAnsi="Arial" w:cs="Arial"/>
        </w:rPr>
        <w:t>CMO</w:t>
      </w:r>
      <w:r w:rsidRPr="00716703">
        <w:rPr>
          <w:rFonts w:ascii="Arial" w:hAnsi="Arial" w:cs="Arial"/>
        </w:rPr>
        <w:t xml:space="preserve"> aims to contribute to addressing these market failures through</w:t>
      </w:r>
      <w:r w:rsidR="00DA3F65" w:rsidRPr="00716703">
        <w:rPr>
          <w:rFonts w:ascii="Arial" w:hAnsi="Arial" w:cs="Arial"/>
        </w:rPr>
        <w:t xml:space="preserve"> its objectives</w:t>
      </w:r>
      <w:r w:rsidR="00B24ECD" w:rsidRPr="00716703">
        <w:rPr>
          <w:rFonts w:ascii="Arial" w:hAnsi="Arial" w:cs="Arial"/>
        </w:rPr>
        <w:t xml:space="preserve"> and </w:t>
      </w:r>
      <w:r w:rsidR="00D934CA" w:rsidRPr="00716703">
        <w:rPr>
          <w:rFonts w:ascii="Arial" w:hAnsi="Arial" w:cs="Arial"/>
        </w:rPr>
        <w:t>mechanisms</w:t>
      </w:r>
      <w:r w:rsidR="00DA3F65" w:rsidRPr="00716703">
        <w:rPr>
          <w:rFonts w:ascii="Arial" w:hAnsi="Arial" w:cs="Arial"/>
        </w:rPr>
        <w:t>. In particular, POs may be the most appropriate way to manage the shared resource of fish stocks as they encourage cooperation and self-regulation between producers. The reformed CMO places a greater responsibility on POs to ensure a sustainable and stable supply of products</w:t>
      </w:r>
      <w:r w:rsidR="00B24ECD" w:rsidRPr="00716703">
        <w:rPr>
          <w:rFonts w:ascii="Arial" w:hAnsi="Arial" w:cs="Arial"/>
        </w:rPr>
        <w:t xml:space="preserve"> and effective enforcement of the marketing standards and labelling requirements will ensure that products are safe and sustainable. </w:t>
      </w:r>
    </w:p>
    <w:p w:rsidR="00716703" w:rsidRPr="00716703" w:rsidRDefault="00716703" w:rsidP="00716703">
      <w:pPr>
        <w:pStyle w:val="ListParagraph"/>
        <w:spacing w:after="240" w:line="276" w:lineRule="auto"/>
        <w:ind w:left="420"/>
        <w:contextualSpacing/>
        <w:jc w:val="both"/>
        <w:rPr>
          <w:rFonts w:ascii="Arial" w:hAnsi="Arial" w:cs="Arial"/>
        </w:rPr>
      </w:pPr>
    </w:p>
    <w:p w:rsidR="00DA3F65" w:rsidRDefault="00DA3F65" w:rsidP="008C1DB6">
      <w:pPr>
        <w:pStyle w:val="ListParagraph"/>
        <w:numPr>
          <w:ilvl w:val="0"/>
          <w:numId w:val="4"/>
        </w:numPr>
        <w:spacing w:after="240" w:line="276" w:lineRule="auto"/>
        <w:contextualSpacing/>
        <w:jc w:val="both"/>
        <w:rPr>
          <w:rFonts w:ascii="Arial" w:hAnsi="Arial" w:cs="Arial"/>
          <w:b/>
          <w:sz w:val="24"/>
          <w:szCs w:val="20"/>
        </w:rPr>
      </w:pPr>
      <w:r w:rsidRPr="00EA48A0">
        <w:rPr>
          <w:rFonts w:ascii="Arial" w:hAnsi="Arial" w:cs="Arial"/>
          <w:b/>
          <w:sz w:val="24"/>
          <w:szCs w:val="20"/>
        </w:rPr>
        <w:t>Policy Objective</w:t>
      </w:r>
    </w:p>
    <w:p w:rsidR="00A02658" w:rsidRPr="00A02658" w:rsidRDefault="00A02658" w:rsidP="008C1DB6">
      <w:pPr>
        <w:pStyle w:val="ListParagraph"/>
        <w:spacing w:after="240" w:line="276" w:lineRule="auto"/>
        <w:ind w:left="360"/>
        <w:contextualSpacing/>
        <w:jc w:val="both"/>
        <w:rPr>
          <w:rFonts w:ascii="Arial" w:hAnsi="Arial" w:cs="Arial"/>
          <w:b/>
          <w:sz w:val="24"/>
          <w:szCs w:val="20"/>
        </w:rPr>
      </w:pPr>
    </w:p>
    <w:p w:rsidR="008C1DB6" w:rsidRDefault="00DA3F65" w:rsidP="00232379">
      <w:pPr>
        <w:pStyle w:val="ListParagraph"/>
        <w:numPr>
          <w:ilvl w:val="1"/>
          <w:numId w:val="4"/>
        </w:numPr>
        <w:spacing w:after="240" w:line="276" w:lineRule="auto"/>
        <w:contextualSpacing/>
        <w:jc w:val="both"/>
        <w:rPr>
          <w:rFonts w:ascii="Arial" w:hAnsi="Arial" w:cs="Arial"/>
        </w:rPr>
      </w:pPr>
      <w:r w:rsidRPr="004854F9">
        <w:rPr>
          <w:rFonts w:ascii="Arial" w:hAnsi="Arial" w:cs="Arial"/>
        </w:rPr>
        <w:t xml:space="preserve">The policy issue is to </w:t>
      </w:r>
      <w:r w:rsidR="00F6719E" w:rsidRPr="004854F9">
        <w:rPr>
          <w:rFonts w:ascii="Arial" w:hAnsi="Arial" w:cs="Arial"/>
        </w:rPr>
        <w:t>implement</w:t>
      </w:r>
      <w:r w:rsidRPr="004854F9">
        <w:rPr>
          <w:rFonts w:ascii="Arial" w:hAnsi="Arial" w:cs="Arial"/>
        </w:rPr>
        <w:t xml:space="preserve"> the EU regulation on the Common Organisation of the Markets in Fishery and Aquaculture Products </w:t>
      </w:r>
      <w:r w:rsidR="00FE7312">
        <w:rPr>
          <w:rFonts w:ascii="Arial" w:hAnsi="Arial" w:cs="Arial"/>
        </w:rPr>
        <w:t>in E &amp; W</w:t>
      </w:r>
      <w:r w:rsidR="008C1DB6">
        <w:rPr>
          <w:rFonts w:ascii="Arial" w:hAnsi="Arial" w:cs="Arial"/>
        </w:rPr>
        <w:t xml:space="preserve"> </w:t>
      </w:r>
      <w:r w:rsidR="002D04F9">
        <w:rPr>
          <w:rFonts w:ascii="Arial" w:hAnsi="Arial" w:cs="Arial"/>
        </w:rPr>
        <w:t xml:space="preserve">to </w:t>
      </w:r>
      <w:r w:rsidR="008C1DB6">
        <w:rPr>
          <w:rFonts w:ascii="Arial" w:hAnsi="Arial" w:cs="Arial"/>
        </w:rPr>
        <w:t>provide enforcement agencies (MMO</w:t>
      </w:r>
      <w:r w:rsidR="008E3745">
        <w:rPr>
          <w:rFonts w:ascii="Arial" w:hAnsi="Arial" w:cs="Arial"/>
        </w:rPr>
        <w:t xml:space="preserve"> </w:t>
      </w:r>
      <w:r w:rsidR="008C1DB6">
        <w:rPr>
          <w:rFonts w:ascii="Arial" w:hAnsi="Arial" w:cs="Arial"/>
        </w:rPr>
        <w:t xml:space="preserve">and TS officers) with </w:t>
      </w:r>
      <w:r w:rsidR="002D04F9">
        <w:rPr>
          <w:rFonts w:ascii="Arial" w:hAnsi="Arial" w:cs="Arial"/>
        </w:rPr>
        <w:t xml:space="preserve">the necessary </w:t>
      </w:r>
      <w:r w:rsidR="008C1DB6">
        <w:rPr>
          <w:rFonts w:ascii="Arial" w:hAnsi="Arial" w:cs="Arial"/>
        </w:rPr>
        <w:t xml:space="preserve">power to </w:t>
      </w:r>
      <w:r w:rsidR="002D04F9">
        <w:rPr>
          <w:rFonts w:ascii="Arial" w:hAnsi="Arial" w:cs="Arial"/>
        </w:rPr>
        <w:t xml:space="preserve">effectively </w:t>
      </w:r>
      <w:r w:rsidR="008C1DB6">
        <w:rPr>
          <w:rFonts w:ascii="Arial" w:hAnsi="Arial" w:cs="Arial"/>
        </w:rPr>
        <w:t>enforce the regulation</w:t>
      </w:r>
      <w:r w:rsidR="008E3745">
        <w:rPr>
          <w:rFonts w:ascii="Arial" w:hAnsi="Arial" w:cs="Arial"/>
        </w:rPr>
        <w:t xml:space="preserve"> (the labelling and marketing standards specifically)</w:t>
      </w:r>
      <w:r w:rsidRPr="004854F9">
        <w:rPr>
          <w:rFonts w:ascii="Arial" w:hAnsi="Arial" w:cs="Arial"/>
        </w:rPr>
        <w:t xml:space="preserve">. This impact assessment covers </w:t>
      </w:r>
      <w:r w:rsidR="0094485D" w:rsidRPr="004854F9">
        <w:rPr>
          <w:rFonts w:ascii="Arial" w:hAnsi="Arial" w:cs="Arial"/>
        </w:rPr>
        <w:t>England and Wales only and other parts of the UK will be covered in separate analyse</w:t>
      </w:r>
      <w:r w:rsidR="005905D8">
        <w:rPr>
          <w:rFonts w:ascii="Arial" w:hAnsi="Arial" w:cs="Arial"/>
        </w:rPr>
        <w:t>s by the Devolved A</w:t>
      </w:r>
      <w:r w:rsidR="004D6E55" w:rsidRPr="004854F9">
        <w:rPr>
          <w:rFonts w:ascii="Arial" w:hAnsi="Arial" w:cs="Arial"/>
        </w:rPr>
        <w:t>dministrations.</w:t>
      </w:r>
      <w:r w:rsidRPr="004854F9">
        <w:rPr>
          <w:rFonts w:ascii="Arial" w:hAnsi="Arial" w:cs="Arial"/>
        </w:rPr>
        <w:t xml:space="preserve">  The </w:t>
      </w:r>
      <w:r w:rsidR="00A70986" w:rsidRPr="004854F9">
        <w:rPr>
          <w:rFonts w:ascii="Arial" w:hAnsi="Arial" w:cs="Arial"/>
        </w:rPr>
        <w:t>previous regime needed</w:t>
      </w:r>
      <w:r w:rsidRPr="004854F9">
        <w:rPr>
          <w:rFonts w:ascii="Arial" w:hAnsi="Arial" w:cs="Arial"/>
        </w:rPr>
        <w:t xml:space="preserve"> revising through simplification to improve consistency with the new Common Fisheries Policy and other </w:t>
      </w:r>
      <w:r w:rsidR="009B04A7" w:rsidRPr="004854F9">
        <w:rPr>
          <w:rFonts w:ascii="Arial" w:hAnsi="Arial" w:cs="Arial"/>
        </w:rPr>
        <w:t>legislation</w:t>
      </w:r>
      <w:r w:rsidRPr="004854F9">
        <w:rPr>
          <w:rFonts w:ascii="Arial" w:hAnsi="Arial" w:cs="Arial"/>
        </w:rPr>
        <w:t xml:space="preserve"> </w:t>
      </w:r>
      <w:r w:rsidR="009B04A7" w:rsidRPr="004854F9">
        <w:rPr>
          <w:rFonts w:ascii="Arial" w:hAnsi="Arial" w:cs="Arial"/>
        </w:rPr>
        <w:t>(</w:t>
      </w:r>
      <w:r w:rsidRPr="004854F9">
        <w:rPr>
          <w:rFonts w:ascii="Arial" w:hAnsi="Arial" w:cs="Arial"/>
        </w:rPr>
        <w:t>e.g. the Food Information Regulations</w:t>
      </w:r>
      <w:r w:rsidR="009B04A7" w:rsidRPr="004854F9">
        <w:rPr>
          <w:rFonts w:ascii="Arial" w:hAnsi="Arial" w:cs="Arial"/>
        </w:rPr>
        <w:t>)</w:t>
      </w:r>
      <w:r w:rsidR="00051AA8">
        <w:rPr>
          <w:rFonts w:ascii="Arial" w:hAnsi="Arial" w:cs="Arial"/>
        </w:rPr>
        <w:t>.</w:t>
      </w:r>
    </w:p>
    <w:p w:rsidR="00A055B6" w:rsidRPr="00A055B6" w:rsidRDefault="00A055B6" w:rsidP="00232379">
      <w:pPr>
        <w:pStyle w:val="ListParagraph"/>
        <w:spacing w:after="240" w:line="276" w:lineRule="auto"/>
        <w:ind w:left="420"/>
        <w:contextualSpacing/>
        <w:jc w:val="both"/>
        <w:rPr>
          <w:rFonts w:ascii="Arial" w:hAnsi="Arial" w:cs="Arial"/>
        </w:rPr>
      </w:pPr>
    </w:p>
    <w:p w:rsidR="002F66A5" w:rsidRPr="008C1DB6" w:rsidRDefault="00323A15" w:rsidP="00232379">
      <w:pPr>
        <w:pStyle w:val="ListParagraph"/>
        <w:numPr>
          <w:ilvl w:val="1"/>
          <w:numId w:val="4"/>
        </w:numPr>
        <w:spacing w:line="276" w:lineRule="auto"/>
        <w:jc w:val="both"/>
        <w:rPr>
          <w:rFonts w:ascii="Arial" w:hAnsi="Arial" w:cs="Arial"/>
        </w:rPr>
      </w:pPr>
      <w:r>
        <w:rPr>
          <w:rFonts w:ascii="Arial" w:hAnsi="Arial" w:cs="Arial"/>
        </w:rPr>
        <w:t xml:space="preserve">The member state duty to carry out obligatory checks to ensure compliance of the marketing standards and the labelling changes (see below) resulting from the CMO </w:t>
      </w:r>
      <w:r w:rsidR="00CC056A">
        <w:rPr>
          <w:rFonts w:ascii="Arial" w:hAnsi="Arial" w:cs="Arial"/>
        </w:rPr>
        <w:t xml:space="preserve">come </w:t>
      </w:r>
      <w:r>
        <w:rPr>
          <w:rFonts w:ascii="Arial" w:hAnsi="Arial" w:cs="Arial"/>
        </w:rPr>
        <w:t>into effect on 13</w:t>
      </w:r>
      <w:r w:rsidRPr="00323A15">
        <w:rPr>
          <w:rFonts w:ascii="Arial" w:hAnsi="Arial" w:cs="Arial"/>
          <w:vertAlign w:val="superscript"/>
        </w:rPr>
        <w:t>th</w:t>
      </w:r>
      <w:r>
        <w:rPr>
          <w:rFonts w:ascii="Arial" w:hAnsi="Arial" w:cs="Arial"/>
        </w:rPr>
        <w:t xml:space="preserve"> December 2014. Therefore national legislation in England and Wales needs to be amended to meet these obligations.</w:t>
      </w:r>
    </w:p>
    <w:p w:rsidR="00A02658" w:rsidRPr="00A02658" w:rsidRDefault="00A02658" w:rsidP="00251677">
      <w:pPr>
        <w:spacing w:line="276" w:lineRule="auto"/>
        <w:contextualSpacing/>
        <w:jc w:val="both"/>
        <w:rPr>
          <w:rFonts w:cs="Arial"/>
        </w:rPr>
      </w:pPr>
    </w:p>
    <w:p w:rsidR="00EA48A0" w:rsidRPr="00F06150" w:rsidRDefault="00B07F44" w:rsidP="00251677">
      <w:pPr>
        <w:pStyle w:val="ListParagraph"/>
        <w:spacing w:line="276" w:lineRule="auto"/>
        <w:ind w:left="420"/>
        <w:jc w:val="both"/>
        <w:rPr>
          <w:rFonts w:ascii="Arial" w:hAnsi="Arial" w:cs="Arial"/>
          <w:b/>
        </w:rPr>
      </w:pPr>
      <w:r w:rsidRPr="00F06150">
        <w:rPr>
          <w:rFonts w:ascii="Arial" w:hAnsi="Arial" w:cs="Arial"/>
          <w:b/>
        </w:rPr>
        <w:t xml:space="preserve">Policy and </w:t>
      </w:r>
      <w:r w:rsidR="00EA48A0" w:rsidRPr="00F06150">
        <w:rPr>
          <w:rFonts w:ascii="Arial" w:hAnsi="Arial" w:cs="Arial"/>
          <w:b/>
        </w:rPr>
        <w:t>Impact Assessment Scope</w:t>
      </w:r>
    </w:p>
    <w:p w:rsidR="00EA48A0" w:rsidRPr="004854F9" w:rsidRDefault="00EA48A0" w:rsidP="00251677">
      <w:pPr>
        <w:pStyle w:val="ListParagraph"/>
        <w:spacing w:line="276" w:lineRule="auto"/>
        <w:ind w:left="420"/>
        <w:jc w:val="both"/>
        <w:rPr>
          <w:rFonts w:ascii="Arial" w:hAnsi="Arial" w:cs="Arial"/>
        </w:rPr>
      </w:pPr>
    </w:p>
    <w:p w:rsidR="00C0143F" w:rsidRPr="004854F9" w:rsidRDefault="00DA3F65" w:rsidP="003A5312">
      <w:pPr>
        <w:pStyle w:val="ListParagraph"/>
        <w:numPr>
          <w:ilvl w:val="1"/>
          <w:numId w:val="4"/>
        </w:numPr>
        <w:spacing w:line="276" w:lineRule="auto"/>
        <w:contextualSpacing/>
        <w:jc w:val="both"/>
        <w:rPr>
          <w:rFonts w:ascii="Arial" w:hAnsi="Arial" w:cs="Arial"/>
        </w:rPr>
      </w:pPr>
      <w:r w:rsidRPr="004854F9">
        <w:rPr>
          <w:rFonts w:ascii="Arial" w:hAnsi="Arial" w:cs="Arial"/>
        </w:rPr>
        <w:t xml:space="preserve">The scope of this impact assessment is to calculate the effect of the </w:t>
      </w:r>
      <w:r w:rsidR="00E35A9F">
        <w:rPr>
          <w:rFonts w:ascii="Arial" w:hAnsi="Arial" w:cs="Arial"/>
        </w:rPr>
        <w:t>implementation of the CMO labelling and marketing standards requirements</w:t>
      </w:r>
      <w:r w:rsidRPr="004854F9">
        <w:rPr>
          <w:rFonts w:ascii="Arial" w:hAnsi="Arial" w:cs="Arial"/>
        </w:rPr>
        <w:t xml:space="preserve"> across </w:t>
      </w:r>
      <w:r w:rsidR="0094485D" w:rsidRPr="004854F9">
        <w:rPr>
          <w:rFonts w:ascii="Arial" w:hAnsi="Arial" w:cs="Arial"/>
        </w:rPr>
        <w:t>England and Wales</w:t>
      </w:r>
      <w:r w:rsidR="00BF1CD4" w:rsidRPr="004854F9">
        <w:rPr>
          <w:rFonts w:ascii="Arial" w:hAnsi="Arial" w:cs="Arial"/>
        </w:rPr>
        <w:t xml:space="preserve"> and the focus is on mandatory requirements that are not covered by existing legislation (i.e. those that are additional</w:t>
      </w:r>
      <w:r w:rsidR="00ED1FB8">
        <w:rPr>
          <w:rFonts w:ascii="Arial" w:hAnsi="Arial" w:cs="Arial"/>
        </w:rPr>
        <w:t xml:space="preserve"> and require amendments to national legislation</w:t>
      </w:r>
      <w:r w:rsidR="00BF1CD4" w:rsidRPr="004854F9">
        <w:rPr>
          <w:rFonts w:ascii="Arial" w:hAnsi="Arial" w:cs="Arial"/>
        </w:rPr>
        <w:t>)</w:t>
      </w:r>
      <w:r w:rsidR="00605FBD" w:rsidRPr="004854F9">
        <w:rPr>
          <w:rFonts w:ascii="Arial" w:hAnsi="Arial" w:cs="Arial"/>
        </w:rPr>
        <w:t xml:space="preserve"> for the preferred Option 1</w:t>
      </w:r>
      <w:r w:rsidR="00BF1CD4" w:rsidRPr="004854F9">
        <w:rPr>
          <w:rFonts w:ascii="Arial" w:hAnsi="Arial" w:cs="Arial"/>
        </w:rPr>
        <w:t xml:space="preserve">. The Government </w:t>
      </w:r>
      <w:r w:rsidR="009A08E2" w:rsidRPr="004854F9">
        <w:rPr>
          <w:rFonts w:ascii="Arial" w:hAnsi="Arial" w:cs="Arial"/>
        </w:rPr>
        <w:t>will make use of all possible derogations and not implement early or make any of the voluntary</w:t>
      </w:r>
      <w:r w:rsidR="00BF1CD4" w:rsidRPr="004854F9">
        <w:rPr>
          <w:rFonts w:ascii="Arial" w:hAnsi="Arial" w:cs="Arial"/>
        </w:rPr>
        <w:t xml:space="preserve"> requirements of the regulation</w:t>
      </w:r>
      <w:r w:rsidR="009A08E2" w:rsidRPr="004854F9">
        <w:rPr>
          <w:rFonts w:ascii="Arial" w:hAnsi="Arial" w:cs="Arial"/>
        </w:rPr>
        <w:t xml:space="preserve"> mandatory</w:t>
      </w:r>
      <w:r w:rsidR="00BF1CD4" w:rsidRPr="004854F9">
        <w:rPr>
          <w:rFonts w:ascii="Arial" w:hAnsi="Arial" w:cs="Arial"/>
        </w:rPr>
        <w:t xml:space="preserve"> </w:t>
      </w:r>
      <w:r w:rsidR="009A08E2" w:rsidRPr="004854F9">
        <w:rPr>
          <w:rFonts w:ascii="Arial" w:hAnsi="Arial" w:cs="Arial"/>
        </w:rPr>
        <w:t>for</w:t>
      </w:r>
      <w:r w:rsidR="00BF1CD4" w:rsidRPr="004854F9">
        <w:rPr>
          <w:rFonts w:ascii="Arial" w:hAnsi="Arial" w:cs="Arial"/>
        </w:rPr>
        <w:t xml:space="preserve"> English and Welsh businesses</w:t>
      </w:r>
      <w:r w:rsidR="00ED4478">
        <w:rPr>
          <w:rFonts w:ascii="Arial" w:hAnsi="Arial" w:cs="Arial"/>
        </w:rPr>
        <w:t>;</w:t>
      </w:r>
      <w:r w:rsidR="00BF1CD4" w:rsidRPr="004854F9">
        <w:rPr>
          <w:rFonts w:ascii="Arial" w:hAnsi="Arial" w:cs="Arial"/>
        </w:rPr>
        <w:t xml:space="preserve"> as this will be gold-plating</w:t>
      </w:r>
      <w:r w:rsidR="00C0143F" w:rsidRPr="004854F9">
        <w:rPr>
          <w:rFonts w:ascii="Arial" w:hAnsi="Arial" w:cs="Arial"/>
        </w:rPr>
        <w:t xml:space="preserve"> and would disadvantage them relative to competitors</w:t>
      </w:r>
      <w:r w:rsidR="00B25FF2" w:rsidRPr="004854F9">
        <w:rPr>
          <w:rFonts w:ascii="Arial" w:hAnsi="Arial" w:cs="Arial"/>
        </w:rPr>
        <w:t xml:space="preserve"> due to the extra costs they would incur</w:t>
      </w:r>
      <w:r w:rsidR="00BF1CD4" w:rsidRPr="004854F9">
        <w:rPr>
          <w:rFonts w:ascii="Arial" w:hAnsi="Arial" w:cs="Arial"/>
        </w:rPr>
        <w:t>.</w:t>
      </w:r>
    </w:p>
    <w:p w:rsidR="00C0143F" w:rsidRPr="004854F9" w:rsidRDefault="00C0143F" w:rsidP="00251677">
      <w:pPr>
        <w:pStyle w:val="ListParagraph"/>
        <w:spacing w:line="276" w:lineRule="auto"/>
        <w:ind w:left="420"/>
        <w:contextualSpacing/>
        <w:jc w:val="both"/>
        <w:rPr>
          <w:rFonts w:ascii="Arial" w:hAnsi="Arial" w:cs="Arial"/>
        </w:rPr>
      </w:pPr>
    </w:p>
    <w:p w:rsidR="00CD09D0" w:rsidRDefault="00C0143F" w:rsidP="003A5312">
      <w:pPr>
        <w:pStyle w:val="ListParagraph"/>
        <w:numPr>
          <w:ilvl w:val="1"/>
          <w:numId w:val="4"/>
        </w:numPr>
        <w:spacing w:line="276" w:lineRule="auto"/>
        <w:contextualSpacing/>
        <w:jc w:val="both"/>
        <w:rPr>
          <w:rFonts w:ascii="Arial" w:hAnsi="Arial" w:cs="Arial"/>
        </w:rPr>
      </w:pPr>
      <w:r w:rsidRPr="004854F9">
        <w:rPr>
          <w:rFonts w:ascii="Arial" w:hAnsi="Arial" w:cs="Arial"/>
        </w:rPr>
        <w:t>T</w:t>
      </w:r>
      <w:r w:rsidR="00BF1CD4" w:rsidRPr="004854F9">
        <w:rPr>
          <w:rFonts w:ascii="Arial" w:hAnsi="Arial" w:cs="Arial"/>
        </w:rPr>
        <w:t xml:space="preserve">he aspects of the </w:t>
      </w:r>
      <w:r w:rsidR="00B0219D">
        <w:rPr>
          <w:rFonts w:ascii="Arial" w:hAnsi="Arial" w:cs="Arial"/>
        </w:rPr>
        <w:t xml:space="preserve"> CMO </w:t>
      </w:r>
      <w:r w:rsidR="00CC056A">
        <w:rPr>
          <w:rFonts w:ascii="Arial" w:hAnsi="Arial" w:cs="Arial"/>
        </w:rPr>
        <w:t>Regulation</w:t>
      </w:r>
      <w:r w:rsidR="00CC056A" w:rsidRPr="004854F9">
        <w:rPr>
          <w:rFonts w:ascii="Arial" w:hAnsi="Arial" w:cs="Arial"/>
        </w:rPr>
        <w:t xml:space="preserve"> </w:t>
      </w:r>
      <w:r w:rsidR="00BF1CD4" w:rsidRPr="004854F9">
        <w:rPr>
          <w:rFonts w:ascii="Arial" w:hAnsi="Arial" w:cs="Arial"/>
        </w:rPr>
        <w:t>that are covered by existing</w:t>
      </w:r>
      <w:r w:rsidR="00CC056A">
        <w:rPr>
          <w:rFonts w:ascii="Arial" w:hAnsi="Arial" w:cs="Arial"/>
        </w:rPr>
        <w:t xml:space="preserve"> domestic</w:t>
      </w:r>
      <w:r w:rsidR="00BF1CD4" w:rsidRPr="004854F9">
        <w:rPr>
          <w:rFonts w:ascii="Arial" w:hAnsi="Arial" w:cs="Arial"/>
        </w:rPr>
        <w:t xml:space="preserve"> regulations </w:t>
      </w:r>
      <w:r w:rsidR="0003297E">
        <w:rPr>
          <w:rFonts w:ascii="Arial" w:hAnsi="Arial" w:cs="Arial"/>
        </w:rPr>
        <w:t xml:space="preserve">and do not require </w:t>
      </w:r>
      <w:r w:rsidR="00716703">
        <w:rPr>
          <w:rFonts w:ascii="Arial" w:hAnsi="Arial" w:cs="Arial"/>
        </w:rPr>
        <w:t xml:space="preserve">changes </w:t>
      </w:r>
      <w:r w:rsidR="0003297E">
        <w:rPr>
          <w:rFonts w:ascii="Arial" w:hAnsi="Arial" w:cs="Arial"/>
        </w:rPr>
        <w:t xml:space="preserve">to national legislation </w:t>
      </w:r>
      <w:r w:rsidR="00BF1CD4" w:rsidRPr="004854F9">
        <w:rPr>
          <w:rFonts w:ascii="Arial" w:hAnsi="Arial" w:cs="Arial"/>
        </w:rPr>
        <w:t>are considered to be part of the baseline</w:t>
      </w:r>
      <w:r w:rsidRPr="004854F9">
        <w:rPr>
          <w:rFonts w:ascii="Arial" w:hAnsi="Arial" w:cs="Arial"/>
        </w:rPr>
        <w:t xml:space="preserve"> (Option 0)</w:t>
      </w:r>
      <w:r w:rsidR="00BF1CD4" w:rsidRPr="004854F9">
        <w:rPr>
          <w:rFonts w:ascii="Arial" w:hAnsi="Arial" w:cs="Arial"/>
        </w:rPr>
        <w:t xml:space="preserve"> and are not assessed here as the associated cost and benefits would occur </w:t>
      </w:r>
      <w:r w:rsidR="0003297E">
        <w:rPr>
          <w:rFonts w:ascii="Arial" w:hAnsi="Arial" w:cs="Arial"/>
        </w:rPr>
        <w:t xml:space="preserve">regardless of </w:t>
      </w:r>
      <w:r w:rsidR="000E4D90">
        <w:rPr>
          <w:rFonts w:ascii="Arial" w:hAnsi="Arial" w:cs="Arial"/>
        </w:rPr>
        <w:t xml:space="preserve">the </w:t>
      </w:r>
      <w:r w:rsidR="0003297E">
        <w:rPr>
          <w:rFonts w:ascii="Arial" w:hAnsi="Arial" w:cs="Arial"/>
        </w:rPr>
        <w:t xml:space="preserve">implementation of the </w:t>
      </w:r>
      <w:r w:rsidR="00A10FA0">
        <w:rPr>
          <w:rFonts w:ascii="Arial" w:hAnsi="Arial" w:cs="Arial"/>
        </w:rPr>
        <w:t>new requirements</w:t>
      </w:r>
      <w:r w:rsidR="00BF1CD4" w:rsidRPr="004854F9">
        <w:rPr>
          <w:rFonts w:ascii="Arial" w:hAnsi="Arial" w:cs="Arial"/>
        </w:rPr>
        <w:t>.</w:t>
      </w:r>
      <w:r w:rsidR="00DA3F65" w:rsidRPr="004854F9">
        <w:rPr>
          <w:rFonts w:ascii="Arial" w:hAnsi="Arial" w:cs="Arial"/>
        </w:rPr>
        <w:t xml:space="preserve"> The CMO only applies to </w:t>
      </w:r>
      <w:r w:rsidR="00A10FA0">
        <w:rPr>
          <w:rFonts w:ascii="Arial" w:hAnsi="Arial" w:cs="Arial"/>
        </w:rPr>
        <w:t xml:space="preserve">the </w:t>
      </w:r>
      <w:r w:rsidR="00DA3F65" w:rsidRPr="004854F9">
        <w:rPr>
          <w:rFonts w:ascii="Arial" w:hAnsi="Arial" w:cs="Arial"/>
        </w:rPr>
        <w:t>fishery products listed in Annex 1 of the legislation (and</w:t>
      </w:r>
      <w:r w:rsidR="00656D69">
        <w:rPr>
          <w:rFonts w:ascii="Arial" w:hAnsi="Arial" w:cs="Arial"/>
        </w:rPr>
        <w:t xml:space="preserve"> included as Annex A in </w:t>
      </w:r>
      <w:r w:rsidR="00DA3F65" w:rsidRPr="004854F9">
        <w:rPr>
          <w:rFonts w:ascii="Arial" w:hAnsi="Arial" w:cs="Arial"/>
        </w:rPr>
        <w:t>this impact assessment). The main</w:t>
      </w:r>
      <w:r w:rsidRPr="004854F9">
        <w:rPr>
          <w:rFonts w:ascii="Arial" w:hAnsi="Arial" w:cs="Arial"/>
        </w:rPr>
        <w:t xml:space="preserve"> sectors affected by the CMO are fully described in Option 0 and they range from seafood producers (both fishers and aquaculture) to</w:t>
      </w:r>
      <w:r w:rsidR="00805BE1" w:rsidRPr="004854F9">
        <w:rPr>
          <w:rFonts w:ascii="Arial" w:hAnsi="Arial" w:cs="Arial"/>
        </w:rPr>
        <w:t xml:space="preserve"> producer organisations,</w:t>
      </w:r>
      <w:r w:rsidRPr="004854F9">
        <w:rPr>
          <w:rFonts w:ascii="Arial" w:hAnsi="Arial" w:cs="Arial"/>
        </w:rPr>
        <w:t xml:space="preserve"> processors</w:t>
      </w:r>
      <w:r w:rsidR="0003297E">
        <w:rPr>
          <w:rFonts w:ascii="Arial" w:hAnsi="Arial" w:cs="Arial"/>
        </w:rPr>
        <w:t xml:space="preserve"> and preservers</w:t>
      </w:r>
      <w:r w:rsidRPr="004854F9">
        <w:rPr>
          <w:rFonts w:ascii="Arial" w:hAnsi="Arial" w:cs="Arial"/>
        </w:rPr>
        <w:t>, wholesalers, retailers and consumers. The</w:t>
      </w:r>
      <w:r w:rsidR="00DA3F65" w:rsidRPr="004854F9">
        <w:rPr>
          <w:rFonts w:ascii="Arial" w:hAnsi="Arial" w:cs="Arial"/>
        </w:rPr>
        <w:t xml:space="preserve"> changes resulting from the </w:t>
      </w:r>
      <w:r w:rsidR="00ED2D8E">
        <w:rPr>
          <w:rFonts w:ascii="Arial" w:hAnsi="Arial" w:cs="Arial"/>
        </w:rPr>
        <w:t>CMO regulation</w:t>
      </w:r>
      <w:r w:rsidR="00DA3F65" w:rsidRPr="004854F9">
        <w:rPr>
          <w:rFonts w:ascii="Arial" w:hAnsi="Arial" w:cs="Arial"/>
        </w:rPr>
        <w:t xml:space="preserve"> </w:t>
      </w:r>
      <w:r w:rsidR="0050536F">
        <w:rPr>
          <w:rFonts w:ascii="Arial" w:hAnsi="Arial" w:cs="Arial"/>
        </w:rPr>
        <w:t xml:space="preserve">and </w:t>
      </w:r>
      <w:r w:rsidR="00ED2D8E">
        <w:rPr>
          <w:rFonts w:ascii="Arial" w:hAnsi="Arial" w:cs="Arial"/>
        </w:rPr>
        <w:t xml:space="preserve">which policy option they are applicable to </w:t>
      </w:r>
      <w:r w:rsidR="0050536F">
        <w:rPr>
          <w:rFonts w:ascii="Arial" w:hAnsi="Arial" w:cs="Arial"/>
        </w:rPr>
        <w:t xml:space="preserve">are </w:t>
      </w:r>
      <w:r w:rsidR="00ED2D8E">
        <w:rPr>
          <w:rFonts w:ascii="Arial" w:hAnsi="Arial" w:cs="Arial"/>
        </w:rPr>
        <w:t>discussed in the following sections and they</w:t>
      </w:r>
      <w:r w:rsidR="00623992">
        <w:rPr>
          <w:rFonts w:ascii="Arial" w:hAnsi="Arial" w:cs="Arial"/>
        </w:rPr>
        <w:t xml:space="preserve"> are summarised in Table 2 (p. 9</w:t>
      </w:r>
      <w:r w:rsidR="00ED2D8E">
        <w:rPr>
          <w:rFonts w:ascii="Arial" w:hAnsi="Arial" w:cs="Arial"/>
        </w:rPr>
        <w:t>).</w:t>
      </w:r>
    </w:p>
    <w:p w:rsidR="00623992" w:rsidRDefault="00623992" w:rsidP="00623992">
      <w:pPr>
        <w:spacing w:line="276" w:lineRule="auto"/>
        <w:contextualSpacing/>
        <w:jc w:val="both"/>
        <w:rPr>
          <w:rFonts w:cs="Arial"/>
        </w:rPr>
      </w:pPr>
    </w:p>
    <w:p w:rsidR="00CD09D0" w:rsidRDefault="00CD09D0" w:rsidP="00251677">
      <w:pPr>
        <w:pStyle w:val="ListParagraph"/>
        <w:spacing w:line="276" w:lineRule="auto"/>
        <w:rPr>
          <w:rFonts w:ascii="Arial" w:hAnsi="Arial" w:cs="Arial"/>
          <w:sz w:val="24"/>
          <w:szCs w:val="24"/>
        </w:rPr>
      </w:pPr>
    </w:p>
    <w:p w:rsidR="00623992" w:rsidRPr="004854F9" w:rsidRDefault="00623992" w:rsidP="00251677">
      <w:pPr>
        <w:pStyle w:val="ListParagraph"/>
        <w:spacing w:line="276" w:lineRule="auto"/>
        <w:rPr>
          <w:rFonts w:ascii="Arial" w:hAnsi="Arial" w:cs="Arial"/>
        </w:rPr>
      </w:pPr>
    </w:p>
    <w:p w:rsidR="00CD09D0" w:rsidRPr="00B262B3" w:rsidRDefault="00CD09D0" w:rsidP="00251677">
      <w:pPr>
        <w:pStyle w:val="ListParagraph"/>
        <w:spacing w:line="276" w:lineRule="auto"/>
        <w:ind w:left="420"/>
        <w:contextualSpacing/>
        <w:jc w:val="both"/>
        <w:rPr>
          <w:rFonts w:ascii="Arial" w:hAnsi="Arial" w:cs="Arial"/>
          <w:u w:val="single"/>
        </w:rPr>
      </w:pPr>
      <w:r w:rsidRPr="00B262B3">
        <w:rPr>
          <w:rFonts w:ascii="Arial" w:hAnsi="Arial" w:cs="Arial"/>
          <w:u w:val="single"/>
        </w:rPr>
        <w:lastRenderedPageBreak/>
        <w:t>Additional Labelling Requirements</w:t>
      </w:r>
    </w:p>
    <w:p w:rsidR="00CD09D0" w:rsidRPr="004854F9" w:rsidRDefault="00CD09D0" w:rsidP="00251677">
      <w:pPr>
        <w:spacing w:line="276" w:lineRule="auto"/>
        <w:contextualSpacing/>
        <w:jc w:val="both"/>
        <w:rPr>
          <w:rFonts w:cs="Arial"/>
          <w:sz w:val="22"/>
          <w:szCs w:val="22"/>
        </w:rPr>
      </w:pPr>
    </w:p>
    <w:p w:rsidR="00A10FA0" w:rsidRPr="00623992" w:rsidRDefault="0001003A" w:rsidP="00ED2D8E">
      <w:pPr>
        <w:pStyle w:val="ListParagraph"/>
        <w:numPr>
          <w:ilvl w:val="1"/>
          <w:numId w:val="4"/>
        </w:numPr>
        <w:spacing w:after="240" w:line="276" w:lineRule="auto"/>
        <w:contextualSpacing/>
        <w:jc w:val="both"/>
        <w:rPr>
          <w:rFonts w:ascii="Arial" w:hAnsi="Arial" w:cs="Arial"/>
        </w:rPr>
      </w:pPr>
      <w:r w:rsidRPr="004854F9">
        <w:rPr>
          <w:rFonts w:ascii="Arial" w:hAnsi="Arial" w:cs="Arial"/>
        </w:rPr>
        <w:t>Reform of the CMO compliments existing labelling regulation</w:t>
      </w:r>
      <w:r w:rsidR="00B0219D">
        <w:rPr>
          <w:rFonts w:ascii="Arial" w:hAnsi="Arial" w:cs="Arial"/>
        </w:rPr>
        <w:t>s</w:t>
      </w:r>
      <w:r w:rsidRPr="004854F9">
        <w:rPr>
          <w:rFonts w:ascii="Arial" w:hAnsi="Arial" w:cs="Arial"/>
        </w:rPr>
        <w:t xml:space="preserve"> and this impact</w:t>
      </w:r>
      <w:r w:rsidR="00805BE1" w:rsidRPr="004854F9">
        <w:rPr>
          <w:rFonts w:ascii="Arial" w:hAnsi="Arial" w:cs="Arial"/>
        </w:rPr>
        <w:t xml:space="preserve"> assessment monetises the </w:t>
      </w:r>
      <w:r w:rsidR="0050536F">
        <w:rPr>
          <w:rFonts w:ascii="Arial" w:hAnsi="Arial" w:cs="Arial"/>
        </w:rPr>
        <w:t>impacts</w:t>
      </w:r>
      <w:r w:rsidR="00805BE1" w:rsidRPr="004854F9">
        <w:rPr>
          <w:rFonts w:ascii="Arial" w:hAnsi="Arial" w:cs="Arial"/>
        </w:rPr>
        <w:t xml:space="preserve"> of</w:t>
      </w:r>
      <w:r w:rsidRPr="004854F9">
        <w:rPr>
          <w:rFonts w:ascii="Arial" w:hAnsi="Arial" w:cs="Arial"/>
        </w:rPr>
        <w:t xml:space="preserve"> those requirements that are additional only. Therefore it is necessary to determine which requirements are covered by baseline legislation (Option 0), </w:t>
      </w:r>
      <w:r w:rsidR="000E4D90">
        <w:rPr>
          <w:rFonts w:ascii="Arial" w:hAnsi="Arial" w:cs="Arial"/>
        </w:rPr>
        <w:t xml:space="preserve">which </w:t>
      </w:r>
      <w:r w:rsidRPr="004854F9">
        <w:rPr>
          <w:rFonts w:ascii="Arial" w:hAnsi="Arial" w:cs="Arial"/>
        </w:rPr>
        <w:t xml:space="preserve">are new and </w:t>
      </w:r>
      <w:r w:rsidR="0050536F">
        <w:rPr>
          <w:rFonts w:ascii="Arial" w:hAnsi="Arial" w:cs="Arial"/>
        </w:rPr>
        <w:t>require amendment</w:t>
      </w:r>
      <w:r w:rsidR="000E4D90">
        <w:rPr>
          <w:rFonts w:ascii="Arial" w:hAnsi="Arial" w:cs="Arial"/>
        </w:rPr>
        <w:t>s</w:t>
      </w:r>
      <w:r w:rsidR="0050536F">
        <w:rPr>
          <w:rFonts w:ascii="Arial" w:hAnsi="Arial" w:cs="Arial"/>
        </w:rPr>
        <w:t xml:space="preserve"> to national legislation in E &amp; W </w:t>
      </w:r>
      <w:r w:rsidRPr="004854F9">
        <w:rPr>
          <w:rFonts w:ascii="Arial" w:hAnsi="Arial" w:cs="Arial"/>
        </w:rPr>
        <w:t>(Option</w:t>
      </w:r>
      <w:r w:rsidR="0050536F">
        <w:rPr>
          <w:rFonts w:ascii="Arial" w:hAnsi="Arial" w:cs="Arial"/>
        </w:rPr>
        <w:t xml:space="preserve"> 1) and </w:t>
      </w:r>
      <w:r w:rsidR="000E4D90">
        <w:rPr>
          <w:rFonts w:ascii="Arial" w:hAnsi="Arial" w:cs="Arial"/>
        </w:rPr>
        <w:t xml:space="preserve">which </w:t>
      </w:r>
      <w:r w:rsidR="0050536F">
        <w:rPr>
          <w:rFonts w:ascii="Arial" w:hAnsi="Arial" w:cs="Arial"/>
        </w:rPr>
        <w:t>are voluntary</w:t>
      </w:r>
      <w:r w:rsidRPr="004854F9">
        <w:rPr>
          <w:rFonts w:ascii="Arial" w:hAnsi="Arial" w:cs="Arial"/>
        </w:rPr>
        <w:t>.</w:t>
      </w:r>
      <w:r w:rsidR="005938A2" w:rsidRPr="004854F9">
        <w:rPr>
          <w:rFonts w:ascii="Arial" w:hAnsi="Arial" w:cs="Arial"/>
        </w:rPr>
        <w:t xml:space="preserve"> The labelling requirements of the </w:t>
      </w:r>
      <w:r w:rsidR="00A10FA0">
        <w:rPr>
          <w:rFonts w:ascii="Arial" w:hAnsi="Arial" w:cs="Arial"/>
        </w:rPr>
        <w:t>CMO</w:t>
      </w:r>
      <w:r w:rsidR="005938A2" w:rsidRPr="004854F9">
        <w:rPr>
          <w:rFonts w:ascii="Arial" w:hAnsi="Arial" w:cs="Arial"/>
        </w:rPr>
        <w:t xml:space="preserve"> come into force 13</w:t>
      </w:r>
      <w:r w:rsidR="005938A2" w:rsidRPr="004854F9">
        <w:rPr>
          <w:rFonts w:ascii="Arial" w:hAnsi="Arial" w:cs="Arial"/>
          <w:vertAlign w:val="superscript"/>
        </w:rPr>
        <w:t>th</w:t>
      </w:r>
      <w:r w:rsidR="005938A2" w:rsidRPr="004854F9">
        <w:rPr>
          <w:rFonts w:ascii="Arial" w:hAnsi="Arial" w:cs="Arial"/>
        </w:rPr>
        <w:t xml:space="preserve"> December 2014.</w:t>
      </w:r>
      <w:r w:rsidRPr="004854F9">
        <w:rPr>
          <w:rFonts w:ascii="Arial" w:hAnsi="Arial" w:cs="Arial"/>
        </w:rPr>
        <w:t xml:space="preserve"> The following tabl</w:t>
      </w:r>
      <w:r w:rsidR="00954601" w:rsidRPr="004854F9">
        <w:rPr>
          <w:rFonts w:ascii="Arial" w:hAnsi="Arial" w:cs="Arial"/>
        </w:rPr>
        <w:t>e summarises them:</w:t>
      </w:r>
    </w:p>
    <w:p w:rsidR="00A0056F" w:rsidRPr="00A0056F" w:rsidRDefault="00A0056F" w:rsidP="00A84666">
      <w:pPr>
        <w:spacing w:after="240"/>
        <w:contextualSpacing/>
        <w:jc w:val="center"/>
        <w:rPr>
          <w:rFonts w:cs="Arial"/>
          <w:sz w:val="16"/>
          <w:szCs w:val="16"/>
        </w:rPr>
      </w:pPr>
      <w:r w:rsidRPr="00A0056F">
        <w:rPr>
          <w:rFonts w:cs="Arial"/>
          <w:sz w:val="16"/>
          <w:szCs w:val="16"/>
        </w:rPr>
        <w:t xml:space="preserve">Table 1: Summary of labelling requirements under the reformed CMO and </w:t>
      </w:r>
      <w:r w:rsidR="00A84666">
        <w:rPr>
          <w:rFonts w:cs="Arial"/>
          <w:sz w:val="16"/>
          <w:szCs w:val="16"/>
        </w:rPr>
        <w:t>the</w:t>
      </w:r>
      <w:r w:rsidR="00B0219D">
        <w:rPr>
          <w:rFonts w:cs="Arial"/>
          <w:sz w:val="16"/>
          <w:szCs w:val="16"/>
        </w:rPr>
        <w:t xml:space="preserve"> </w:t>
      </w:r>
      <w:r w:rsidR="00A84666">
        <w:rPr>
          <w:rFonts w:cs="Arial"/>
          <w:sz w:val="16"/>
          <w:szCs w:val="16"/>
        </w:rPr>
        <w:t xml:space="preserve">corresponding </w:t>
      </w:r>
      <w:r w:rsidR="00B0219D">
        <w:rPr>
          <w:rFonts w:cs="Arial"/>
          <w:sz w:val="16"/>
          <w:szCs w:val="16"/>
        </w:rPr>
        <w:t>domestic and</w:t>
      </w:r>
      <w:r w:rsidR="00A84666">
        <w:rPr>
          <w:rFonts w:cs="Arial"/>
          <w:sz w:val="16"/>
          <w:szCs w:val="16"/>
        </w:rPr>
        <w:t>/or</w:t>
      </w:r>
      <w:r w:rsidR="00B0219D">
        <w:rPr>
          <w:rFonts w:cs="Arial"/>
          <w:sz w:val="16"/>
          <w:szCs w:val="16"/>
        </w:rPr>
        <w:t xml:space="preserve"> EU provisions</w:t>
      </w:r>
      <w:r w:rsidR="00A84666">
        <w:rPr>
          <w:rFonts w:cs="Arial"/>
          <w:sz w:val="16"/>
          <w:szCs w:val="16"/>
        </w:rPr>
        <w:t xml:space="preserve"> where applicable</w:t>
      </w:r>
      <w:r w:rsidRPr="00A0056F">
        <w:rPr>
          <w:rFonts w:cs="Arial"/>
          <w:sz w:val="16"/>
          <w:szCs w:val="16"/>
        </w:rPr>
        <w:t xml:space="preserve"> (Option 0), </w:t>
      </w:r>
      <w:r>
        <w:rPr>
          <w:rFonts w:cs="Arial"/>
          <w:sz w:val="16"/>
          <w:szCs w:val="16"/>
        </w:rPr>
        <w:t xml:space="preserve">require amendments to national legislation in E &amp; W </w:t>
      </w:r>
      <w:r w:rsidRPr="00A0056F">
        <w:rPr>
          <w:rFonts w:cs="Arial"/>
          <w:sz w:val="16"/>
          <w:szCs w:val="16"/>
        </w:rPr>
        <w:t xml:space="preserve">(Option 1), or </w:t>
      </w:r>
      <w:r>
        <w:rPr>
          <w:rFonts w:cs="Arial"/>
          <w:sz w:val="16"/>
          <w:szCs w:val="16"/>
        </w:rPr>
        <w:t xml:space="preserve">are </w:t>
      </w:r>
      <w:r w:rsidRPr="00A0056F">
        <w:rPr>
          <w:rFonts w:cs="Arial"/>
          <w:sz w:val="16"/>
          <w:szCs w:val="16"/>
        </w:rPr>
        <w:t>voluntary</w:t>
      </w:r>
      <w:r>
        <w:rPr>
          <w:rFonts w:cs="Arial"/>
          <w:sz w:val="16"/>
          <w:szCs w:val="16"/>
        </w:rPr>
        <w:t>.</w:t>
      </w:r>
    </w:p>
    <w:tbl>
      <w:tblPr>
        <w:tblStyle w:val="TableGrid"/>
        <w:tblW w:w="0" w:type="auto"/>
        <w:jc w:val="center"/>
        <w:tblInd w:w="534" w:type="dxa"/>
        <w:tblLook w:val="04A0" w:firstRow="1" w:lastRow="0" w:firstColumn="1" w:lastColumn="0" w:noHBand="0" w:noVBand="1"/>
      </w:tblPr>
      <w:tblGrid>
        <w:gridCol w:w="4265"/>
        <w:gridCol w:w="4394"/>
        <w:gridCol w:w="1228"/>
      </w:tblGrid>
      <w:tr w:rsidR="00BB2158" w:rsidRPr="00A54622" w:rsidTr="00A54622">
        <w:trPr>
          <w:jc w:val="center"/>
        </w:trPr>
        <w:tc>
          <w:tcPr>
            <w:tcW w:w="4265" w:type="dxa"/>
            <w:vAlign w:val="center"/>
          </w:tcPr>
          <w:p w:rsidR="006C6938" w:rsidRPr="00A54622" w:rsidRDefault="006C6938" w:rsidP="00A54622">
            <w:pPr>
              <w:jc w:val="center"/>
              <w:rPr>
                <w:rFonts w:eastAsia="Calibri"/>
                <w:sz w:val="16"/>
                <w:szCs w:val="16"/>
              </w:rPr>
            </w:pPr>
            <w:r w:rsidRPr="00A54622">
              <w:rPr>
                <w:sz w:val="16"/>
                <w:szCs w:val="16"/>
              </w:rPr>
              <w:t xml:space="preserve">CMO </w:t>
            </w:r>
            <w:r w:rsidR="00192DB5" w:rsidRPr="00A54622">
              <w:rPr>
                <w:rFonts w:eastAsia="Calibri"/>
                <w:sz w:val="16"/>
                <w:szCs w:val="16"/>
              </w:rPr>
              <w:t>Arti</w:t>
            </w:r>
            <w:r w:rsidR="0001003A" w:rsidRPr="00A54622">
              <w:rPr>
                <w:rFonts w:eastAsia="Calibri"/>
                <w:sz w:val="16"/>
                <w:szCs w:val="16"/>
              </w:rPr>
              <w:t>cles 35-39</w:t>
            </w:r>
            <w:r w:rsidR="00192DB5" w:rsidRPr="00A54622">
              <w:rPr>
                <w:rFonts w:eastAsia="Calibri"/>
                <w:sz w:val="16"/>
                <w:szCs w:val="16"/>
              </w:rPr>
              <w:t>: Applies to product categories 0301 – 0307 and</w:t>
            </w:r>
            <w:r w:rsidR="0001003A" w:rsidRPr="00A54622">
              <w:rPr>
                <w:rFonts w:eastAsia="Calibri"/>
                <w:sz w:val="16"/>
                <w:szCs w:val="16"/>
              </w:rPr>
              <w:t xml:space="preserve"> </w:t>
            </w:r>
            <w:r w:rsidR="00192DB5" w:rsidRPr="00A54622">
              <w:rPr>
                <w:rFonts w:eastAsia="Calibri"/>
                <w:sz w:val="16"/>
                <w:szCs w:val="16"/>
              </w:rPr>
              <w:t>1212 20 00 (seaweeds</w:t>
            </w:r>
            <w:r w:rsidR="00BB2158" w:rsidRPr="00A54622">
              <w:rPr>
                <w:rFonts w:eastAsia="Calibri"/>
                <w:sz w:val="16"/>
                <w:szCs w:val="16"/>
              </w:rPr>
              <w:t xml:space="preserve"> and other algae) (see Annex A)</w:t>
            </w:r>
          </w:p>
        </w:tc>
        <w:tc>
          <w:tcPr>
            <w:tcW w:w="4394" w:type="dxa"/>
            <w:vAlign w:val="center"/>
          </w:tcPr>
          <w:p w:rsidR="006C6938" w:rsidRPr="00A54622" w:rsidRDefault="006A7192" w:rsidP="00A54622">
            <w:pPr>
              <w:jc w:val="center"/>
              <w:rPr>
                <w:sz w:val="16"/>
                <w:szCs w:val="16"/>
              </w:rPr>
            </w:pPr>
            <w:r>
              <w:rPr>
                <w:sz w:val="16"/>
                <w:szCs w:val="16"/>
              </w:rPr>
              <w:t>E</w:t>
            </w:r>
            <w:r w:rsidR="00A10FA0" w:rsidRPr="00A54622">
              <w:rPr>
                <w:sz w:val="16"/>
                <w:szCs w:val="16"/>
              </w:rPr>
              <w:t>xisting l</w:t>
            </w:r>
            <w:r w:rsidR="006C6938" w:rsidRPr="00A54622">
              <w:rPr>
                <w:sz w:val="16"/>
                <w:szCs w:val="16"/>
              </w:rPr>
              <w:t>egislation</w:t>
            </w:r>
            <w:r w:rsidR="00A10FA0" w:rsidRPr="00A54622">
              <w:rPr>
                <w:sz w:val="16"/>
                <w:szCs w:val="16"/>
              </w:rPr>
              <w:t xml:space="preserve"> (both domestic and EU) or v</w:t>
            </w:r>
            <w:r w:rsidR="007F34B1" w:rsidRPr="00A54622">
              <w:rPr>
                <w:sz w:val="16"/>
                <w:szCs w:val="16"/>
              </w:rPr>
              <w:t>oluntary</w:t>
            </w:r>
          </w:p>
        </w:tc>
        <w:tc>
          <w:tcPr>
            <w:tcW w:w="1228" w:type="dxa"/>
            <w:vAlign w:val="center"/>
          </w:tcPr>
          <w:p w:rsidR="006C6938" w:rsidRPr="00A54622" w:rsidRDefault="00767B54" w:rsidP="00A54622">
            <w:pPr>
              <w:jc w:val="center"/>
              <w:rPr>
                <w:sz w:val="16"/>
                <w:szCs w:val="16"/>
              </w:rPr>
            </w:pPr>
            <w:r w:rsidRPr="00A54622">
              <w:rPr>
                <w:sz w:val="16"/>
                <w:szCs w:val="16"/>
              </w:rPr>
              <w:t xml:space="preserve">Policy </w:t>
            </w:r>
            <w:r w:rsidR="0001003A" w:rsidRPr="00A54622">
              <w:rPr>
                <w:sz w:val="16"/>
                <w:szCs w:val="16"/>
              </w:rPr>
              <w:t>Option Applicable</w:t>
            </w:r>
          </w:p>
        </w:tc>
      </w:tr>
      <w:tr w:rsidR="00BB2158" w:rsidRPr="00A54622" w:rsidTr="00A54622">
        <w:trPr>
          <w:jc w:val="center"/>
        </w:trPr>
        <w:tc>
          <w:tcPr>
            <w:tcW w:w="4265" w:type="dxa"/>
            <w:vAlign w:val="center"/>
          </w:tcPr>
          <w:p w:rsidR="006C6938" w:rsidRPr="00A54622" w:rsidRDefault="00192DB5" w:rsidP="00A54622">
            <w:pPr>
              <w:jc w:val="center"/>
              <w:rPr>
                <w:rFonts w:eastAsia="Calibri"/>
                <w:sz w:val="16"/>
                <w:szCs w:val="16"/>
              </w:rPr>
            </w:pPr>
            <w:r w:rsidRPr="00A54622">
              <w:rPr>
                <w:rFonts w:eastAsia="Calibri"/>
                <w:sz w:val="16"/>
                <w:szCs w:val="16"/>
              </w:rPr>
              <w:t>Commercial designation</w:t>
            </w:r>
          </w:p>
        </w:tc>
        <w:tc>
          <w:tcPr>
            <w:tcW w:w="4394" w:type="dxa"/>
            <w:vAlign w:val="center"/>
          </w:tcPr>
          <w:p w:rsidR="00DD2814" w:rsidRPr="00A54622" w:rsidRDefault="00DD2814" w:rsidP="00A54622">
            <w:pPr>
              <w:jc w:val="center"/>
              <w:rPr>
                <w:sz w:val="16"/>
                <w:szCs w:val="16"/>
              </w:rPr>
            </w:pPr>
            <w:r w:rsidRPr="00A54622">
              <w:rPr>
                <w:sz w:val="16"/>
                <w:szCs w:val="16"/>
              </w:rPr>
              <w:t>The Fish Labelling Regulations 2013 provide for the enforcement o</w:t>
            </w:r>
            <w:r w:rsidR="00623992">
              <w:rPr>
                <w:sz w:val="16"/>
                <w:szCs w:val="16"/>
              </w:rPr>
              <w:t>f</w:t>
            </w:r>
            <w:r w:rsidR="00ED3E95">
              <w:rPr>
                <w:sz w:val="16"/>
                <w:szCs w:val="16"/>
              </w:rPr>
              <w:t xml:space="preserve"> the requirements under</w:t>
            </w:r>
          </w:p>
          <w:p w:rsidR="006C6938" w:rsidRPr="00A54622" w:rsidRDefault="00DD2814" w:rsidP="00ED3E95">
            <w:pPr>
              <w:jc w:val="center"/>
              <w:rPr>
                <w:sz w:val="16"/>
                <w:szCs w:val="16"/>
              </w:rPr>
            </w:pPr>
            <w:r w:rsidRPr="00A54622">
              <w:rPr>
                <w:sz w:val="16"/>
                <w:szCs w:val="16"/>
              </w:rPr>
              <w:t>Council Regulation 104/2000</w:t>
            </w:r>
            <w:r w:rsidR="00ED3E95">
              <w:rPr>
                <w:sz w:val="16"/>
                <w:szCs w:val="16"/>
              </w:rPr>
              <w:t xml:space="preserve"> and</w:t>
            </w:r>
            <w:r w:rsidR="00623992">
              <w:rPr>
                <w:sz w:val="16"/>
                <w:szCs w:val="16"/>
              </w:rPr>
              <w:t xml:space="preserve"> </w:t>
            </w:r>
            <w:r w:rsidRPr="00A54622">
              <w:rPr>
                <w:sz w:val="16"/>
                <w:szCs w:val="16"/>
              </w:rPr>
              <w:t>Commission Regulation 2065/2001</w:t>
            </w:r>
            <w:r w:rsidR="000F01EF" w:rsidRPr="00A54622">
              <w:rPr>
                <w:sz w:val="16"/>
                <w:szCs w:val="16"/>
              </w:rPr>
              <w:t>,</w:t>
            </w:r>
            <w:r w:rsidRPr="00A54622">
              <w:rPr>
                <w:sz w:val="16"/>
                <w:szCs w:val="16"/>
              </w:rPr>
              <w:t xml:space="preserve"> the </w:t>
            </w:r>
            <w:r w:rsidR="00453B12" w:rsidRPr="00A54622">
              <w:rPr>
                <w:sz w:val="16"/>
                <w:szCs w:val="16"/>
              </w:rPr>
              <w:t xml:space="preserve">CFP </w:t>
            </w:r>
            <w:r w:rsidRPr="00A54622">
              <w:rPr>
                <w:sz w:val="16"/>
                <w:szCs w:val="16"/>
              </w:rPr>
              <w:t>Control Regulation</w:t>
            </w:r>
            <w:r w:rsidR="000F01EF" w:rsidRPr="00A54622">
              <w:rPr>
                <w:sz w:val="16"/>
                <w:szCs w:val="16"/>
              </w:rPr>
              <w:t xml:space="preserve"> </w:t>
            </w:r>
            <w:r w:rsidRPr="00A54622">
              <w:rPr>
                <w:sz w:val="16"/>
                <w:szCs w:val="16"/>
              </w:rPr>
              <w:t>(EC) 1224/2009 and its Implementing Regulation 404/2011</w:t>
            </w:r>
          </w:p>
        </w:tc>
        <w:tc>
          <w:tcPr>
            <w:tcW w:w="1228" w:type="dxa"/>
            <w:vAlign w:val="center"/>
          </w:tcPr>
          <w:p w:rsidR="006C6938" w:rsidRPr="00A54622" w:rsidRDefault="00BB2158" w:rsidP="00A54622">
            <w:pPr>
              <w:jc w:val="center"/>
              <w:rPr>
                <w:sz w:val="16"/>
                <w:szCs w:val="16"/>
              </w:rPr>
            </w:pPr>
            <w:r w:rsidRPr="00A54622">
              <w:rPr>
                <w:sz w:val="16"/>
                <w:szCs w:val="16"/>
              </w:rPr>
              <w:t xml:space="preserve">Option </w:t>
            </w:r>
            <w:r w:rsidR="0001003A" w:rsidRPr="00A54622">
              <w:rPr>
                <w:sz w:val="16"/>
                <w:szCs w:val="16"/>
              </w:rPr>
              <w:t>0</w:t>
            </w:r>
          </w:p>
        </w:tc>
      </w:tr>
      <w:tr w:rsidR="00BB2158" w:rsidRPr="00A54622" w:rsidTr="00A54622">
        <w:trPr>
          <w:jc w:val="center"/>
        </w:trPr>
        <w:tc>
          <w:tcPr>
            <w:tcW w:w="4265" w:type="dxa"/>
            <w:vAlign w:val="center"/>
          </w:tcPr>
          <w:p w:rsidR="001763E3" w:rsidRPr="00A54622" w:rsidRDefault="00192DB5" w:rsidP="00A54622">
            <w:pPr>
              <w:jc w:val="center"/>
              <w:rPr>
                <w:rFonts w:eastAsia="Calibri"/>
                <w:sz w:val="16"/>
                <w:szCs w:val="16"/>
              </w:rPr>
            </w:pPr>
            <w:r w:rsidRPr="00A54622">
              <w:rPr>
                <w:rFonts w:eastAsia="Calibri"/>
                <w:sz w:val="16"/>
                <w:szCs w:val="16"/>
              </w:rPr>
              <w:t>Scientific name of the species</w:t>
            </w:r>
          </w:p>
          <w:p w:rsidR="001763E3" w:rsidRPr="00A54622" w:rsidRDefault="001763E3" w:rsidP="00A54622">
            <w:pPr>
              <w:jc w:val="center"/>
              <w:rPr>
                <w:rFonts w:eastAsia="Calibri"/>
                <w:sz w:val="16"/>
                <w:szCs w:val="16"/>
              </w:rPr>
            </w:pPr>
          </w:p>
          <w:p w:rsidR="006C6938" w:rsidRPr="00A54622" w:rsidRDefault="001763E3" w:rsidP="00A54622">
            <w:pPr>
              <w:jc w:val="center"/>
              <w:rPr>
                <w:rFonts w:eastAsia="Calibri"/>
                <w:sz w:val="16"/>
                <w:szCs w:val="16"/>
              </w:rPr>
            </w:pPr>
            <w:r w:rsidRPr="00A54622">
              <w:rPr>
                <w:rFonts w:eastAsia="Calibri"/>
                <w:sz w:val="16"/>
                <w:szCs w:val="16"/>
              </w:rPr>
              <w:t>Previously Frozen Declaration</w:t>
            </w:r>
          </w:p>
        </w:tc>
        <w:tc>
          <w:tcPr>
            <w:tcW w:w="4394" w:type="dxa"/>
            <w:vAlign w:val="center"/>
          </w:tcPr>
          <w:p w:rsidR="006C6938" w:rsidRPr="00A54622" w:rsidRDefault="00D62063" w:rsidP="00A54622">
            <w:pPr>
              <w:jc w:val="center"/>
              <w:rPr>
                <w:bCs/>
                <w:sz w:val="16"/>
                <w:szCs w:val="16"/>
                <w:lang w:eastAsia="en-GB"/>
              </w:rPr>
            </w:pPr>
            <w:r w:rsidRPr="00D62063">
              <w:rPr>
                <w:bCs/>
                <w:sz w:val="16"/>
                <w:szCs w:val="16"/>
                <w:lang w:eastAsia="en-GB"/>
              </w:rPr>
              <w:t xml:space="preserve">The Fish Labelling Regulations 2013 provide for the enforcement </w:t>
            </w:r>
            <w:r>
              <w:rPr>
                <w:bCs/>
                <w:sz w:val="16"/>
                <w:szCs w:val="16"/>
                <w:lang w:eastAsia="en-GB"/>
              </w:rPr>
              <w:t xml:space="preserve"> of </w:t>
            </w:r>
            <w:r w:rsidR="00187168" w:rsidRPr="00187168">
              <w:rPr>
                <w:bCs/>
                <w:sz w:val="16"/>
                <w:szCs w:val="16"/>
                <w:lang w:eastAsia="en-GB"/>
              </w:rPr>
              <w:t>the requirements under the Commission Regulation 2065/2001</w:t>
            </w:r>
            <w:r w:rsidR="00187168">
              <w:rPr>
                <w:bCs/>
                <w:sz w:val="16"/>
                <w:szCs w:val="16"/>
                <w:lang w:eastAsia="en-GB"/>
              </w:rPr>
              <w:t xml:space="preserve">, the </w:t>
            </w:r>
            <w:r w:rsidR="00192DB5" w:rsidRPr="00A54622">
              <w:rPr>
                <w:bCs/>
                <w:sz w:val="16"/>
                <w:szCs w:val="16"/>
                <w:lang w:eastAsia="en-GB"/>
              </w:rPr>
              <w:t>CFP Control Regulation</w:t>
            </w:r>
            <w:r w:rsidR="001763E3" w:rsidRPr="00A54622">
              <w:rPr>
                <w:bCs/>
                <w:sz w:val="16"/>
                <w:szCs w:val="16"/>
                <w:lang w:eastAsia="en-GB"/>
              </w:rPr>
              <w:t xml:space="preserve"> </w:t>
            </w:r>
            <w:r w:rsidR="00192DB5" w:rsidRPr="00A54622">
              <w:rPr>
                <w:sz w:val="16"/>
                <w:szCs w:val="16"/>
                <w:lang w:eastAsia="en-GB"/>
              </w:rPr>
              <w:t>(EC) 1224/2009</w:t>
            </w:r>
            <w:r w:rsidR="000F01EF" w:rsidRPr="00A54622">
              <w:rPr>
                <w:sz w:val="16"/>
                <w:szCs w:val="16"/>
                <w:lang w:eastAsia="en-GB"/>
              </w:rPr>
              <w:t xml:space="preserve"> and its Implementing Regulation 404/2011</w:t>
            </w:r>
          </w:p>
        </w:tc>
        <w:tc>
          <w:tcPr>
            <w:tcW w:w="1228" w:type="dxa"/>
            <w:vAlign w:val="center"/>
          </w:tcPr>
          <w:p w:rsidR="006C6938" w:rsidRPr="00A54622" w:rsidRDefault="00BB2158" w:rsidP="00A54622">
            <w:pPr>
              <w:jc w:val="center"/>
              <w:rPr>
                <w:sz w:val="16"/>
                <w:szCs w:val="16"/>
              </w:rPr>
            </w:pPr>
            <w:r w:rsidRPr="00A54622">
              <w:rPr>
                <w:sz w:val="16"/>
                <w:szCs w:val="16"/>
              </w:rPr>
              <w:t xml:space="preserve">Option </w:t>
            </w:r>
            <w:r w:rsidR="0001003A" w:rsidRPr="00A54622">
              <w:rPr>
                <w:sz w:val="16"/>
                <w:szCs w:val="16"/>
              </w:rPr>
              <w:t>0</w:t>
            </w:r>
          </w:p>
        </w:tc>
      </w:tr>
      <w:tr w:rsidR="00BB2158" w:rsidRPr="00A54622" w:rsidTr="00A54622">
        <w:trPr>
          <w:jc w:val="center"/>
        </w:trPr>
        <w:tc>
          <w:tcPr>
            <w:tcW w:w="4265" w:type="dxa"/>
            <w:vAlign w:val="center"/>
          </w:tcPr>
          <w:p w:rsidR="00192DB5" w:rsidRPr="00A54622" w:rsidRDefault="006805D1" w:rsidP="00A54622">
            <w:pPr>
              <w:jc w:val="center"/>
              <w:rPr>
                <w:rFonts w:eastAsia="Calibri"/>
                <w:sz w:val="16"/>
                <w:szCs w:val="16"/>
              </w:rPr>
            </w:pPr>
            <w:r w:rsidRPr="00A54622">
              <w:rPr>
                <w:rFonts w:eastAsia="Calibri"/>
                <w:sz w:val="16"/>
                <w:szCs w:val="16"/>
              </w:rPr>
              <w:t xml:space="preserve">Production Method </w:t>
            </w:r>
            <w:r w:rsidRPr="00A54622">
              <w:rPr>
                <w:sz w:val="16"/>
                <w:szCs w:val="16"/>
              </w:rPr>
              <w:t>(caught at sea, in freshwater or farmed)</w:t>
            </w:r>
          </w:p>
        </w:tc>
        <w:tc>
          <w:tcPr>
            <w:tcW w:w="4394" w:type="dxa"/>
            <w:vAlign w:val="center"/>
          </w:tcPr>
          <w:p w:rsidR="00192DB5" w:rsidRPr="00A54622" w:rsidRDefault="00187168" w:rsidP="00187168">
            <w:pPr>
              <w:jc w:val="center"/>
              <w:rPr>
                <w:sz w:val="16"/>
                <w:szCs w:val="16"/>
              </w:rPr>
            </w:pPr>
            <w:r w:rsidRPr="00187168">
              <w:rPr>
                <w:sz w:val="16"/>
                <w:szCs w:val="16"/>
              </w:rPr>
              <w:t>The Fish Labelling Regulations 2</w:t>
            </w:r>
            <w:r>
              <w:rPr>
                <w:sz w:val="16"/>
                <w:szCs w:val="16"/>
              </w:rPr>
              <w:t>013 provide for the enforcement</w:t>
            </w:r>
            <w:r w:rsidRPr="00187168">
              <w:rPr>
                <w:sz w:val="16"/>
                <w:szCs w:val="16"/>
              </w:rPr>
              <w:t xml:space="preserve"> of the requirements</w:t>
            </w:r>
            <w:r>
              <w:t xml:space="preserve"> </w:t>
            </w:r>
            <w:r w:rsidRPr="00187168">
              <w:rPr>
                <w:sz w:val="16"/>
                <w:szCs w:val="16"/>
              </w:rPr>
              <w:t>under the Commission Regulation 2065/2001</w:t>
            </w:r>
            <w:r>
              <w:rPr>
                <w:sz w:val="16"/>
                <w:szCs w:val="16"/>
              </w:rPr>
              <w:t>, the</w:t>
            </w:r>
            <w:r w:rsidRPr="00187168">
              <w:rPr>
                <w:sz w:val="16"/>
                <w:szCs w:val="16"/>
              </w:rPr>
              <w:t xml:space="preserve"> </w:t>
            </w:r>
            <w:r w:rsidR="009A08E2" w:rsidRPr="00A54622">
              <w:rPr>
                <w:sz w:val="16"/>
                <w:szCs w:val="16"/>
              </w:rPr>
              <w:t>CFP Control Regulation (EC) 1224/2009 and CMO Regulation 104/2000 and its Implementing Regulation 404/2011</w:t>
            </w:r>
          </w:p>
        </w:tc>
        <w:tc>
          <w:tcPr>
            <w:tcW w:w="1228" w:type="dxa"/>
            <w:vAlign w:val="center"/>
          </w:tcPr>
          <w:p w:rsidR="00192DB5" w:rsidRPr="00A54622" w:rsidRDefault="00BB2158" w:rsidP="00A54622">
            <w:pPr>
              <w:jc w:val="center"/>
              <w:rPr>
                <w:sz w:val="16"/>
                <w:szCs w:val="16"/>
              </w:rPr>
            </w:pPr>
            <w:r w:rsidRPr="00A54622">
              <w:rPr>
                <w:sz w:val="16"/>
                <w:szCs w:val="16"/>
              </w:rPr>
              <w:t xml:space="preserve">Option </w:t>
            </w:r>
            <w:r w:rsidR="0001003A" w:rsidRPr="00A54622">
              <w:rPr>
                <w:sz w:val="16"/>
                <w:szCs w:val="16"/>
              </w:rPr>
              <w:t>0</w:t>
            </w:r>
          </w:p>
        </w:tc>
      </w:tr>
      <w:tr w:rsidR="00A0056F" w:rsidRPr="00A54622" w:rsidTr="00A54622">
        <w:trPr>
          <w:jc w:val="center"/>
        </w:trPr>
        <w:tc>
          <w:tcPr>
            <w:tcW w:w="4265" w:type="dxa"/>
            <w:vAlign w:val="center"/>
          </w:tcPr>
          <w:p w:rsidR="00A0056F" w:rsidRPr="00A54622" w:rsidRDefault="00A0056F" w:rsidP="00A54622">
            <w:pPr>
              <w:jc w:val="center"/>
              <w:rPr>
                <w:rFonts w:eastAsia="Calibri"/>
                <w:sz w:val="16"/>
                <w:szCs w:val="16"/>
              </w:rPr>
            </w:pPr>
            <w:r w:rsidRPr="00A54622">
              <w:rPr>
                <w:rFonts w:eastAsia="Calibri"/>
                <w:sz w:val="16"/>
                <w:szCs w:val="16"/>
              </w:rPr>
              <w:t>Catch or Production area. For products caught at sea the name of sub-area or division listed in FAO fishing areas and the zone or map or pictogram showing the zone. Products caught in freshwater, a reference to the body of water</w:t>
            </w:r>
          </w:p>
          <w:p w:rsidR="00A0056F" w:rsidRPr="00A54622" w:rsidRDefault="00A0056F" w:rsidP="00A54622">
            <w:pPr>
              <w:jc w:val="center"/>
              <w:rPr>
                <w:rFonts w:eastAsia="Calibri"/>
                <w:sz w:val="16"/>
                <w:szCs w:val="16"/>
              </w:rPr>
            </w:pPr>
          </w:p>
        </w:tc>
        <w:tc>
          <w:tcPr>
            <w:tcW w:w="4394" w:type="dxa"/>
            <w:vAlign w:val="center"/>
          </w:tcPr>
          <w:p w:rsidR="00A0056F" w:rsidRPr="00716703" w:rsidRDefault="00187168" w:rsidP="00716703">
            <w:pPr>
              <w:jc w:val="center"/>
              <w:rPr>
                <w:bCs/>
                <w:sz w:val="16"/>
                <w:szCs w:val="16"/>
                <w:lang w:eastAsia="en-GB"/>
              </w:rPr>
            </w:pPr>
            <w:r w:rsidRPr="00187168">
              <w:rPr>
                <w:bCs/>
                <w:sz w:val="16"/>
                <w:szCs w:val="16"/>
                <w:lang w:eastAsia="en-GB"/>
              </w:rPr>
              <w:t>The Fish Labelling Regulations 2013 provide for the enforcement of the requirements under</w:t>
            </w:r>
            <w:r w:rsidRPr="00A54622">
              <w:rPr>
                <w:sz w:val="16"/>
                <w:szCs w:val="16"/>
                <w:lang w:eastAsia="en-GB"/>
              </w:rPr>
              <w:t xml:space="preserve"> </w:t>
            </w:r>
            <w:r w:rsidRPr="00A54622">
              <w:rPr>
                <w:bCs/>
                <w:sz w:val="16"/>
                <w:szCs w:val="16"/>
                <w:lang w:eastAsia="en-GB"/>
              </w:rPr>
              <w:t>Council Regulation 104/2000</w:t>
            </w:r>
            <w:r>
              <w:rPr>
                <w:bCs/>
                <w:sz w:val="16"/>
                <w:szCs w:val="16"/>
                <w:lang w:eastAsia="en-GB"/>
              </w:rPr>
              <w:t xml:space="preserve"> and </w:t>
            </w:r>
            <w:r w:rsidRPr="00A54622">
              <w:rPr>
                <w:sz w:val="16"/>
                <w:szCs w:val="16"/>
                <w:lang w:eastAsia="en-GB"/>
              </w:rPr>
              <w:t>Commission Regulation 2065/2001</w:t>
            </w:r>
            <w:r w:rsidR="00A0056F" w:rsidRPr="00A54622">
              <w:rPr>
                <w:bCs/>
                <w:sz w:val="16"/>
                <w:szCs w:val="16"/>
                <w:lang w:eastAsia="en-GB"/>
              </w:rPr>
              <w:t xml:space="preserve">, </w:t>
            </w:r>
            <w:r>
              <w:rPr>
                <w:bCs/>
                <w:sz w:val="16"/>
                <w:szCs w:val="16"/>
                <w:lang w:eastAsia="en-GB"/>
              </w:rPr>
              <w:t xml:space="preserve">the </w:t>
            </w:r>
            <w:r w:rsidR="00A0056F" w:rsidRPr="00A54622">
              <w:rPr>
                <w:bCs/>
                <w:sz w:val="16"/>
                <w:szCs w:val="16"/>
                <w:lang w:eastAsia="en-GB"/>
              </w:rPr>
              <w:t xml:space="preserve">CFP Control Regulation </w:t>
            </w:r>
            <w:r w:rsidR="00A0056F" w:rsidRPr="00A54622">
              <w:rPr>
                <w:sz w:val="16"/>
                <w:szCs w:val="16"/>
                <w:lang w:eastAsia="en-GB"/>
              </w:rPr>
              <w:t>(EC) 1224/2009 and its Implementing Regulation 404/2011</w:t>
            </w:r>
          </w:p>
          <w:p w:rsidR="00A0056F" w:rsidRPr="00A54622" w:rsidRDefault="00A0056F" w:rsidP="00A54622">
            <w:pPr>
              <w:jc w:val="center"/>
              <w:rPr>
                <w:sz w:val="16"/>
                <w:szCs w:val="16"/>
              </w:rPr>
            </w:pPr>
          </w:p>
        </w:tc>
        <w:tc>
          <w:tcPr>
            <w:tcW w:w="1228" w:type="dxa"/>
            <w:vAlign w:val="center"/>
          </w:tcPr>
          <w:p w:rsidR="00A0056F" w:rsidRPr="00A54622" w:rsidRDefault="00A0056F" w:rsidP="00A54622">
            <w:pPr>
              <w:jc w:val="center"/>
              <w:rPr>
                <w:sz w:val="16"/>
                <w:szCs w:val="16"/>
              </w:rPr>
            </w:pPr>
            <w:r w:rsidRPr="00A54622">
              <w:rPr>
                <w:sz w:val="16"/>
                <w:szCs w:val="16"/>
              </w:rPr>
              <w:t>Option 0</w:t>
            </w:r>
          </w:p>
        </w:tc>
      </w:tr>
      <w:tr w:rsidR="00BB2158" w:rsidRPr="00A54622" w:rsidTr="00A54622">
        <w:trPr>
          <w:jc w:val="center"/>
        </w:trPr>
        <w:tc>
          <w:tcPr>
            <w:tcW w:w="4265" w:type="dxa"/>
            <w:vAlign w:val="center"/>
          </w:tcPr>
          <w:p w:rsidR="00192DB5" w:rsidRPr="00A54622" w:rsidRDefault="002D0FB5" w:rsidP="00A54622">
            <w:pPr>
              <w:jc w:val="center"/>
              <w:rPr>
                <w:rFonts w:eastAsia="Calibri"/>
                <w:sz w:val="16"/>
                <w:szCs w:val="16"/>
              </w:rPr>
            </w:pPr>
            <w:r w:rsidRPr="00A54622">
              <w:rPr>
                <w:rFonts w:eastAsia="Calibri"/>
                <w:sz w:val="16"/>
                <w:szCs w:val="16"/>
              </w:rPr>
              <w:t>Fishing gear used</w:t>
            </w:r>
            <w:r w:rsidR="007D6D91" w:rsidRPr="00A54622">
              <w:rPr>
                <w:rStyle w:val="FootnoteReference"/>
                <w:rFonts w:eastAsia="Calibri" w:cs="Arial"/>
                <w:sz w:val="16"/>
                <w:szCs w:val="16"/>
              </w:rPr>
              <w:footnoteReference w:id="4"/>
            </w:r>
          </w:p>
        </w:tc>
        <w:tc>
          <w:tcPr>
            <w:tcW w:w="4394" w:type="dxa"/>
            <w:vAlign w:val="center"/>
          </w:tcPr>
          <w:p w:rsidR="00192DB5" w:rsidRPr="00A54622" w:rsidRDefault="006A7192" w:rsidP="006A7192">
            <w:pPr>
              <w:jc w:val="center"/>
              <w:rPr>
                <w:sz w:val="16"/>
                <w:szCs w:val="16"/>
                <w:lang w:eastAsia="en-GB"/>
              </w:rPr>
            </w:pPr>
            <w:r>
              <w:rPr>
                <w:sz w:val="16"/>
                <w:szCs w:val="16"/>
                <w:lang w:eastAsia="en-GB"/>
              </w:rPr>
              <w:t xml:space="preserve">New </w:t>
            </w:r>
            <w:r w:rsidR="008F64B5">
              <w:rPr>
                <w:sz w:val="16"/>
                <w:szCs w:val="16"/>
                <w:lang w:eastAsia="en-GB"/>
              </w:rPr>
              <w:t>m</w:t>
            </w:r>
            <w:r>
              <w:rPr>
                <w:sz w:val="16"/>
                <w:szCs w:val="16"/>
                <w:lang w:eastAsia="en-GB"/>
              </w:rPr>
              <w:t xml:space="preserve">andatory </w:t>
            </w:r>
            <w:r w:rsidR="00A10FA0" w:rsidRPr="00A54622">
              <w:rPr>
                <w:sz w:val="16"/>
                <w:szCs w:val="16"/>
                <w:lang w:eastAsia="en-GB"/>
              </w:rPr>
              <w:t>R</w:t>
            </w:r>
            <w:r w:rsidR="00696FC2" w:rsidRPr="00A54622">
              <w:rPr>
                <w:sz w:val="16"/>
                <w:szCs w:val="16"/>
                <w:lang w:eastAsia="en-GB"/>
              </w:rPr>
              <w:t>equir</w:t>
            </w:r>
            <w:r w:rsidR="00716703">
              <w:rPr>
                <w:sz w:val="16"/>
                <w:szCs w:val="16"/>
                <w:lang w:eastAsia="en-GB"/>
              </w:rPr>
              <w:t>e</w:t>
            </w:r>
            <w:r>
              <w:rPr>
                <w:sz w:val="16"/>
                <w:szCs w:val="16"/>
                <w:lang w:eastAsia="en-GB"/>
              </w:rPr>
              <w:t>ment</w:t>
            </w:r>
            <w:r w:rsidR="00696FC2" w:rsidRPr="00A54622">
              <w:rPr>
                <w:sz w:val="16"/>
                <w:szCs w:val="16"/>
                <w:lang w:eastAsia="en-GB"/>
              </w:rPr>
              <w:t xml:space="preserve"> in CMO</w:t>
            </w:r>
            <w:r w:rsidR="00453B12" w:rsidRPr="00A54622">
              <w:rPr>
                <w:sz w:val="16"/>
                <w:szCs w:val="16"/>
                <w:lang w:eastAsia="en-GB"/>
              </w:rPr>
              <w:t xml:space="preserve"> Regulation</w:t>
            </w:r>
          </w:p>
        </w:tc>
        <w:tc>
          <w:tcPr>
            <w:tcW w:w="1228" w:type="dxa"/>
            <w:vAlign w:val="center"/>
          </w:tcPr>
          <w:p w:rsidR="00192DB5" w:rsidRPr="00A54622" w:rsidRDefault="00BB2158" w:rsidP="00A54622">
            <w:pPr>
              <w:jc w:val="center"/>
              <w:rPr>
                <w:sz w:val="16"/>
                <w:szCs w:val="16"/>
              </w:rPr>
            </w:pPr>
            <w:r w:rsidRPr="00A54622">
              <w:rPr>
                <w:sz w:val="16"/>
                <w:szCs w:val="16"/>
              </w:rPr>
              <w:t xml:space="preserve">Option </w:t>
            </w:r>
            <w:r w:rsidR="0001003A" w:rsidRPr="00A54622">
              <w:rPr>
                <w:sz w:val="16"/>
                <w:szCs w:val="16"/>
              </w:rPr>
              <w:t>1</w:t>
            </w:r>
          </w:p>
        </w:tc>
      </w:tr>
      <w:tr w:rsidR="00BB2158" w:rsidRPr="00A54622" w:rsidTr="00A54622">
        <w:trPr>
          <w:trHeight w:val="56"/>
          <w:jc w:val="center"/>
        </w:trPr>
        <w:tc>
          <w:tcPr>
            <w:tcW w:w="4265" w:type="dxa"/>
            <w:vAlign w:val="center"/>
          </w:tcPr>
          <w:p w:rsidR="00192DB5" w:rsidRPr="00A54622" w:rsidRDefault="002D0FB5" w:rsidP="00A54622">
            <w:pPr>
              <w:jc w:val="center"/>
              <w:rPr>
                <w:rFonts w:eastAsia="Calibri"/>
                <w:i/>
                <w:sz w:val="16"/>
                <w:szCs w:val="16"/>
              </w:rPr>
            </w:pPr>
            <w:r w:rsidRPr="00A54622">
              <w:rPr>
                <w:rFonts w:eastAsia="Calibri"/>
                <w:sz w:val="16"/>
                <w:szCs w:val="16"/>
              </w:rPr>
              <w:t>Date of minimum durability</w:t>
            </w:r>
            <w:r w:rsidR="008F64B5">
              <w:rPr>
                <w:rFonts w:eastAsia="Calibri"/>
                <w:sz w:val="16"/>
                <w:szCs w:val="16"/>
              </w:rPr>
              <w:t xml:space="preserve"> (where appropriate)</w:t>
            </w:r>
          </w:p>
        </w:tc>
        <w:tc>
          <w:tcPr>
            <w:tcW w:w="4394" w:type="dxa"/>
            <w:vAlign w:val="center"/>
          </w:tcPr>
          <w:p w:rsidR="006A7192" w:rsidRDefault="006A7192" w:rsidP="00A54622">
            <w:pPr>
              <w:jc w:val="center"/>
              <w:rPr>
                <w:bCs/>
                <w:sz w:val="16"/>
                <w:szCs w:val="16"/>
                <w:lang w:eastAsia="en-GB"/>
              </w:rPr>
            </w:pPr>
            <w:r>
              <w:rPr>
                <w:bCs/>
                <w:sz w:val="16"/>
                <w:szCs w:val="16"/>
                <w:lang w:eastAsia="en-GB"/>
              </w:rPr>
              <w:t xml:space="preserve">New </w:t>
            </w:r>
            <w:r w:rsidR="008F64B5">
              <w:rPr>
                <w:bCs/>
                <w:sz w:val="16"/>
                <w:szCs w:val="16"/>
                <w:lang w:eastAsia="en-GB"/>
              </w:rPr>
              <w:t xml:space="preserve">mandatory </w:t>
            </w:r>
            <w:r>
              <w:rPr>
                <w:bCs/>
                <w:sz w:val="16"/>
                <w:szCs w:val="16"/>
                <w:lang w:eastAsia="en-GB"/>
              </w:rPr>
              <w:t>requirement in the CMO Regulation.</w:t>
            </w:r>
          </w:p>
          <w:p w:rsidR="00192DB5" w:rsidRPr="00A54622" w:rsidRDefault="00A84666" w:rsidP="006A7192">
            <w:pPr>
              <w:jc w:val="center"/>
              <w:rPr>
                <w:sz w:val="16"/>
                <w:szCs w:val="16"/>
              </w:rPr>
            </w:pPr>
            <w:r>
              <w:rPr>
                <w:bCs/>
                <w:sz w:val="16"/>
                <w:szCs w:val="16"/>
                <w:lang w:eastAsia="en-GB"/>
              </w:rPr>
              <w:t>R</w:t>
            </w:r>
            <w:r w:rsidR="00547658">
              <w:rPr>
                <w:bCs/>
                <w:sz w:val="16"/>
                <w:szCs w:val="16"/>
                <w:lang w:eastAsia="en-GB"/>
              </w:rPr>
              <w:t>elated</w:t>
            </w:r>
            <w:r w:rsidR="006A7192">
              <w:rPr>
                <w:bCs/>
                <w:sz w:val="16"/>
                <w:szCs w:val="16"/>
                <w:lang w:eastAsia="en-GB"/>
              </w:rPr>
              <w:t xml:space="preserve"> </w:t>
            </w:r>
            <w:r w:rsidR="00547658">
              <w:rPr>
                <w:bCs/>
                <w:sz w:val="16"/>
                <w:szCs w:val="16"/>
                <w:lang w:eastAsia="en-GB"/>
              </w:rPr>
              <w:t>provision</w:t>
            </w:r>
            <w:r>
              <w:rPr>
                <w:bCs/>
                <w:sz w:val="16"/>
                <w:szCs w:val="16"/>
                <w:lang w:eastAsia="en-GB"/>
              </w:rPr>
              <w:t>s</w:t>
            </w:r>
            <w:r w:rsidR="006A7192">
              <w:rPr>
                <w:bCs/>
                <w:sz w:val="16"/>
                <w:szCs w:val="16"/>
                <w:lang w:eastAsia="en-GB"/>
              </w:rPr>
              <w:t xml:space="preserve"> in the </w:t>
            </w:r>
            <w:r w:rsidR="00DD2814" w:rsidRPr="00A54622">
              <w:rPr>
                <w:sz w:val="16"/>
                <w:szCs w:val="16"/>
              </w:rPr>
              <w:t>Food Information Regulations 1169/2011</w:t>
            </w:r>
          </w:p>
        </w:tc>
        <w:tc>
          <w:tcPr>
            <w:tcW w:w="1228" w:type="dxa"/>
            <w:vAlign w:val="center"/>
          </w:tcPr>
          <w:p w:rsidR="00192DB5" w:rsidRPr="00A54622" w:rsidRDefault="00BB2158" w:rsidP="00A54622">
            <w:pPr>
              <w:jc w:val="center"/>
              <w:rPr>
                <w:sz w:val="16"/>
                <w:szCs w:val="16"/>
              </w:rPr>
            </w:pPr>
            <w:r w:rsidRPr="00A54622">
              <w:rPr>
                <w:sz w:val="16"/>
                <w:szCs w:val="16"/>
              </w:rPr>
              <w:t xml:space="preserve">Option </w:t>
            </w:r>
            <w:r w:rsidR="0001003A" w:rsidRPr="00A54622">
              <w:rPr>
                <w:sz w:val="16"/>
                <w:szCs w:val="16"/>
              </w:rPr>
              <w:t>1</w:t>
            </w:r>
          </w:p>
        </w:tc>
      </w:tr>
      <w:tr w:rsidR="0001003A" w:rsidRPr="00A54622" w:rsidTr="00A54622">
        <w:trPr>
          <w:trHeight w:val="56"/>
          <w:jc w:val="center"/>
        </w:trPr>
        <w:tc>
          <w:tcPr>
            <w:tcW w:w="4265" w:type="dxa"/>
            <w:vAlign w:val="center"/>
          </w:tcPr>
          <w:p w:rsidR="0001003A" w:rsidRPr="00A54622" w:rsidRDefault="007F34B1" w:rsidP="00A54622">
            <w:pPr>
              <w:jc w:val="center"/>
              <w:rPr>
                <w:color w:val="000000"/>
                <w:sz w:val="16"/>
                <w:szCs w:val="16"/>
                <w:lang w:eastAsia="en-GB"/>
              </w:rPr>
            </w:pPr>
            <w:r w:rsidRPr="00A54622">
              <w:rPr>
                <w:color w:val="000000"/>
                <w:sz w:val="16"/>
                <w:szCs w:val="16"/>
                <w:lang w:eastAsia="en-GB"/>
              </w:rPr>
              <w:t>T</w:t>
            </w:r>
            <w:r w:rsidR="0001003A" w:rsidRPr="00A54622">
              <w:rPr>
                <w:color w:val="000000"/>
                <w:sz w:val="16"/>
                <w:szCs w:val="16"/>
                <w:lang w:eastAsia="en-GB"/>
              </w:rPr>
              <w:t xml:space="preserve">he date of catch of fishery products or the date of </w:t>
            </w:r>
            <w:r w:rsidRPr="00A54622">
              <w:rPr>
                <w:color w:val="000000"/>
                <w:sz w:val="16"/>
                <w:szCs w:val="16"/>
                <w:lang w:eastAsia="en-GB"/>
              </w:rPr>
              <w:t>harvest of aquaculture products</w:t>
            </w:r>
          </w:p>
          <w:p w:rsidR="007F34B1" w:rsidRPr="00A54622" w:rsidRDefault="007F34B1" w:rsidP="00A54622">
            <w:pPr>
              <w:jc w:val="center"/>
              <w:rPr>
                <w:color w:val="000000"/>
                <w:sz w:val="16"/>
                <w:szCs w:val="16"/>
                <w:lang w:eastAsia="en-GB"/>
              </w:rPr>
            </w:pPr>
          </w:p>
          <w:p w:rsidR="0001003A" w:rsidRPr="00A54622" w:rsidRDefault="007F34B1" w:rsidP="00A54622">
            <w:pPr>
              <w:jc w:val="center"/>
              <w:rPr>
                <w:color w:val="000000"/>
                <w:sz w:val="16"/>
                <w:szCs w:val="16"/>
                <w:lang w:eastAsia="en-GB"/>
              </w:rPr>
            </w:pPr>
            <w:r w:rsidRPr="00A54622">
              <w:rPr>
                <w:color w:val="000000"/>
                <w:sz w:val="16"/>
                <w:szCs w:val="16"/>
                <w:lang w:eastAsia="en-GB"/>
              </w:rPr>
              <w:t>T</w:t>
            </w:r>
            <w:r w:rsidR="0001003A" w:rsidRPr="00A54622">
              <w:rPr>
                <w:color w:val="000000"/>
                <w:sz w:val="16"/>
                <w:szCs w:val="16"/>
                <w:lang w:eastAsia="en-GB"/>
              </w:rPr>
              <w:t>he date of landing of fishery products or information on the port at</w:t>
            </w:r>
            <w:r w:rsidRPr="00A54622">
              <w:rPr>
                <w:color w:val="000000"/>
                <w:sz w:val="16"/>
                <w:szCs w:val="16"/>
                <w:lang w:eastAsia="en-GB"/>
              </w:rPr>
              <w:t xml:space="preserve"> which the products were landed</w:t>
            </w:r>
          </w:p>
          <w:p w:rsidR="007F34B1" w:rsidRPr="00A54622" w:rsidRDefault="007F34B1" w:rsidP="00A54622">
            <w:pPr>
              <w:jc w:val="center"/>
              <w:rPr>
                <w:color w:val="000000"/>
                <w:sz w:val="16"/>
                <w:szCs w:val="16"/>
                <w:lang w:eastAsia="en-GB"/>
              </w:rPr>
            </w:pPr>
          </w:p>
          <w:p w:rsidR="0001003A" w:rsidRPr="00A54622" w:rsidRDefault="007F34B1" w:rsidP="00A54622">
            <w:pPr>
              <w:jc w:val="center"/>
              <w:rPr>
                <w:color w:val="000000"/>
                <w:sz w:val="16"/>
                <w:szCs w:val="16"/>
                <w:lang w:eastAsia="en-GB"/>
              </w:rPr>
            </w:pPr>
            <w:r w:rsidRPr="00A54622">
              <w:rPr>
                <w:color w:val="000000"/>
                <w:sz w:val="16"/>
                <w:szCs w:val="16"/>
                <w:lang w:eastAsia="en-GB"/>
              </w:rPr>
              <w:t>M</w:t>
            </w:r>
            <w:r w:rsidR="0001003A" w:rsidRPr="00A54622">
              <w:rPr>
                <w:color w:val="000000"/>
                <w:sz w:val="16"/>
                <w:szCs w:val="16"/>
                <w:lang w:eastAsia="en-GB"/>
              </w:rPr>
              <w:t>ore detailed information on the type of fishing gear, as listed in</w:t>
            </w:r>
            <w:r w:rsidR="000061B1" w:rsidRPr="00A54622">
              <w:rPr>
                <w:color w:val="000000"/>
                <w:sz w:val="16"/>
                <w:szCs w:val="16"/>
                <w:lang w:eastAsia="en-GB"/>
              </w:rPr>
              <w:t xml:space="preserve"> the second column of Annex III</w:t>
            </w:r>
            <w:r w:rsidR="00BB2158" w:rsidRPr="00A54622">
              <w:rPr>
                <w:rStyle w:val="FootnoteReference"/>
                <w:rFonts w:cs="Arial"/>
                <w:color w:val="000000"/>
                <w:sz w:val="16"/>
                <w:szCs w:val="16"/>
                <w:lang w:eastAsia="en-GB"/>
              </w:rPr>
              <w:footnoteReference w:id="5"/>
            </w:r>
          </w:p>
          <w:p w:rsidR="007F34B1" w:rsidRPr="00A54622" w:rsidRDefault="007F34B1" w:rsidP="00A54622">
            <w:pPr>
              <w:jc w:val="center"/>
              <w:rPr>
                <w:color w:val="000000"/>
                <w:sz w:val="16"/>
                <w:szCs w:val="16"/>
                <w:lang w:eastAsia="en-GB"/>
              </w:rPr>
            </w:pPr>
          </w:p>
          <w:p w:rsidR="0001003A" w:rsidRPr="00A54622" w:rsidRDefault="000061B1" w:rsidP="00A54622">
            <w:pPr>
              <w:jc w:val="center"/>
              <w:rPr>
                <w:color w:val="000000"/>
                <w:sz w:val="16"/>
                <w:szCs w:val="16"/>
                <w:lang w:eastAsia="en-GB"/>
              </w:rPr>
            </w:pPr>
            <w:r w:rsidRPr="00A54622">
              <w:rPr>
                <w:color w:val="000000"/>
                <w:sz w:val="16"/>
                <w:szCs w:val="16"/>
                <w:lang w:eastAsia="en-GB"/>
              </w:rPr>
              <w:t>I</w:t>
            </w:r>
            <w:r w:rsidR="0001003A" w:rsidRPr="00A54622">
              <w:rPr>
                <w:color w:val="000000"/>
                <w:sz w:val="16"/>
                <w:szCs w:val="16"/>
                <w:lang w:eastAsia="en-GB"/>
              </w:rPr>
              <w:t>n the case of fishery products caught at sea, details of the flag State of the vessel that caught those products;</w:t>
            </w:r>
          </w:p>
          <w:p w:rsidR="000061B1" w:rsidRPr="00A54622" w:rsidRDefault="000061B1" w:rsidP="00A54622">
            <w:pPr>
              <w:jc w:val="center"/>
              <w:rPr>
                <w:color w:val="000000"/>
                <w:sz w:val="16"/>
                <w:szCs w:val="16"/>
                <w:lang w:eastAsia="en-GB"/>
              </w:rPr>
            </w:pPr>
          </w:p>
          <w:p w:rsidR="0001003A" w:rsidRPr="00A54622" w:rsidRDefault="000061B1" w:rsidP="00A54622">
            <w:pPr>
              <w:jc w:val="center"/>
              <w:rPr>
                <w:color w:val="000000"/>
                <w:sz w:val="16"/>
                <w:szCs w:val="16"/>
                <w:lang w:eastAsia="en-GB"/>
              </w:rPr>
            </w:pPr>
            <w:r w:rsidRPr="00A54622">
              <w:rPr>
                <w:color w:val="000000"/>
                <w:sz w:val="16"/>
                <w:szCs w:val="16"/>
                <w:lang w:eastAsia="en-GB"/>
              </w:rPr>
              <w:t xml:space="preserve">Environmental information, </w:t>
            </w:r>
            <w:r w:rsidR="0001003A" w:rsidRPr="00A54622">
              <w:rPr>
                <w:color w:val="000000"/>
                <w:sz w:val="16"/>
                <w:szCs w:val="16"/>
                <w:lang w:eastAsia="en-GB"/>
              </w:rPr>
              <w:t>information</w:t>
            </w:r>
            <w:r w:rsidRPr="00A54622">
              <w:rPr>
                <w:color w:val="000000"/>
                <w:sz w:val="16"/>
                <w:szCs w:val="16"/>
                <w:lang w:eastAsia="en-GB"/>
              </w:rPr>
              <w:t xml:space="preserve"> of an ethical or social nature, information on p</w:t>
            </w:r>
            <w:r w:rsidR="0001003A" w:rsidRPr="00A54622">
              <w:rPr>
                <w:color w:val="000000"/>
                <w:sz w:val="16"/>
                <w:szCs w:val="16"/>
                <w:lang w:eastAsia="en-GB"/>
              </w:rPr>
              <w:t>rod</w:t>
            </w:r>
            <w:r w:rsidRPr="00A54622">
              <w:rPr>
                <w:color w:val="000000"/>
                <w:sz w:val="16"/>
                <w:szCs w:val="16"/>
                <w:lang w:eastAsia="en-GB"/>
              </w:rPr>
              <w:t>uction techniques and practices, i</w:t>
            </w:r>
            <w:r w:rsidR="0001003A" w:rsidRPr="00A54622">
              <w:rPr>
                <w:color w:val="000000"/>
                <w:sz w:val="16"/>
                <w:szCs w:val="16"/>
                <w:lang w:eastAsia="en-GB"/>
              </w:rPr>
              <w:t>nformation on the nutr</w:t>
            </w:r>
            <w:r w:rsidRPr="00A54622">
              <w:rPr>
                <w:color w:val="000000"/>
                <w:sz w:val="16"/>
                <w:szCs w:val="16"/>
                <w:lang w:eastAsia="en-GB"/>
              </w:rPr>
              <w:t>itional content of the product</w:t>
            </w:r>
          </w:p>
        </w:tc>
        <w:tc>
          <w:tcPr>
            <w:tcW w:w="4394" w:type="dxa"/>
            <w:vAlign w:val="center"/>
          </w:tcPr>
          <w:p w:rsidR="0001003A" w:rsidRPr="00A54622" w:rsidRDefault="007F34B1" w:rsidP="00A54622">
            <w:pPr>
              <w:jc w:val="center"/>
              <w:rPr>
                <w:bCs/>
                <w:sz w:val="16"/>
                <w:szCs w:val="16"/>
                <w:lang w:eastAsia="en-GB"/>
              </w:rPr>
            </w:pPr>
            <w:r w:rsidRPr="00A54622">
              <w:rPr>
                <w:bCs/>
                <w:sz w:val="16"/>
                <w:szCs w:val="16"/>
                <w:lang w:eastAsia="en-GB"/>
              </w:rPr>
              <w:t>Voluntary Information</w:t>
            </w:r>
          </w:p>
        </w:tc>
        <w:tc>
          <w:tcPr>
            <w:tcW w:w="1228" w:type="dxa"/>
            <w:vAlign w:val="center"/>
          </w:tcPr>
          <w:p w:rsidR="0001003A" w:rsidRPr="00A54622" w:rsidRDefault="00A0056F" w:rsidP="00A54622">
            <w:pPr>
              <w:jc w:val="center"/>
              <w:rPr>
                <w:sz w:val="16"/>
                <w:szCs w:val="16"/>
              </w:rPr>
            </w:pPr>
            <w:r w:rsidRPr="00A54622">
              <w:rPr>
                <w:sz w:val="16"/>
                <w:szCs w:val="16"/>
              </w:rPr>
              <w:t>N/A</w:t>
            </w:r>
          </w:p>
        </w:tc>
      </w:tr>
      <w:tr w:rsidR="006720E7" w:rsidRPr="00A54622" w:rsidTr="00A54622">
        <w:trPr>
          <w:trHeight w:val="56"/>
          <w:jc w:val="center"/>
        </w:trPr>
        <w:tc>
          <w:tcPr>
            <w:tcW w:w="4265" w:type="dxa"/>
            <w:vAlign w:val="center"/>
          </w:tcPr>
          <w:p w:rsidR="006720E7" w:rsidRPr="00A54622" w:rsidRDefault="006720E7" w:rsidP="00A54622">
            <w:pPr>
              <w:jc w:val="center"/>
              <w:rPr>
                <w:color w:val="000000"/>
                <w:sz w:val="16"/>
                <w:szCs w:val="16"/>
                <w:lang w:eastAsia="en-GB"/>
              </w:rPr>
            </w:pPr>
            <w:r w:rsidRPr="00A54622">
              <w:rPr>
                <w:color w:val="000000"/>
                <w:sz w:val="16"/>
                <w:szCs w:val="16"/>
                <w:lang w:eastAsia="en-GB"/>
              </w:rPr>
              <w:t>A Quick Response (QR)</w:t>
            </w:r>
            <w:r w:rsidRPr="00A54622">
              <w:rPr>
                <w:rStyle w:val="FootnoteReference"/>
                <w:rFonts w:cs="Arial"/>
                <w:color w:val="000000"/>
                <w:sz w:val="16"/>
                <w:szCs w:val="16"/>
                <w:lang w:eastAsia="en-GB"/>
              </w:rPr>
              <w:footnoteReference w:id="6"/>
            </w:r>
            <w:r w:rsidRPr="00A54622">
              <w:rPr>
                <w:color w:val="000000"/>
                <w:sz w:val="16"/>
                <w:szCs w:val="16"/>
                <w:lang w:eastAsia="en-GB"/>
              </w:rPr>
              <w:t xml:space="preserve"> code may be used outlining part or all of the mandatory information</w:t>
            </w:r>
          </w:p>
        </w:tc>
        <w:tc>
          <w:tcPr>
            <w:tcW w:w="4394" w:type="dxa"/>
            <w:vAlign w:val="center"/>
          </w:tcPr>
          <w:p w:rsidR="006720E7" w:rsidRPr="00A54622" w:rsidRDefault="006720E7" w:rsidP="00A54622">
            <w:pPr>
              <w:jc w:val="center"/>
              <w:rPr>
                <w:bCs/>
                <w:sz w:val="16"/>
                <w:szCs w:val="16"/>
                <w:lang w:eastAsia="en-GB"/>
              </w:rPr>
            </w:pPr>
            <w:r w:rsidRPr="00A54622">
              <w:rPr>
                <w:bCs/>
                <w:sz w:val="16"/>
                <w:szCs w:val="16"/>
                <w:lang w:eastAsia="en-GB"/>
              </w:rPr>
              <w:t>Voluntary Measure</w:t>
            </w:r>
          </w:p>
        </w:tc>
        <w:tc>
          <w:tcPr>
            <w:tcW w:w="1228" w:type="dxa"/>
            <w:vAlign w:val="center"/>
          </w:tcPr>
          <w:p w:rsidR="006720E7" w:rsidRPr="00A54622" w:rsidRDefault="00A0056F" w:rsidP="00A54622">
            <w:pPr>
              <w:jc w:val="center"/>
              <w:rPr>
                <w:sz w:val="16"/>
                <w:szCs w:val="16"/>
              </w:rPr>
            </w:pPr>
            <w:r w:rsidRPr="00A54622">
              <w:rPr>
                <w:sz w:val="16"/>
                <w:szCs w:val="16"/>
              </w:rPr>
              <w:t>N/A</w:t>
            </w:r>
          </w:p>
        </w:tc>
      </w:tr>
    </w:tbl>
    <w:p w:rsidR="00CD09D0" w:rsidRPr="00051AA8" w:rsidRDefault="00CD09D0" w:rsidP="00051AA8">
      <w:pPr>
        <w:spacing w:line="276" w:lineRule="auto"/>
        <w:contextualSpacing/>
        <w:jc w:val="both"/>
        <w:rPr>
          <w:rFonts w:cs="Arial"/>
        </w:rPr>
      </w:pPr>
    </w:p>
    <w:p w:rsidR="00BA5C17" w:rsidRPr="00B262B3" w:rsidRDefault="00BA5C17" w:rsidP="00AA5020">
      <w:pPr>
        <w:pStyle w:val="ListParagraph"/>
        <w:spacing w:line="276" w:lineRule="auto"/>
        <w:ind w:left="420"/>
        <w:contextualSpacing/>
        <w:jc w:val="both"/>
        <w:rPr>
          <w:rFonts w:ascii="Arial" w:hAnsi="Arial" w:cs="Arial"/>
          <w:u w:val="single"/>
        </w:rPr>
      </w:pPr>
      <w:r w:rsidRPr="00B262B3">
        <w:rPr>
          <w:rFonts w:ascii="Arial" w:hAnsi="Arial" w:cs="Arial"/>
          <w:u w:val="single"/>
        </w:rPr>
        <w:t>Marketing Standards</w:t>
      </w:r>
    </w:p>
    <w:p w:rsidR="001D34CD" w:rsidRPr="004854F9" w:rsidRDefault="001D34CD" w:rsidP="00AA5020">
      <w:pPr>
        <w:pStyle w:val="ListParagraph"/>
        <w:spacing w:line="276" w:lineRule="auto"/>
        <w:ind w:left="420"/>
        <w:contextualSpacing/>
        <w:jc w:val="both"/>
        <w:rPr>
          <w:rFonts w:ascii="Arial" w:hAnsi="Arial" w:cs="Arial"/>
          <w:b/>
        </w:rPr>
      </w:pPr>
    </w:p>
    <w:p w:rsidR="004D7157" w:rsidRDefault="001D34CD" w:rsidP="00623992">
      <w:pPr>
        <w:pStyle w:val="ListParagraph"/>
        <w:numPr>
          <w:ilvl w:val="1"/>
          <w:numId w:val="4"/>
        </w:numPr>
        <w:jc w:val="both"/>
        <w:rPr>
          <w:rFonts w:ascii="Arial" w:hAnsi="Arial" w:cs="Arial"/>
        </w:rPr>
      </w:pPr>
      <w:r w:rsidRPr="004D7157">
        <w:rPr>
          <w:rFonts w:ascii="Arial" w:hAnsi="Arial" w:cs="Arial"/>
        </w:rPr>
        <w:t>Marketing standards already cover quality, size or weight, packing, presentation and labelling.</w:t>
      </w:r>
      <w:r w:rsidR="00EA48A0" w:rsidRPr="004D7157">
        <w:rPr>
          <w:rFonts w:ascii="Arial" w:hAnsi="Arial" w:cs="Arial"/>
        </w:rPr>
        <w:t xml:space="preserve"> </w:t>
      </w:r>
      <w:r w:rsidR="004D7157" w:rsidRPr="004D7157">
        <w:rPr>
          <w:rFonts w:ascii="Arial" w:hAnsi="Arial" w:cs="Arial"/>
        </w:rPr>
        <w:t>The  new CMO allows for marketing standards to be laid down that relate to  minimum marketing sizes corresponding, where relevant, to minimum conservation sizes in accordance with CFP and specifications of preserved products in accordance with conservation requirements</w:t>
      </w:r>
      <w:r w:rsidR="00716703">
        <w:rPr>
          <w:rFonts w:ascii="Arial" w:hAnsi="Arial" w:cs="Arial"/>
        </w:rPr>
        <w:t xml:space="preserve"> and international obligations.</w:t>
      </w:r>
    </w:p>
    <w:p w:rsidR="00716703" w:rsidRDefault="00716703" w:rsidP="00716703">
      <w:pPr>
        <w:pStyle w:val="ListParagraph"/>
        <w:ind w:left="420"/>
        <w:rPr>
          <w:rFonts w:ascii="Arial" w:hAnsi="Arial" w:cs="Arial"/>
        </w:rPr>
      </w:pPr>
    </w:p>
    <w:p w:rsidR="00FA324A" w:rsidRPr="00623992" w:rsidRDefault="00716703" w:rsidP="00623992">
      <w:pPr>
        <w:pStyle w:val="ListParagraph"/>
        <w:numPr>
          <w:ilvl w:val="1"/>
          <w:numId w:val="4"/>
        </w:numPr>
        <w:spacing w:line="276" w:lineRule="auto"/>
        <w:contextualSpacing/>
        <w:jc w:val="both"/>
        <w:rPr>
          <w:rFonts w:ascii="Arial" w:hAnsi="Arial" w:cs="Arial"/>
        </w:rPr>
      </w:pPr>
      <w:r w:rsidRPr="00716703">
        <w:rPr>
          <w:rFonts w:ascii="Arial" w:hAnsi="Arial" w:cs="Arial"/>
        </w:rPr>
        <w:lastRenderedPageBreak/>
        <w:t>The agreement between the MMO and Defra under s14 of the Marine and Costal Access Act (MCAA) 2009 dated July 2012</w:t>
      </w:r>
      <w:r w:rsidR="006A051C">
        <w:rPr>
          <w:rStyle w:val="FootnoteReference"/>
          <w:rFonts w:ascii="Arial" w:hAnsi="Arial" w:cs="Arial"/>
        </w:rPr>
        <w:footnoteReference w:id="7"/>
      </w:r>
      <w:r w:rsidRPr="00716703">
        <w:rPr>
          <w:rFonts w:ascii="Arial" w:hAnsi="Arial" w:cs="Arial"/>
        </w:rPr>
        <w:t xml:space="preserve"> list as one of the authorised functions to be performed by the MMO as: “Inspections to ensure compliance with fisheries marketing standards.” This is considered as part of Option 1 as national legislation needs</w:t>
      </w:r>
      <w:r w:rsidR="00623992">
        <w:rPr>
          <w:rFonts w:ascii="Arial" w:hAnsi="Arial" w:cs="Arial"/>
        </w:rPr>
        <w:t xml:space="preserve"> to be</w:t>
      </w:r>
      <w:r w:rsidRPr="00716703">
        <w:rPr>
          <w:rFonts w:ascii="Arial" w:hAnsi="Arial" w:cs="Arial"/>
        </w:rPr>
        <w:t xml:space="preserve"> amended</w:t>
      </w:r>
      <w:r w:rsidR="008F64B5">
        <w:rPr>
          <w:rFonts w:ascii="Arial" w:hAnsi="Arial" w:cs="Arial"/>
        </w:rPr>
        <w:t>.</w:t>
      </w:r>
      <w:r w:rsidRPr="00716703">
        <w:rPr>
          <w:rFonts w:ascii="Arial" w:hAnsi="Arial" w:cs="Arial"/>
        </w:rPr>
        <w:t xml:space="preserve"> </w:t>
      </w:r>
      <w:r w:rsidR="008F64B5">
        <w:rPr>
          <w:rFonts w:ascii="Arial" w:hAnsi="Arial" w:cs="Arial"/>
        </w:rPr>
        <w:t>M</w:t>
      </w:r>
      <w:r w:rsidRPr="00716703">
        <w:rPr>
          <w:rFonts w:ascii="Arial" w:hAnsi="Arial" w:cs="Arial"/>
        </w:rPr>
        <w:t>ember states are obliged to ensure enforcement of the marketing standards requirements through obligatory checks from 13</w:t>
      </w:r>
      <w:r w:rsidRPr="00716703">
        <w:rPr>
          <w:rFonts w:ascii="Arial" w:hAnsi="Arial" w:cs="Arial"/>
          <w:vertAlign w:val="superscript"/>
        </w:rPr>
        <w:t>th</w:t>
      </w:r>
      <w:r w:rsidRPr="00716703">
        <w:rPr>
          <w:rFonts w:ascii="Arial" w:hAnsi="Arial" w:cs="Arial"/>
        </w:rPr>
        <w:t xml:space="preserve"> December 2014.</w:t>
      </w:r>
    </w:p>
    <w:p w:rsidR="00FA324A" w:rsidRPr="004854F9" w:rsidRDefault="00FA324A" w:rsidP="00AA5020">
      <w:pPr>
        <w:pStyle w:val="ListParagraph"/>
        <w:spacing w:line="276" w:lineRule="auto"/>
        <w:ind w:left="420"/>
        <w:contextualSpacing/>
        <w:jc w:val="both"/>
        <w:rPr>
          <w:rFonts w:ascii="Arial" w:hAnsi="Arial" w:cs="Arial"/>
          <w:b/>
        </w:rPr>
      </w:pPr>
    </w:p>
    <w:p w:rsidR="00BA5C17" w:rsidRPr="00B262B3" w:rsidRDefault="00BA5C17" w:rsidP="00AA5020">
      <w:pPr>
        <w:pStyle w:val="ListParagraph"/>
        <w:spacing w:line="276" w:lineRule="auto"/>
        <w:ind w:left="420"/>
        <w:contextualSpacing/>
        <w:jc w:val="both"/>
        <w:rPr>
          <w:rFonts w:ascii="Arial" w:hAnsi="Arial" w:cs="Arial"/>
          <w:u w:val="single"/>
        </w:rPr>
      </w:pPr>
      <w:r w:rsidRPr="00B262B3">
        <w:rPr>
          <w:rFonts w:ascii="Arial" w:hAnsi="Arial" w:cs="Arial"/>
          <w:u w:val="single"/>
        </w:rPr>
        <w:t>Produc</w:t>
      </w:r>
      <w:r w:rsidR="00805BE1" w:rsidRPr="00B262B3">
        <w:rPr>
          <w:rFonts w:ascii="Arial" w:hAnsi="Arial" w:cs="Arial"/>
          <w:u w:val="single"/>
        </w:rPr>
        <w:t>er Organisation</w:t>
      </w:r>
      <w:r w:rsidR="00685745" w:rsidRPr="00B262B3">
        <w:rPr>
          <w:rFonts w:ascii="Arial" w:hAnsi="Arial" w:cs="Arial"/>
          <w:u w:val="single"/>
        </w:rPr>
        <w:t xml:space="preserve"> Mandatory Objectives</w:t>
      </w:r>
    </w:p>
    <w:p w:rsidR="00BA5C17" w:rsidRPr="004854F9" w:rsidRDefault="00BA5C17" w:rsidP="00AA5020">
      <w:pPr>
        <w:pStyle w:val="ListParagraph"/>
        <w:spacing w:line="276" w:lineRule="auto"/>
        <w:ind w:left="420"/>
        <w:contextualSpacing/>
        <w:jc w:val="both"/>
        <w:rPr>
          <w:rFonts w:ascii="Arial" w:hAnsi="Arial" w:cs="Arial"/>
        </w:rPr>
      </w:pPr>
    </w:p>
    <w:p w:rsidR="00051AA8" w:rsidRDefault="00051AA8" w:rsidP="00051AA8">
      <w:pPr>
        <w:pStyle w:val="ListParagraph"/>
        <w:numPr>
          <w:ilvl w:val="1"/>
          <w:numId w:val="34"/>
        </w:numPr>
        <w:spacing w:after="240" w:line="276" w:lineRule="auto"/>
        <w:jc w:val="both"/>
        <w:rPr>
          <w:rFonts w:ascii="Arial" w:hAnsi="Arial" w:cs="Arial"/>
        </w:rPr>
      </w:pPr>
      <w:r>
        <w:rPr>
          <w:rFonts w:ascii="Arial" w:hAnsi="Arial" w:cs="Arial"/>
        </w:rPr>
        <w:t>Under t</w:t>
      </w:r>
      <w:r w:rsidR="00805BE1" w:rsidRPr="004854F9">
        <w:rPr>
          <w:rFonts w:ascii="Arial" w:hAnsi="Arial" w:cs="Arial"/>
        </w:rPr>
        <w:t>he reformed</w:t>
      </w:r>
      <w:r>
        <w:rPr>
          <w:rFonts w:ascii="Arial" w:hAnsi="Arial" w:cs="Arial"/>
        </w:rPr>
        <w:t xml:space="preserve"> CMO, the following are mandatory objectives for </w:t>
      </w:r>
      <w:r w:rsidR="004D7157">
        <w:rPr>
          <w:rFonts w:ascii="Arial" w:hAnsi="Arial" w:cs="Arial"/>
        </w:rPr>
        <w:t xml:space="preserve">Fishery </w:t>
      </w:r>
      <w:r>
        <w:rPr>
          <w:rFonts w:ascii="Arial" w:hAnsi="Arial" w:cs="Arial"/>
        </w:rPr>
        <w:t>PO</w:t>
      </w:r>
      <w:r w:rsidR="004D7157">
        <w:rPr>
          <w:rFonts w:ascii="Arial" w:hAnsi="Arial" w:cs="Arial"/>
        </w:rPr>
        <w:t>s, to</w:t>
      </w:r>
      <w:r>
        <w:rPr>
          <w:rFonts w:ascii="Arial" w:hAnsi="Arial" w:cs="Arial"/>
        </w:rPr>
        <w:t>:</w:t>
      </w:r>
    </w:p>
    <w:p w:rsidR="00051AA8" w:rsidRPr="00650C4E" w:rsidRDefault="004D7157" w:rsidP="00051AA8">
      <w:pPr>
        <w:pStyle w:val="ListParagraph"/>
        <w:numPr>
          <w:ilvl w:val="0"/>
          <w:numId w:val="36"/>
        </w:numPr>
        <w:spacing w:after="240" w:line="276" w:lineRule="auto"/>
        <w:jc w:val="both"/>
        <w:rPr>
          <w:rFonts w:ascii="Arial" w:hAnsi="Arial" w:cs="Arial"/>
        </w:rPr>
      </w:pPr>
      <w:r>
        <w:rPr>
          <w:rFonts w:ascii="Arial" w:hAnsi="Arial" w:cs="Arial"/>
        </w:rPr>
        <w:t>p</w:t>
      </w:r>
      <w:r w:rsidR="00051AA8" w:rsidRPr="00650C4E">
        <w:rPr>
          <w:rFonts w:ascii="Arial" w:hAnsi="Arial" w:cs="Arial"/>
        </w:rPr>
        <w:t>romote viable and sustainable fishing activities</w:t>
      </w:r>
    </w:p>
    <w:p w:rsidR="00051AA8" w:rsidRPr="00650C4E" w:rsidRDefault="004D7157" w:rsidP="00051AA8">
      <w:pPr>
        <w:pStyle w:val="ListParagraph"/>
        <w:numPr>
          <w:ilvl w:val="0"/>
          <w:numId w:val="36"/>
        </w:numPr>
        <w:spacing w:after="240" w:line="276" w:lineRule="auto"/>
        <w:jc w:val="both"/>
        <w:rPr>
          <w:rFonts w:ascii="Arial" w:hAnsi="Arial" w:cs="Arial"/>
        </w:rPr>
      </w:pPr>
      <w:r>
        <w:rPr>
          <w:rFonts w:ascii="Arial" w:hAnsi="Arial" w:cs="Arial"/>
        </w:rPr>
        <w:t>a</w:t>
      </w:r>
      <w:r w:rsidR="00051AA8" w:rsidRPr="00650C4E">
        <w:rPr>
          <w:rFonts w:ascii="Arial" w:hAnsi="Arial" w:cs="Arial"/>
        </w:rPr>
        <w:t>void and reduc</w:t>
      </w:r>
      <w:r>
        <w:rPr>
          <w:rFonts w:ascii="Arial" w:hAnsi="Arial" w:cs="Arial"/>
        </w:rPr>
        <w:t>e</w:t>
      </w:r>
      <w:r w:rsidR="00051AA8" w:rsidRPr="00650C4E">
        <w:rPr>
          <w:rFonts w:ascii="Arial" w:hAnsi="Arial" w:cs="Arial"/>
        </w:rPr>
        <w:t xml:space="preserve"> as far as possible unwanted catches of commercial stocks</w:t>
      </w:r>
    </w:p>
    <w:p w:rsidR="00051AA8" w:rsidRPr="00650C4E" w:rsidRDefault="004D7157" w:rsidP="00051AA8">
      <w:pPr>
        <w:pStyle w:val="ListParagraph"/>
        <w:numPr>
          <w:ilvl w:val="0"/>
          <w:numId w:val="36"/>
        </w:numPr>
        <w:spacing w:after="240" w:line="276" w:lineRule="auto"/>
        <w:jc w:val="both"/>
        <w:rPr>
          <w:rFonts w:ascii="Arial" w:hAnsi="Arial" w:cs="Arial"/>
        </w:rPr>
      </w:pPr>
      <w:r>
        <w:rPr>
          <w:rFonts w:ascii="Arial" w:hAnsi="Arial" w:cs="Arial"/>
        </w:rPr>
        <w:t>c</w:t>
      </w:r>
      <w:r w:rsidR="00051AA8" w:rsidRPr="00650C4E">
        <w:rPr>
          <w:rFonts w:ascii="Arial" w:hAnsi="Arial" w:cs="Arial"/>
        </w:rPr>
        <w:t>ontribute to traceability of fishery products and access to clear and comprehensive consumer information</w:t>
      </w:r>
    </w:p>
    <w:p w:rsidR="00051AA8" w:rsidRPr="00650C4E" w:rsidRDefault="004D7157" w:rsidP="00051AA8">
      <w:pPr>
        <w:pStyle w:val="ListParagraph"/>
        <w:numPr>
          <w:ilvl w:val="0"/>
          <w:numId w:val="36"/>
        </w:numPr>
        <w:spacing w:after="240" w:line="276" w:lineRule="auto"/>
        <w:jc w:val="both"/>
        <w:rPr>
          <w:rFonts w:ascii="Arial" w:hAnsi="Arial" w:cs="Arial"/>
        </w:rPr>
      </w:pPr>
      <w:r>
        <w:rPr>
          <w:rFonts w:ascii="Arial" w:hAnsi="Arial" w:cs="Arial"/>
        </w:rPr>
        <w:t>c</w:t>
      </w:r>
      <w:r w:rsidR="00051AA8" w:rsidRPr="00650C4E">
        <w:rPr>
          <w:rFonts w:ascii="Arial" w:hAnsi="Arial" w:cs="Arial"/>
        </w:rPr>
        <w:t>ontribute to the elimination of illegal, unreported and unregulated fishing</w:t>
      </w:r>
    </w:p>
    <w:p w:rsidR="00051AA8" w:rsidRPr="00650C4E" w:rsidRDefault="00051AA8" w:rsidP="00650C4E">
      <w:pPr>
        <w:pStyle w:val="ListParagraph"/>
        <w:numPr>
          <w:ilvl w:val="1"/>
          <w:numId w:val="34"/>
        </w:numPr>
        <w:spacing w:after="240" w:line="276" w:lineRule="auto"/>
        <w:jc w:val="both"/>
        <w:rPr>
          <w:rFonts w:ascii="Arial" w:hAnsi="Arial" w:cs="Arial"/>
        </w:rPr>
      </w:pPr>
      <w:r w:rsidRPr="00650C4E">
        <w:rPr>
          <w:rFonts w:ascii="Arial" w:hAnsi="Arial" w:cs="Arial"/>
        </w:rPr>
        <w:t>Aquaculture POs must pursue the following objectives</w:t>
      </w:r>
      <w:r w:rsidR="004D7157">
        <w:rPr>
          <w:rFonts w:ascii="Arial" w:hAnsi="Arial" w:cs="Arial"/>
        </w:rPr>
        <w:t>, to</w:t>
      </w:r>
      <w:r w:rsidRPr="00650C4E">
        <w:rPr>
          <w:rFonts w:ascii="Arial" w:hAnsi="Arial" w:cs="Arial"/>
        </w:rPr>
        <w:t>:</w:t>
      </w:r>
    </w:p>
    <w:p w:rsidR="00051AA8" w:rsidRDefault="004D7157" w:rsidP="00051AA8">
      <w:pPr>
        <w:pStyle w:val="ListParagraph"/>
        <w:numPr>
          <w:ilvl w:val="0"/>
          <w:numId w:val="35"/>
        </w:numPr>
        <w:spacing w:after="240" w:line="276" w:lineRule="auto"/>
        <w:jc w:val="both"/>
        <w:rPr>
          <w:rFonts w:ascii="Arial" w:hAnsi="Arial" w:cs="Arial"/>
        </w:rPr>
      </w:pPr>
      <w:r>
        <w:rPr>
          <w:rFonts w:ascii="Arial" w:hAnsi="Arial" w:cs="Arial"/>
        </w:rPr>
        <w:t>p</w:t>
      </w:r>
      <w:r w:rsidR="00051AA8">
        <w:rPr>
          <w:rFonts w:ascii="Arial" w:hAnsi="Arial" w:cs="Arial"/>
        </w:rPr>
        <w:t>romote sustainable aquaculture activities of their members</w:t>
      </w:r>
    </w:p>
    <w:p w:rsidR="00051AA8" w:rsidRDefault="00051AA8" w:rsidP="00051AA8">
      <w:pPr>
        <w:pStyle w:val="ListParagraph"/>
        <w:numPr>
          <w:ilvl w:val="0"/>
          <w:numId w:val="35"/>
        </w:numPr>
        <w:spacing w:after="240" w:line="276" w:lineRule="auto"/>
        <w:jc w:val="both"/>
        <w:rPr>
          <w:rFonts w:ascii="Arial" w:hAnsi="Arial" w:cs="Arial"/>
        </w:rPr>
      </w:pPr>
      <w:r>
        <w:rPr>
          <w:rFonts w:ascii="Arial" w:hAnsi="Arial" w:cs="Arial"/>
        </w:rPr>
        <w:t>Ascertain that members activities are consistent with the national strategic plans</w:t>
      </w:r>
    </w:p>
    <w:p w:rsidR="00650C4E" w:rsidRPr="00FA324A" w:rsidRDefault="00051AA8" w:rsidP="004D7157">
      <w:pPr>
        <w:pStyle w:val="ListParagraph"/>
        <w:numPr>
          <w:ilvl w:val="0"/>
          <w:numId w:val="35"/>
        </w:numPr>
        <w:spacing w:after="240" w:line="276" w:lineRule="auto"/>
        <w:jc w:val="both"/>
        <w:rPr>
          <w:rFonts w:ascii="Arial" w:hAnsi="Arial" w:cs="Arial"/>
        </w:rPr>
      </w:pPr>
      <w:r>
        <w:rPr>
          <w:rFonts w:ascii="Arial" w:hAnsi="Arial" w:cs="Arial"/>
        </w:rPr>
        <w:t>Endeavour</w:t>
      </w:r>
      <w:r w:rsidRPr="004D7157">
        <w:rPr>
          <w:rFonts w:ascii="Arial" w:hAnsi="Arial" w:cs="Arial"/>
        </w:rPr>
        <w:t xml:space="preserve"> to ensure that aquaculture feed products of fishery origin come from sustainable fisheries </w:t>
      </w:r>
    </w:p>
    <w:p w:rsidR="00AD7839" w:rsidRPr="00650C4E" w:rsidRDefault="00051AA8" w:rsidP="00650C4E">
      <w:pPr>
        <w:pStyle w:val="ListParagraph"/>
        <w:numPr>
          <w:ilvl w:val="1"/>
          <w:numId w:val="34"/>
        </w:numPr>
        <w:spacing w:after="240" w:line="276" w:lineRule="auto"/>
        <w:jc w:val="both"/>
        <w:rPr>
          <w:rFonts w:ascii="Arial" w:hAnsi="Arial" w:cs="Arial"/>
        </w:rPr>
      </w:pPr>
      <w:r w:rsidRPr="00650C4E">
        <w:rPr>
          <w:rFonts w:ascii="Arial" w:hAnsi="Arial" w:cs="Arial"/>
        </w:rPr>
        <w:t>Producer Organisations must also pursue two or more of the following objectives:</w:t>
      </w:r>
    </w:p>
    <w:p w:rsidR="00AD7839" w:rsidRPr="007B2F4F" w:rsidRDefault="00AD7839" w:rsidP="003A5312">
      <w:pPr>
        <w:numPr>
          <w:ilvl w:val="0"/>
          <w:numId w:val="10"/>
        </w:numPr>
        <w:spacing w:after="200" w:line="276" w:lineRule="auto"/>
        <w:jc w:val="both"/>
        <w:rPr>
          <w:rFonts w:cs="Arial"/>
          <w:sz w:val="22"/>
          <w:szCs w:val="22"/>
        </w:rPr>
      </w:pPr>
      <w:r w:rsidRPr="007B2F4F">
        <w:rPr>
          <w:rFonts w:cs="Arial"/>
          <w:sz w:val="22"/>
          <w:szCs w:val="22"/>
        </w:rPr>
        <w:t>Improve conditions for the placing on the market of members products</w:t>
      </w:r>
    </w:p>
    <w:p w:rsidR="00AD7839" w:rsidRPr="007B2F4F" w:rsidRDefault="00AD7839" w:rsidP="003A5312">
      <w:pPr>
        <w:numPr>
          <w:ilvl w:val="0"/>
          <w:numId w:val="10"/>
        </w:numPr>
        <w:spacing w:after="200" w:line="276" w:lineRule="auto"/>
        <w:jc w:val="both"/>
        <w:rPr>
          <w:rFonts w:cs="Arial"/>
          <w:sz w:val="22"/>
          <w:szCs w:val="22"/>
        </w:rPr>
      </w:pPr>
      <w:r w:rsidRPr="007B2F4F">
        <w:rPr>
          <w:rFonts w:cs="Arial"/>
          <w:sz w:val="22"/>
          <w:szCs w:val="22"/>
        </w:rPr>
        <w:t>Improving economic returns</w:t>
      </w:r>
    </w:p>
    <w:p w:rsidR="00AD7839" w:rsidRPr="007B2F4F" w:rsidRDefault="00AD7839" w:rsidP="003A5312">
      <w:pPr>
        <w:numPr>
          <w:ilvl w:val="0"/>
          <w:numId w:val="10"/>
        </w:numPr>
        <w:spacing w:after="200" w:line="276" w:lineRule="auto"/>
        <w:jc w:val="both"/>
        <w:rPr>
          <w:rFonts w:cs="Arial"/>
          <w:sz w:val="22"/>
          <w:szCs w:val="22"/>
        </w:rPr>
      </w:pPr>
      <w:r w:rsidRPr="007B2F4F">
        <w:rPr>
          <w:rFonts w:cs="Arial"/>
          <w:sz w:val="22"/>
          <w:szCs w:val="22"/>
        </w:rPr>
        <w:t xml:space="preserve">Stabilise the markets </w:t>
      </w:r>
    </w:p>
    <w:p w:rsidR="00AD7839" w:rsidRPr="007B2F4F" w:rsidRDefault="00AD7839" w:rsidP="003A5312">
      <w:pPr>
        <w:numPr>
          <w:ilvl w:val="0"/>
          <w:numId w:val="10"/>
        </w:numPr>
        <w:spacing w:after="200" w:line="276" w:lineRule="auto"/>
        <w:jc w:val="both"/>
        <w:rPr>
          <w:rFonts w:cs="Arial"/>
          <w:sz w:val="22"/>
          <w:szCs w:val="22"/>
        </w:rPr>
      </w:pPr>
      <w:r w:rsidRPr="007B2F4F">
        <w:rPr>
          <w:rFonts w:cs="Arial"/>
          <w:sz w:val="22"/>
          <w:szCs w:val="22"/>
        </w:rPr>
        <w:t>Contribut</w:t>
      </w:r>
      <w:r w:rsidR="004D7157" w:rsidRPr="007B2F4F">
        <w:rPr>
          <w:rFonts w:cs="Arial"/>
          <w:sz w:val="22"/>
          <w:szCs w:val="22"/>
        </w:rPr>
        <w:t>e</w:t>
      </w:r>
      <w:r w:rsidRPr="007B2F4F">
        <w:rPr>
          <w:rFonts w:cs="Arial"/>
          <w:sz w:val="22"/>
          <w:szCs w:val="22"/>
        </w:rPr>
        <w:t xml:space="preserve"> to food supply and promoting high quality food and safety standards, while contributing to employment in coastal and rural areas</w:t>
      </w:r>
    </w:p>
    <w:p w:rsidR="00AD7839" w:rsidRPr="007B2F4F" w:rsidRDefault="00AD7839" w:rsidP="003A5312">
      <w:pPr>
        <w:numPr>
          <w:ilvl w:val="0"/>
          <w:numId w:val="10"/>
        </w:numPr>
        <w:spacing w:after="200" w:line="276" w:lineRule="auto"/>
        <w:jc w:val="both"/>
        <w:rPr>
          <w:rFonts w:cs="Arial"/>
          <w:sz w:val="22"/>
          <w:szCs w:val="22"/>
        </w:rPr>
      </w:pPr>
      <w:r w:rsidRPr="007B2F4F">
        <w:rPr>
          <w:rFonts w:cs="Arial"/>
          <w:sz w:val="22"/>
          <w:szCs w:val="22"/>
        </w:rPr>
        <w:t>Reduce the environmental impact of fishing, including through to improve the selectivity of fishing gears</w:t>
      </w:r>
    </w:p>
    <w:p w:rsidR="009A73AA" w:rsidRPr="00E06E65" w:rsidRDefault="00030A6E" w:rsidP="003A5312">
      <w:pPr>
        <w:pStyle w:val="ListParagraph"/>
        <w:numPr>
          <w:ilvl w:val="1"/>
          <w:numId w:val="4"/>
        </w:numPr>
        <w:spacing w:after="240" w:line="276" w:lineRule="auto"/>
        <w:contextualSpacing/>
        <w:jc w:val="both"/>
        <w:rPr>
          <w:rFonts w:ascii="Arial" w:hAnsi="Arial" w:cs="Arial"/>
          <w:color w:val="000000"/>
          <w:lang w:eastAsia="en-GB"/>
        </w:rPr>
      </w:pPr>
      <w:r w:rsidRPr="004854F9">
        <w:rPr>
          <w:rFonts w:ascii="Arial" w:hAnsi="Arial" w:cs="Arial"/>
        </w:rPr>
        <w:t>In practice these objectives are likely to be achieved through production and marketing plans (</w:t>
      </w:r>
      <w:r w:rsidR="002C5308" w:rsidRPr="004854F9">
        <w:rPr>
          <w:rFonts w:ascii="Arial" w:hAnsi="Arial" w:cs="Arial"/>
        </w:rPr>
        <w:t>“</w:t>
      </w:r>
      <w:r w:rsidRPr="004854F9">
        <w:rPr>
          <w:rFonts w:ascii="Arial" w:hAnsi="Arial" w:cs="Arial"/>
        </w:rPr>
        <w:t>PMPs</w:t>
      </w:r>
      <w:r w:rsidR="002C5308" w:rsidRPr="004854F9">
        <w:rPr>
          <w:rFonts w:ascii="Arial" w:hAnsi="Arial" w:cs="Arial"/>
        </w:rPr>
        <w:t>”</w:t>
      </w:r>
      <w:r w:rsidRPr="004854F9">
        <w:rPr>
          <w:rFonts w:ascii="Arial" w:hAnsi="Arial" w:cs="Arial"/>
        </w:rPr>
        <w:t>)</w:t>
      </w:r>
      <w:r w:rsidR="00E241FA" w:rsidRPr="004854F9">
        <w:rPr>
          <w:rFonts w:ascii="Arial" w:hAnsi="Arial" w:cs="Arial"/>
        </w:rPr>
        <w:t xml:space="preserve"> which are produced by POs and </w:t>
      </w:r>
      <w:r w:rsidR="004D7157">
        <w:rPr>
          <w:rFonts w:ascii="Arial" w:hAnsi="Arial" w:cs="Arial"/>
        </w:rPr>
        <w:t>with which</w:t>
      </w:r>
      <w:r w:rsidR="00E241FA" w:rsidRPr="004854F9">
        <w:rPr>
          <w:rFonts w:ascii="Arial" w:hAnsi="Arial" w:cs="Arial"/>
        </w:rPr>
        <w:t xml:space="preserve"> their members (and sometimes non-members in the same fishery</w:t>
      </w:r>
      <w:r w:rsidR="00CC5E8A">
        <w:rPr>
          <w:rFonts w:ascii="Arial" w:hAnsi="Arial" w:cs="Arial"/>
        </w:rPr>
        <w:t xml:space="preserve"> in the circumstances set out in article 22 of the CMO)</w:t>
      </w:r>
      <w:r w:rsidR="004D7157">
        <w:rPr>
          <w:rFonts w:ascii="Arial" w:hAnsi="Arial" w:cs="Arial"/>
        </w:rPr>
        <w:t xml:space="preserve"> have to comply</w:t>
      </w:r>
      <w:r w:rsidR="00CC5E8A">
        <w:rPr>
          <w:rFonts w:ascii="Arial" w:hAnsi="Arial" w:cs="Arial"/>
        </w:rPr>
        <w:t xml:space="preserve">. </w:t>
      </w:r>
      <w:r w:rsidR="00DA3F65" w:rsidRPr="004854F9">
        <w:rPr>
          <w:rFonts w:ascii="Arial" w:hAnsi="Arial" w:cs="Arial"/>
        </w:rPr>
        <w:t xml:space="preserve">Producer Organisations </w:t>
      </w:r>
      <w:r w:rsidR="00805BE1" w:rsidRPr="004854F9">
        <w:rPr>
          <w:rFonts w:ascii="Arial" w:hAnsi="Arial" w:cs="Arial"/>
        </w:rPr>
        <w:t>previously</w:t>
      </w:r>
      <w:r w:rsidR="00DA3F65" w:rsidRPr="004854F9">
        <w:rPr>
          <w:rFonts w:ascii="Arial" w:hAnsi="Arial" w:cs="Arial"/>
        </w:rPr>
        <w:t xml:space="preserve"> prepare</w:t>
      </w:r>
      <w:r w:rsidR="00805BE1" w:rsidRPr="004854F9">
        <w:rPr>
          <w:rFonts w:ascii="Arial" w:hAnsi="Arial" w:cs="Arial"/>
        </w:rPr>
        <w:t>d</w:t>
      </w:r>
      <w:r w:rsidR="00DA3F65" w:rsidRPr="004854F9">
        <w:rPr>
          <w:rFonts w:ascii="Arial" w:hAnsi="Arial" w:cs="Arial"/>
        </w:rPr>
        <w:t xml:space="preserve"> and </w:t>
      </w:r>
      <w:r w:rsidR="002C5308" w:rsidRPr="004854F9">
        <w:rPr>
          <w:rFonts w:ascii="Arial" w:hAnsi="Arial" w:cs="Arial"/>
        </w:rPr>
        <w:t>submitted</w:t>
      </w:r>
      <w:r w:rsidR="00DA3F65" w:rsidRPr="004854F9">
        <w:rPr>
          <w:rFonts w:ascii="Arial" w:hAnsi="Arial" w:cs="Arial"/>
        </w:rPr>
        <w:t xml:space="preserve"> to the MMO a</w:t>
      </w:r>
      <w:r w:rsidR="00805BE1" w:rsidRPr="004854F9">
        <w:rPr>
          <w:rFonts w:ascii="Arial" w:hAnsi="Arial" w:cs="Arial"/>
        </w:rPr>
        <w:t>n</w:t>
      </w:r>
      <w:r w:rsidR="00DA3F65" w:rsidRPr="004854F9">
        <w:rPr>
          <w:rFonts w:ascii="Arial" w:hAnsi="Arial" w:cs="Arial"/>
        </w:rPr>
        <w:t xml:space="preserve"> </w:t>
      </w:r>
      <w:r w:rsidR="00805BE1" w:rsidRPr="004854F9">
        <w:rPr>
          <w:rFonts w:ascii="Arial" w:hAnsi="Arial" w:cs="Arial"/>
        </w:rPr>
        <w:t>operational programme</w:t>
      </w:r>
      <w:r w:rsidR="00E34CDD" w:rsidRPr="004854F9">
        <w:rPr>
          <w:rFonts w:ascii="Arial" w:hAnsi="Arial" w:cs="Arial"/>
        </w:rPr>
        <w:t xml:space="preserve"> (</w:t>
      </w:r>
      <w:r w:rsidR="002C5308" w:rsidRPr="004854F9">
        <w:rPr>
          <w:rFonts w:ascii="Arial" w:hAnsi="Arial" w:cs="Arial"/>
        </w:rPr>
        <w:t>“</w:t>
      </w:r>
      <w:r w:rsidR="00E34CDD" w:rsidRPr="004854F9">
        <w:rPr>
          <w:rFonts w:ascii="Arial" w:hAnsi="Arial" w:cs="Arial"/>
        </w:rPr>
        <w:t>OP</w:t>
      </w:r>
      <w:r w:rsidR="002C5308" w:rsidRPr="004854F9">
        <w:rPr>
          <w:rFonts w:ascii="Arial" w:hAnsi="Arial" w:cs="Arial"/>
        </w:rPr>
        <w:t>”</w:t>
      </w:r>
      <w:r w:rsidR="00E34CDD" w:rsidRPr="004854F9">
        <w:rPr>
          <w:rFonts w:ascii="Arial" w:hAnsi="Arial" w:cs="Arial"/>
        </w:rPr>
        <w:t>)</w:t>
      </w:r>
      <w:r w:rsidRPr="004854F9">
        <w:rPr>
          <w:rFonts w:ascii="Arial" w:hAnsi="Arial" w:cs="Arial"/>
        </w:rPr>
        <w:t xml:space="preserve"> </w:t>
      </w:r>
      <w:r w:rsidR="00DA3F65" w:rsidRPr="004854F9">
        <w:rPr>
          <w:rFonts w:ascii="Arial" w:hAnsi="Arial" w:cs="Arial"/>
        </w:rPr>
        <w:t xml:space="preserve">containing the measures necessary for them to fulfil their objectives. </w:t>
      </w:r>
      <w:r w:rsidR="00805BE1" w:rsidRPr="004854F9">
        <w:rPr>
          <w:rFonts w:ascii="Arial" w:hAnsi="Arial" w:cs="Arial"/>
        </w:rPr>
        <w:t>Under the reformed</w:t>
      </w:r>
      <w:r w:rsidR="00E241FA" w:rsidRPr="004854F9">
        <w:rPr>
          <w:rFonts w:ascii="Arial" w:hAnsi="Arial" w:cs="Arial"/>
        </w:rPr>
        <w:t xml:space="preserve"> CMO </w:t>
      </w:r>
      <w:r w:rsidR="00682F18">
        <w:rPr>
          <w:rFonts w:ascii="Arial" w:hAnsi="Arial" w:cs="Arial"/>
        </w:rPr>
        <w:t xml:space="preserve">the </w:t>
      </w:r>
      <w:r w:rsidR="00805BE1" w:rsidRPr="004854F9">
        <w:rPr>
          <w:rFonts w:ascii="Arial" w:hAnsi="Arial" w:cs="Arial"/>
        </w:rPr>
        <w:t>PMP</w:t>
      </w:r>
      <w:r w:rsidR="00E241FA" w:rsidRPr="004854F9">
        <w:rPr>
          <w:rFonts w:ascii="Arial" w:hAnsi="Arial" w:cs="Arial"/>
        </w:rPr>
        <w:t xml:space="preserve"> require</w:t>
      </w:r>
      <w:r w:rsidR="00B25FF2" w:rsidRPr="004854F9">
        <w:rPr>
          <w:rFonts w:ascii="Arial" w:hAnsi="Arial" w:cs="Arial"/>
        </w:rPr>
        <w:t>s</w:t>
      </w:r>
      <w:r w:rsidR="00E241FA" w:rsidRPr="004854F9">
        <w:rPr>
          <w:rFonts w:ascii="Arial" w:hAnsi="Arial" w:cs="Arial"/>
        </w:rPr>
        <w:t xml:space="preserve"> more detail</w:t>
      </w:r>
      <w:r w:rsidR="00805BE1" w:rsidRPr="004854F9">
        <w:rPr>
          <w:rFonts w:ascii="Arial" w:hAnsi="Arial" w:cs="Arial"/>
        </w:rPr>
        <w:t xml:space="preserve"> than </w:t>
      </w:r>
      <w:r w:rsidR="00E34CDD" w:rsidRPr="004854F9">
        <w:rPr>
          <w:rFonts w:ascii="Arial" w:hAnsi="Arial" w:cs="Arial"/>
        </w:rPr>
        <w:t>OPs</w:t>
      </w:r>
      <w:r w:rsidR="00E241FA" w:rsidRPr="004854F9">
        <w:rPr>
          <w:rFonts w:ascii="Arial" w:hAnsi="Arial" w:cs="Arial"/>
        </w:rPr>
        <w:t xml:space="preserve"> on marketing activities and</w:t>
      </w:r>
      <w:r w:rsidRPr="004854F9">
        <w:rPr>
          <w:rFonts w:ascii="Arial" w:hAnsi="Arial" w:cs="Arial"/>
        </w:rPr>
        <w:t xml:space="preserve"> t</w:t>
      </w:r>
      <w:r w:rsidR="00DA3F65" w:rsidRPr="004854F9">
        <w:rPr>
          <w:rFonts w:ascii="Arial" w:hAnsi="Arial" w:cs="Arial"/>
        </w:rPr>
        <w:t>hey also have to provide relevant details of their sources of funding and member</w:t>
      </w:r>
      <w:r w:rsidRPr="004854F9">
        <w:rPr>
          <w:rFonts w:ascii="Arial" w:hAnsi="Arial" w:cs="Arial"/>
        </w:rPr>
        <w:t>ship to increase transparency</w:t>
      </w:r>
      <w:r w:rsidR="00E241FA" w:rsidRPr="004854F9">
        <w:rPr>
          <w:rFonts w:ascii="Arial" w:hAnsi="Arial" w:cs="Arial"/>
        </w:rPr>
        <w:t xml:space="preserve">. </w:t>
      </w:r>
    </w:p>
    <w:p w:rsidR="00E06E65" w:rsidRPr="004854F9" w:rsidRDefault="00E06E65" w:rsidP="00AA5020">
      <w:pPr>
        <w:pStyle w:val="ListParagraph"/>
        <w:spacing w:after="240" w:line="276" w:lineRule="auto"/>
        <w:ind w:left="420"/>
        <w:contextualSpacing/>
        <w:jc w:val="both"/>
        <w:rPr>
          <w:rFonts w:ascii="Arial" w:hAnsi="Arial" w:cs="Arial"/>
          <w:color w:val="000000"/>
          <w:lang w:eastAsia="en-GB"/>
        </w:rPr>
      </w:pPr>
    </w:p>
    <w:p w:rsidR="00A54622" w:rsidRPr="00FA324A" w:rsidRDefault="00030A6E" w:rsidP="00A54622">
      <w:pPr>
        <w:pStyle w:val="ListParagraph"/>
        <w:numPr>
          <w:ilvl w:val="1"/>
          <w:numId w:val="4"/>
        </w:numPr>
        <w:spacing w:after="240" w:line="276" w:lineRule="auto"/>
        <w:jc w:val="both"/>
        <w:rPr>
          <w:rFonts w:ascii="Arial" w:hAnsi="Arial" w:cs="Arial"/>
        </w:rPr>
      </w:pPr>
      <w:r w:rsidRPr="004854F9">
        <w:rPr>
          <w:rFonts w:ascii="Arial" w:hAnsi="Arial" w:cs="Arial"/>
        </w:rPr>
        <w:t>The</w:t>
      </w:r>
      <w:r w:rsidR="00E34CDD" w:rsidRPr="004854F9">
        <w:rPr>
          <w:rFonts w:ascii="Arial" w:hAnsi="Arial" w:cs="Arial"/>
        </w:rPr>
        <w:t xml:space="preserve"> new mandatory</w:t>
      </w:r>
      <w:r w:rsidRPr="004854F9">
        <w:rPr>
          <w:rFonts w:ascii="Arial" w:hAnsi="Arial" w:cs="Arial"/>
        </w:rPr>
        <w:t xml:space="preserve"> requirements mean that POs are likely to incur additional costs in preparing their PMPs due to the greater scope and detail needed</w:t>
      </w:r>
      <w:r w:rsidR="00DE05F9" w:rsidRPr="004854F9">
        <w:rPr>
          <w:rFonts w:ascii="Arial" w:hAnsi="Arial" w:cs="Arial"/>
        </w:rPr>
        <w:t xml:space="preserve"> and the need to report on the</w:t>
      </w:r>
      <w:r w:rsidR="0002624B" w:rsidRPr="004854F9">
        <w:rPr>
          <w:rFonts w:ascii="Arial" w:hAnsi="Arial" w:cs="Arial"/>
        </w:rPr>
        <w:t xml:space="preserve"> activities under the plan</w:t>
      </w:r>
      <w:r w:rsidR="0050536F">
        <w:rPr>
          <w:rFonts w:ascii="Arial" w:hAnsi="Arial" w:cs="Arial"/>
        </w:rPr>
        <w:t xml:space="preserve"> relative to the previous CMO</w:t>
      </w:r>
      <w:r w:rsidRPr="004854F9">
        <w:rPr>
          <w:rFonts w:ascii="Arial" w:hAnsi="Arial" w:cs="Arial"/>
        </w:rPr>
        <w:t>. However,</w:t>
      </w:r>
      <w:r w:rsidR="00E06E65">
        <w:rPr>
          <w:rFonts w:ascii="Arial" w:hAnsi="Arial" w:cs="Arial"/>
        </w:rPr>
        <w:t xml:space="preserve"> as these requirements are directly applicable from </w:t>
      </w:r>
      <w:r w:rsidR="00E06E65">
        <w:rPr>
          <w:rFonts w:ascii="Arial" w:hAnsi="Arial" w:cs="Arial"/>
        </w:rPr>
        <w:lastRenderedPageBreak/>
        <w:t>1</w:t>
      </w:r>
      <w:r w:rsidR="00E06E65" w:rsidRPr="00E06E65">
        <w:rPr>
          <w:rFonts w:ascii="Arial" w:hAnsi="Arial" w:cs="Arial"/>
          <w:vertAlign w:val="superscript"/>
        </w:rPr>
        <w:t>st</w:t>
      </w:r>
      <w:r w:rsidR="00E06E65">
        <w:rPr>
          <w:rFonts w:ascii="Arial" w:hAnsi="Arial" w:cs="Arial"/>
        </w:rPr>
        <w:t xml:space="preserve"> January 2014 they are considered as part of the baseline Option 0 and are not assessed in this impact assessment.  POs</w:t>
      </w:r>
      <w:r w:rsidRPr="004854F9">
        <w:rPr>
          <w:rFonts w:ascii="Arial" w:hAnsi="Arial" w:cs="Arial"/>
        </w:rPr>
        <w:t xml:space="preserve"> </w:t>
      </w:r>
      <w:r w:rsidR="0002624B" w:rsidRPr="004854F9">
        <w:rPr>
          <w:rFonts w:ascii="Arial" w:hAnsi="Arial" w:cs="Arial"/>
        </w:rPr>
        <w:t xml:space="preserve">may </w:t>
      </w:r>
      <w:r w:rsidRPr="004854F9">
        <w:rPr>
          <w:rFonts w:ascii="Arial" w:hAnsi="Arial" w:cs="Arial"/>
        </w:rPr>
        <w:t>be able to r</w:t>
      </w:r>
      <w:r w:rsidR="00E06E65">
        <w:rPr>
          <w:rFonts w:ascii="Arial" w:hAnsi="Arial" w:cs="Arial"/>
        </w:rPr>
        <w:t>ecover costs for preparing PMP</w:t>
      </w:r>
      <w:r w:rsidRPr="004854F9">
        <w:rPr>
          <w:rFonts w:ascii="Arial" w:hAnsi="Arial" w:cs="Arial"/>
        </w:rPr>
        <w:t xml:space="preserve"> under the European Maritime and Fisheries Fund (EMFF), meaning the costs to industry w</w:t>
      </w:r>
      <w:r w:rsidR="0002624B" w:rsidRPr="004854F9">
        <w:rPr>
          <w:rFonts w:ascii="Arial" w:hAnsi="Arial" w:cs="Arial"/>
        </w:rPr>
        <w:t>ould</w:t>
      </w:r>
      <w:r w:rsidRPr="004854F9">
        <w:rPr>
          <w:rFonts w:ascii="Arial" w:hAnsi="Arial" w:cs="Arial"/>
        </w:rPr>
        <w:t xml:space="preserve"> be minimal</w:t>
      </w:r>
      <w:r w:rsidR="0002624B" w:rsidRPr="004854F9">
        <w:rPr>
          <w:rStyle w:val="FootnoteReference"/>
          <w:rFonts w:ascii="Arial" w:hAnsi="Arial" w:cs="Arial"/>
        </w:rPr>
        <w:footnoteReference w:id="8"/>
      </w:r>
      <w:r w:rsidRPr="004854F9">
        <w:rPr>
          <w:rFonts w:ascii="Arial" w:hAnsi="Arial" w:cs="Arial"/>
        </w:rPr>
        <w:t>. Furthermore, marketing measures with the aim of restructuring POs or associations of POs may</w:t>
      </w:r>
      <w:r w:rsidR="006E1383" w:rsidRPr="004854F9">
        <w:rPr>
          <w:rFonts w:ascii="Arial" w:hAnsi="Arial" w:cs="Arial"/>
        </w:rPr>
        <w:t xml:space="preserve"> also</w:t>
      </w:r>
      <w:r w:rsidRPr="004854F9">
        <w:rPr>
          <w:rFonts w:ascii="Arial" w:hAnsi="Arial" w:cs="Arial"/>
        </w:rPr>
        <w:t xml:space="preserve"> be funded</w:t>
      </w:r>
      <w:r w:rsidR="006E1383" w:rsidRPr="004854F9">
        <w:rPr>
          <w:rFonts w:ascii="Arial" w:hAnsi="Arial" w:cs="Arial"/>
        </w:rPr>
        <w:t xml:space="preserve"> by the EMFF</w:t>
      </w:r>
      <w:r w:rsidR="00E27BE5" w:rsidRPr="004854F9">
        <w:rPr>
          <w:rFonts w:ascii="Arial" w:hAnsi="Arial" w:cs="Arial"/>
        </w:rPr>
        <w:t>.</w:t>
      </w:r>
    </w:p>
    <w:p w:rsidR="00A0395C" w:rsidRPr="00B262B3" w:rsidRDefault="00A0395C" w:rsidP="00AA5020">
      <w:pPr>
        <w:pStyle w:val="ListParagraph"/>
        <w:spacing w:line="276" w:lineRule="auto"/>
        <w:ind w:left="360"/>
        <w:jc w:val="both"/>
        <w:rPr>
          <w:rFonts w:ascii="Arial" w:hAnsi="Arial" w:cs="Arial"/>
          <w:u w:val="single"/>
        </w:rPr>
      </w:pPr>
      <w:r w:rsidRPr="00B262B3">
        <w:rPr>
          <w:rFonts w:ascii="Arial" w:hAnsi="Arial" w:cs="Arial"/>
          <w:u w:val="single"/>
        </w:rPr>
        <w:t>Storage Aid</w:t>
      </w:r>
    </w:p>
    <w:p w:rsidR="00A0395C" w:rsidRPr="004854F9" w:rsidRDefault="00A0395C" w:rsidP="00AA5020">
      <w:pPr>
        <w:pStyle w:val="ListParagraph"/>
        <w:spacing w:line="276" w:lineRule="auto"/>
        <w:ind w:left="420"/>
        <w:jc w:val="both"/>
        <w:rPr>
          <w:rFonts w:ascii="Arial" w:hAnsi="Arial" w:cs="Arial"/>
        </w:rPr>
      </w:pPr>
    </w:p>
    <w:p w:rsidR="00AB761B" w:rsidRDefault="00E34CDD" w:rsidP="00AA5020">
      <w:pPr>
        <w:pStyle w:val="ListParagraph"/>
        <w:numPr>
          <w:ilvl w:val="1"/>
          <w:numId w:val="4"/>
        </w:numPr>
        <w:spacing w:line="276" w:lineRule="auto"/>
        <w:jc w:val="both"/>
        <w:rPr>
          <w:rFonts w:ascii="Arial" w:hAnsi="Arial" w:cs="Arial"/>
        </w:rPr>
      </w:pPr>
      <w:r w:rsidRPr="004854F9">
        <w:rPr>
          <w:rFonts w:ascii="Arial" w:hAnsi="Arial" w:cs="Arial"/>
        </w:rPr>
        <w:t>There are provisions under the reformed CMO for the continuation of Storage A</w:t>
      </w:r>
      <w:r w:rsidR="00A0395C" w:rsidRPr="004854F9">
        <w:rPr>
          <w:rFonts w:ascii="Arial" w:hAnsi="Arial" w:cs="Arial"/>
        </w:rPr>
        <w:t>id where producers are given financial assistance to store products for human consumption in freezers if the price of their product drops below a minimum threshold. The original aim of this mechanism was to stabilise prices and supply but it has not been used in England and Wales since 2002 and it is due to be phased out by</w:t>
      </w:r>
      <w:r w:rsidRPr="004854F9">
        <w:rPr>
          <w:rFonts w:ascii="Arial" w:hAnsi="Arial" w:cs="Arial"/>
        </w:rPr>
        <w:t xml:space="preserve"> the end of 2018 under the reformed</w:t>
      </w:r>
      <w:r w:rsidR="00E06E65">
        <w:rPr>
          <w:rFonts w:ascii="Arial" w:hAnsi="Arial" w:cs="Arial"/>
        </w:rPr>
        <w:t xml:space="preserve"> CMO. This does not require an amendment to national legislation and no costs are expected as a result of Storage Aid to either government or industry between now and the end of 2018. Therefore it is part of the baseline Option 0.</w:t>
      </w:r>
    </w:p>
    <w:p w:rsidR="00650C4E" w:rsidRPr="00A92A26" w:rsidRDefault="00650C4E" w:rsidP="00650C4E">
      <w:pPr>
        <w:pStyle w:val="ListParagraph"/>
        <w:spacing w:line="276" w:lineRule="auto"/>
        <w:ind w:left="420"/>
        <w:jc w:val="both"/>
        <w:rPr>
          <w:rFonts w:ascii="Arial" w:hAnsi="Arial" w:cs="Arial"/>
        </w:rPr>
      </w:pPr>
    </w:p>
    <w:p w:rsidR="00AB761B" w:rsidRPr="00B262B3" w:rsidRDefault="00AB761B" w:rsidP="00AA5020">
      <w:pPr>
        <w:spacing w:line="276" w:lineRule="auto"/>
        <w:ind w:left="420"/>
        <w:jc w:val="both"/>
        <w:rPr>
          <w:rFonts w:cs="Arial"/>
          <w:sz w:val="22"/>
          <w:szCs w:val="22"/>
          <w:u w:val="single"/>
        </w:rPr>
      </w:pPr>
      <w:r w:rsidRPr="00B262B3">
        <w:rPr>
          <w:rFonts w:cs="Arial"/>
          <w:sz w:val="22"/>
          <w:szCs w:val="22"/>
          <w:u w:val="single"/>
        </w:rPr>
        <w:t>Summary of CMO Measures</w:t>
      </w:r>
    </w:p>
    <w:p w:rsidR="00AB761B" w:rsidRPr="004854F9" w:rsidRDefault="00AB761B" w:rsidP="00AA5020">
      <w:pPr>
        <w:pStyle w:val="ListParagraph"/>
        <w:spacing w:line="276" w:lineRule="auto"/>
        <w:ind w:left="420"/>
        <w:jc w:val="both"/>
        <w:rPr>
          <w:rFonts w:ascii="Arial" w:hAnsi="Arial" w:cs="Arial"/>
        </w:rPr>
      </w:pPr>
    </w:p>
    <w:p w:rsidR="00AB761B" w:rsidRPr="004854F9" w:rsidRDefault="00AB761B" w:rsidP="003A5312">
      <w:pPr>
        <w:pStyle w:val="ListParagraph"/>
        <w:numPr>
          <w:ilvl w:val="1"/>
          <w:numId w:val="4"/>
        </w:numPr>
        <w:spacing w:line="276" w:lineRule="auto"/>
        <w:jc w:val="both"/>
        <w:rPr>
          <w:rFonts w:ascii="Arial" w:hAnsi="Arial" w:cs="Arial"/>
        </w:rPr>
      </w:pPr>
      <w:r w:rsidRPr="004854F9">
        <w:rPr>
          <w:rFonts w:ascii="Arial" w:hAnsi="Arial" w:cs="Arial"/>
        </w:rPr>
        <w:t>The following table summarises the measure</w:t>
      </w:r>
      <w:r w:rsidR="00393A38" w:rsidRPr="004854F9">
        <w:rPr>
          <w:rFonts w:ascii="Arial" w:hAnsi="Arial" w:cs="Arial"/>
        </w:rPr>
        <w:t>s</w:t>
      </w:r>
      <w:r w:rsidRPr="004854F9">
        <w:rPr>
          <w:rFonts w:ascii="Arial" w:hAnsi="Arial" w:cs="Arial"/>
        </w:rPr>
        <w:t xml:space="preserve"> under the reformed CMO and which policy option they are applicable to in this impact assessment.</w:t>
      </w:r>
    </w:p>
    <w:p w:rsidR="008A67E3" w:rsidRPr="004854F9" w:rsidRDefault="008A67E3" w:rsidP="00AA5020">
      <w:pPr>
        <w:spacing w:line="276" w:lineRule="auto"/>
        <w:jc w:val="both"/>
        <w:rPr>
          <w:rFonts w:cs="Arial"/>
          <w:sz w:val="22"/>
          <w:szCs w:val="22"/>
        </w:rPr>
      </w:pPr>
    </w:p>
    <w:p w:rsidR="008A67E3" w:rsidRPr="00E06E65" w:rsidRDefault="00767B54" w:rsidP="00251677">
      <w:pPr>
        <w:jc w:val="center"/>
        <w:rPr>
          <w:rFonts w:cs="Arial"/>
          <w:sz w:val="16"/>
          <w:szCs w:val="22"/>
        </w:rPr>
      </w:pPr>
      <w:r w:rsidRPr="00E06E65">
        <w:rPr>
          <w:rFonts w:cs="Arial"/>
          <w:sz w:val="16"/>
          <w:szCs w:val="22"/>
        </w:rPr>
        <w:t>Table 2: Summary of the measures under the reformed CMO and which policy option they are applicable 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9"/>
        <w:gridCol w:w="2232"/>
      </w:tblGrid>
      <w:tr w:rsidR="00E06E65" w:rsidRPr="00E12F91" w:rsidTr="00E06E65">
        <w:trPr>
          <w:jc w:val="center"/>
        </w:trPr>
        <w:tc>
          <w:tcPr>
            <w:tcW w:w="3929" w:type="pct"/>
            <w:shd w:val="clear" w:color="auto" w:fill="auto"/>
            <w:vAlign w:val="center"/>
          </w:tcPr>
          <w:p w:rsidR="00E06E65" w:rsidRPr="00E12F91" w:rsidRDefault="00E06E65" w:rsidP="00251677">
            <w:pPr>
              <w:jc w:val="center"/>
              <w:rPr>
                <w:rFonts w:cs="Arial"/>
                <w:b/>
                <w:sz w:val="16"/>
                <w:szCs w:val="16"/>
              </w:rPr>
            </w:pPr>
            <w:r w:rsidRPr="00E12F91">
              <w:rPr>
                <w:rFonts w:cs="Arial"/>
                <w:b/>
                <w:sz w:val="16"/>
                <w:szCs w:val="16"/>
              </w:rPr>
              <w:t>CMO Measure</w:t>
            </w:r>
          </w:p>
        </w:tc>
        <w:tc>
          <w:tcPr>
            <w:tcW w:w="1071" w:type="pct"/>
            <w:shd w:val="clear" w:color="auto" w:fill="auto"/>
            <w:vAlign w:val="center"/>
          </w:tcPr>
          <w:p w:rsidR="00E06E65" w:rsidRPr="00E12F91" w:rsidRDefault="00E06E65" w:rsidP="00251677">
            <w:pPr>
              <w:jc w:val="center"/>
              <w:rPr>
                <w:rFonts w:cs="Arial"/>
                <w:b/>
                <w:sz w:val="16"/>
                <w:szCs w:val="16"/>
              </w:rPr>
            </w:pPr>
            <w:r w:rsidRPr="00E12F91">
              <w:rPr>
                <w:rFonts w:cs="Arial"/>
                <w:b/>
                <w:sz w:val="16"/>
                <w:szCs w:val="16"/>
              </w:rPr>
              <w:t>Policy Option Applicable</w:t>
            </w:r>
          </w:p>
        </w:tc>
      </w:tr>
      <w:tr w:rsidR="00E06E65" w:rsidRPr="00E12F91" w:rsidTr="00E06E65">
        <w:trPr>
          <w:trHeight w:val="529"/>
          <w:jc w:val="center"/>
        </w:trPr>
        <w:tc>
          <w:tcPr>
            <w:tcW w:w="3929" w:type="pct"/>
            <w:shd w:val="clear" w:color="auto" w:fill="auto"/>
            <w:vAlign w:val="center"/>
          </w:tcPr>
          <w:p w:rsidR="00E06E65" w:rsidRPr="00E12F91" w:rsidRDefault="00E06E65" w:rsidP="00251677">
            <w:pPr>
              <w:jc w:val="center"/>
              <w:rPr>
                <w:rFonts w:cs="Arial"/>
                <w:sz w:val="16"/>
                <w:szCs w:val="16"/>
              </w:rPr>
            </w:pPr>
            <w:r w:rsidRPr="00E12F91">
              <w:rPr>
                <w:rFonts w:cs="Arial"/>
                <w:sz w:val="16"/>
                <w:szCs w:val="16"/>
              </w:rPr>
              <w:t>Labelling: catch area, commercial designation, scientific name of the species, previously frozen declaration, production method</w:t>
            </w:r>
          </w:p>
        </w:tc>
        <w:tc>
          <w:tcPr>
            <w:tcW w:w="1071" w:type="pct"/>
            <w:shd w:val="clear" w:color="auto" w:fill="auto"/>
            <w:vAlign w:val="center"/>
          </w:tcPr>
          <w:p w:rsidR="00E06E65" w:rsidRPr="00E12F91" w:rsidRDefault="00E06E65" w:rsidP="00251677">
            <w:pPr>
              <w:jc w:val="center"/>
              <w:rPr>
                <w:rFonts w:cs="Arial"/>
                <w:sz w:val="16"/>
                <w:szCs w:val="16"/>
              </w:rPr>
            </w:pPr>
            <w:r w:rsidRPr="00E12F91">
              <w:rPr>
                <w:rFonts w:cs="Arial"/>
                <w:sz w:val="16"/>
                <w:szCs w:val="16"/>
              </w:rPr>
              <w:t>Option 0</w:t>
            </w:r>
          </w:p>
        </w:tc>
      </w:tr>
      <w:tr w:rsidR="00E06E65" w:rsidRPr="00E12F91" w:rsidTr="00E06E65">
        <w:trPr>
          <w:trHeight w:val="529"/>
          <w:jc w:val="center"/>
        </w:trPr>
        <w:tc>
          <w:tcPr>
            <w:tcW w:w="3929" w:type="pct"/>
            <w:shd w:val="clear" w:color="auto" w:fill="auto"/>
            <w:vAlign w:val="center"/>
          </w:tcPr>
          <w:p w:rsidR="00E06E65" w:rsidRPr="00E12F91" w:rsidRDefault="00E06E65" w:rsidP="00251677">
            <w:pPr>
              <w:jc w:val="center"/>
              <w:rPr>
                <w:rFonts w:cs="Arial"/>
                <w:sz w:val="16"/>
                <w:szCs w:val="16"/>
              </w:rPr>
            </w:pPr>
            <w:r w:rsidRPr="00E12F91">
              <w:rPr>
                <w:rFonts w:cs="Arial"/>
                <w:sz w:val="16"/>
                <w:szCs w:val="16"/>
              </w:rPr>
              <w:t>Producer Organisation objectives and Production and Marketing Plan containing annual production and marketing strategies to ensure maximum value and a stable supply of products throughout the year</w:t>
            </w:r>
          </w:p>
        </w:tc>
        <w:tc>
          <w:tcPr>
            <w:tcW w:w="1071" w:type="pct"/>
            <w:shd w:val="clear" w:color="auto" w:fill="auto"/>
            <w:vAlign w:val="center"/>
          </w:tcPr>
          <w:p w:rsidR="00E06E65" w:rsidRPr="00E12F91" w:rsidRDefault="00E06E65" w:rsidP="00251677">
            <w:pPr>
              <w:jc w:val="center"/>
              <w:rPr>
                <w:rFonts w:cs="Arial"/>
                <w:sz w:val="16"/>
                <w:szCs w:val="16"/>
              </w:rPr>
            </w:pPr>
            <w:r w:rsidRPr="00E12F91">
              <w:rPr>
                <w:rFonts w:cs="Arial"/>
                <w:sz w:val="16"/>
                <w:szCs w:val="16"/>
              </w:rPr>
              <w:t>Option 0</w:t>
            </w:r>
          </w:p>
        </w:tc>
      </w:tr>
      <w:tr w:rsidR="00E06E65" w:rsidRPr="00E12F91" w:rsidTr="00E06E65">
        <w:trPr>
          <w:trHeight w:val="529"/>
          <w:jc w:val="center"/>
        </w:trPr>
        <w:tc>
          <w:tcPr>
            <w:tcW w:w="3929" w:type="pct"/>
            <w:shd w:val="clear" w:color="auto" w:fill="auto"/>
            <w:vAlign w:val="center"/>
          </w:tcPr>
          <w:p w:rsidR="00E06E65" w:rsidRPr="00E12F91" w:rsidRDefault="00E06E65" w:rsidP="00251677">
            <w:pPr>
              <w:jc w:val="center"/>
              <w:rPr>
                <w:rFonts w:cs="Arial"/>
                <w:sz w:val="16"/>
                <w:szCs w:val="16"/>
              </w:rPr>
            </w:pPr>
            <w:r w:rsidRPr="00E12F91">
              <w:rPr>
                <w:rFonts w:cs="Arial"/>
                <w:sz w:val="16"/>
                <w:szCs w:val="16"/>
              </w:rPr>
              <w:t>Storage Aid: funding to store products intended for human consumption when price drops below a minimum threshold (to be phased out by end 2018)</w:t>
            </w:r>
          </w:p>
        </w:tc>
        <w:tc>
          <w:tcPr>
            <w:tcW w:w="1071" w:type="pct"/>
            <w:shd w:val="clear" w:color="auto" w:fill="auto"/>
            <w:vAlign w:val="center"/>
          </w:tcPr>
          <w:p w:rsidR="00E06E65" w:rsidRPr="00E12F91" w:rsidRDefault="00E06E65" w:rsidP="00251677">
            <w:pPr>
              <w:jc w:val="center"/>
              <w:rPr>
                <w:rFonts w:cs="Arial"/>
                <w:sz w:val="16"/>
                <w:szCs w:val="16"/>
              </w:rPr>
            </w:pPr>
            <w:r w:rsidRPr="00E12F91">
              <w:rPr>
                <w:rFonts w:cs="Arial"/>
                <w:sz w:val="16"/>
                <w:szCs w:val="16"/>
              </w:rPr>
              <w:t>Option 0</w:t>
            </w:r>
          </w:p>
        </w:tc>
      </w:tr>
      <w:tr w:rsidR="00E06E65" w:rsidRPr="00E12F91" w:rsidTr="00E06E65">
        <w:trPr>
          <w:trHeight w:val="529"/>
          <w:jc w:val="center"/>
        </w:trPr>
        <w:tc>
          <w:tcPr>
            <w:tcW w:w="3929" w:type="pct"/>
            <w:shd w:val="clear" w:color="auto" w:fill="auto"/>
            <w:vAlign w:val="center"/>
          </w:tcPr>
          <w:p w:rsidR="00E06E65" w:rsidRPr="00E12F91" w:rsidRDefault="00E06E65" w:rsidP="00251677">
            <w:pPr>
              <w:jc w:val="center"/>
              <w:rPr>
                <w:rFonts w:cs="Arial"/>
                <w:sz w:val="16"/>
                <w:szCs w:val="16"/>
              </w:rPr>
            </w:pPr>
            <w:r w:rsidRPr="00E12F91">
              <w:rPr>
                <w:rFonts w:cs="Arial"/>
                <w:sz w:val="16"/>
                <w:szCs w:val="16"/>
              </w:rPr>
              <w:t>Marketing Standards: relating to the weight, size, quality, presentation and freshness of certain fishery products (sea fish resources set out in the marketing standards regs)</w:t>
            </w:r>
          </w:p>
        </w:tc>
        <w:tc>
          <w:tcPr>
            <w:tcW w:w="1071" w:type="pct"/>
            <w:shd w:val="clear" w:color="auto" w:fill="auto"/>
            <w:vAlign w:val="center"/>
          </w:tcPr>
          <w:p w:rsidR="00E06E65" w:rsidRPr="00E12F91" w:rsidRDefault="00E06E65" w:rsidP="00251677">
            <w:pPr>
              <w:jc w:val="center"/>
              <w:rPr>
                <w:rFonts w:cs="Arial"/>
                <w:sz w:val="16"/>
                <w:szCs w:val="16"/>
              </w:rPr>
            </w:pPr>
            <w:r w:rsidRPr="00E12F91">
              <w:rPr>
                <w:rFonts w:cs="Arial"/>
                <w:sz w:val="16"/>
                <w:szCs w:val="16"/>
              </w:rPr>
              <w:t>Option 1</w:t>
            </w:r>
          </w:p>
        </w:tc>
      </w:tr>
      <w:tr w:rsidR="00E06E65" w:rsidRPr="00E12F91" w:rsidTr="00E06E65">
        <w:trPr>
          <w:trHeight w:val="529"/>
          <w:jc w:val="center"/>
        </w:trPr>
        <w:tc>
          <w:tcPr>
            <w:tcW w:w="3929" w:type="pct"/>
            <w:shd w:val="clear" w:color="auto" w:fill="auto"/>
            <w:vAlign w:val="center"/>
          </w:tcPr>
          <w:p w:rsidR="00E06E65" w:rsidRPr="00E12F91" w:rsidRDefault="00E06E65" w:rsidP="00251677">
            <w:pPr>
              <w:jc w:val="center"/>
              <w:rPr>
                <w:rFonts w:cs="Arial"/>
                <w:sz w:val="16"/>
                <w:szCs w:val="16"/>
              </w:rPr>
            </w:pPr>
            <w:r w:rsidRPr="00E12F91">
              <w:rPr>
                <w:rFonts w:cs="Arial"/>
                <w:sz w:val="16"/>
                <w:szCs w:val="16"/>
              </w:rPr>
              <w:t>Labelling: fishing gear used, date of minimum durability</w:t>
            </w:r>
          </w:p>
        </w:tc>
        <w:tc>
          <w:tcPr>
            <w:tcW w:w="1071" w:type="pct"/>
            <w:shd w:val="clear" w:color="auto" w:fill="auto"/>
            <w:vAlign w:val="center"/>
          </w:tcPr>
          <w:p w:rsidR="00E06E65" w:rsidRPr="00E12F91" w:rsidRDefault="00E06E65" w:rsidP="00251677">
            <w:pPr>
              <w:jc w:val="center"/>
              <w:rPr>
                <w:rFonts w:cs="Arial"/>
                <w:sz w:val="16"/>
                <w:szCs w:val="16"/>
              </w:rPr>
            </w:pPr>
            <w:r w:rsidRPr="00E12F91">
              <w:rPr>
                <w:rFonts w:cs="Arial"/>
                <w:sz w:val="16"/>
                <w:szCs w:val="16"/>
              </w:rPr>
              <w:t>Option 1</w:t>
            </w:r>
          </w:p>
        </w:tc>
      </w:tr>
      <w:tr w:rsidR="00E06E65" w:rsidRPr="00E12F91" w:rsidTr="00E06E65">
        <w:trPr>
          <w:trHeight w:val="529"/>
          <w:jc w:val="center"/>
        </w:trPr>
        <w:tc>
          <w:tcPr>
            <w:tcW w:w="3929" w:type="pct"/>
            <w:shd w:val="clear" w:color="auto" w:fill="auto"/>
            <w:vAlign w:val="center"/>
          </w:tcPr>
          <w:p w:rsidR="00E06E65" w:rsidRPr="00E12F91" w:rsidRDefault="00E06E65" w:rsidP="00251677">
            <w:pPr>
              <w:jc w:val="center"/>
              <w:rPr>
                <w:rFonts w:cs="Arial"/>
                <w:sz w:val="16"/>
                <w:szCs w:val="16"/>
              </w:rPr>
            </w:pPr>
            <w:r w:rsidRPr="00E12F91">
              <w:rPr>
                <w:rFonts w:cs="Arial"/>
                <w:sz w:val="16"/>
                <w:szCs w:val="16"/>
              </w:rPr>
              <w:t>Labelling: date of catch/ harvest, date of landing, port landed, detailed fishing gear, vessel flag, other environmental / ethical info</w:t>
            </w:r>
          </w:p>
        </w:tc>
        <w:tc>
          <w:tcPr>
            <w:tcW w:w="1071" w:type="pct"/>
            <w:shd w:val="clear" w:color="auto" w:fill="auto"/>
            <w:vAlign w:val="center"/>
          </w:tcPr>
          <w:p w:rsidR="00E06E65" w:rsidRPr="00E12F91" w:rsidRDefault="00E06E65" w:rsidP="00251677">
            <w:pPr>
              <w:jc w:val="center"/>
              <w:rPr>
                <w:rFonts w:cs="Arial"/>
                <w:sz w:val="16"/>
                <w:szCs w:val="16"/>
              </w:rPr>
            </w:pPr>
            <w:r w:rsidRPr="00E12F91">
              <w:rPr>
                <w:rFonts w:cs="Arial"/>
                <w:sz w:val="16"/>
                <w:szCs w:val="16"/>
              </w:rPr>
              <w:t>N/A (voluntary)</w:t>
            </w:r>
          </w:p>
        </w:tc>
      </w:tr>
      <w:tr w:rsidR="00E06E65" w:rsidRPr="00E12F91" w:rsidTr="00E06E65">
        <w:trPr>
          <w:trHeight w:val="529"/>
          <w:jc w:val="center"/>
        </w:trPr>
        <w:tc>
          <w:tcPr>
            <w:tcW w:w="3929" w:type="pct"/>
            <w:shd w:val="clear" w:color="auto" w:fill="auto"/>
            <w:vAlign w:val="center"/>
          </w:tcPr>
          <w:p w:rsidR="00E06E65" w:rsidRPr="00E12F91" w:rsidRDefault="00E06E65" w:rsidP="00251677">
            <w:pPr>
              <w:jc w:val="center"/>
              <w:rPr>
                <w:rFonts w:cs="Arial"/>
                <w:sz w:val="16"/>
                <w:szCs w:val="16"/>
              </w:rPr>
            </w:pPr>
            <w:r w:rsidRPr="00E12F91">
              <w:rPr>
                <w:rFonts w:cs="Arial"/>
                <w:sz w:val="16"/>
                <w:szCs w:val="16"/>
              </w:rPr>
              <w:t>Quick Response code to provide information</w:t>
            </w:r>
          </w:p>
        </w:tc>
        <w:tc>
          <w:tcPr>
            <w:tcW w:w="1071" w:type="pct"/>
            <w:shd w:val="clear" w:color="auto" w:fill="auto"/>
            <w:vAlign w:val="center"/>
          </w:tcPr>
          <w:p w:rsidR="00E06E65" w:rsidRPr="00E12F91" w:rsidRDefault="00E06E65" w:rsidP="00251677">
            <w:pPr>
              <w:jc w:val="center"/>
              <w:rPr>
                <w:rFonts w:cs="Arial"/>
                <w:sz w:val="16"/>
                <w:szCs w:val="16"/>
              </w:rPr>
            </w:pPr>
            <w:r w:rsidRPr="00E12F91">
              <w:rPr>
                <w:rFonts w:cs="Arial"/>
                <w:sz w:val="16"/>
                <w:szCs w:val="16"/>
              </w:rPr>
              <w:t>N/A (voluntary)</w:t>
            </w:r>
          </w:p>
        </w:tc>
      </w:tr>
      <w:tr w:rsidR="00E06E65" w:rsidRPr="00E12F91" w:rsidTr="00E06E65">
        <w:trPr>
          <w:trHeight w:val="529"/>
          <w:jc w:val="center"/>
        </w:trPr>
        <w:tc>
          <w:tcPr>
            <w:tcW w:w="3929" w:type="pct"/>
            <w:shd w:val="clear" w:color="auto" w:fill="auto"/>
            <w:vAlign w:val="center"/>
          </w:tcPr>
          <w:p w:rsidR="00E06E65" w:rsidRPr="00E12F91" w:rsidRDefault="00E06E65" w:rsidP="00251677">
            <w:pPr>
              <w:jc w:val="center"/>
              <w:rPr>
                <w:rFonts w:cs="Arial"/>
                <w:sz w:val="16"/>
                <w:szCs w:val="16"/>
              </w:rPr>
            </w:pPr>
            <w:r w:rsidRPr="00E12F91">
              <w:rPr>
                <w:rFonts w:cs="Arial"/>
                <w:sz w:val="16"/>
                <w:szCs w:val="16"/>
              </w:rPr>
              <w:t>PO additional measures (e.g. vocational training for members) to achieve objectives</w:t>
            </w:r>
          </w:p>
        </w:tc>
        <w:tc>
          <w:tcPr>
            <w:tcW w:w="1071" w:type="pct"/>
            <w:shd w:val="clear" w:color="auto" w:fill="auto"/>
            <w:vAlign w:val="center"/>
          </w:tcPr>
          <w:p w:rsidR="00E06E65" w:rsidRPr="00E12F91" w:rsidRDefault="00E06E65" w:rsidP="00251677">
            <w:pPr>
              <w:jc w:val="center"/>
              <w:rPr>
                <w:rFonts w:cs="Arial"/>
                <w:sz w:val="16"/>
                <w:szCs w:val="16"/>
              </w:rPr>
            </w:pPr>
            <w:r w:rsidRPr="00E12F91">
              <w:rPr>
                <w:rFonts w:cs="Arial"/>
                <w:sz w:val="16"/>
                <w:szCs w:val="16"/>
              </w:rPr>
              <w:t>N/A (voluntary)</w:t>
            </w:r>
          </w:p>
        </w:tc>
      </w:tr>
    </w:tbl>
    <w:p w:rsidR="00DA3F65" w:rsidRPr="004854F9" w:rsidRDefault="00DA3F65" w:rsidP="00F533AA">
      <w:pPr>
        <w:spacing w:line="276" w:lineRule="auto"/>
        <w:jc w:val="both"/>
        <w:rPr>
          <w:rFonts w:cs="Arial"/>
          <w:b/>
          <w:sz w:val="22"/>
          <w:szCs w:val="22"/>
        </w:rPr>
      </w:pPr>
    </w:p>
    <w:p w:rsidR="00DA3F65" w:rsidRPr="00251677" w:rsidRDefault="00DA3F65" w:rsidP="003A5312">
      <w:pPr>
        <w:pStyle w:val="ListParagraph"/>
        <w:numPr>
          <w:ilvl w:val="0"/>
          <w:numId w:val="4"/>
        </w:numPr>
        <w:spacing w:line="276" w:lineRule="auto"/>
        <w:contextualSpacing/>
        <w:jc w:val="both"/>
        <w:rPr>
          <w:rFonts w:ascii="Arial" w:hAnsi="Arial" w:cs="Arial"/>
          <w:b/>
          <w:sz w:val="24"/>
        </w:rPr>
      </w:pPr>
      <w:r w:rsidRPr="00251677">
        <w:rPr>
          <w:rFonts w:ascii="Arial" w:hAnsi="Arial" w:cs="Arial"/>
          <w:b/>
          <w:sz w:val="24"/>
        </w:rPr>
        <w:t>Description of Options Considered</w:t>
      </w:r>
    </w:p>
    <w:p w:rsidR="00DA3F65" w:rsidRPr="00251677" w:rsidRDefault="00DA3F65" w:rsidP="00251677">
      <w:pPr>
        <w:spacing w:line="276" w:lineRule="auto"/>
        <w:jc w:val="both"/>
        <w:rPr>
          <w:rFonts w:cs="Arial"/>
          <w:b/>
          <w:sz w:val="20"/>
          <w:szCs w:val="22"/>
        </w:rPr>
      </w:pPr>
    </w:p>
    <w:p w:rsidR="00DA3F65" w:rsidRPr="00251677" w:rsidRDefault="00DA3F65" w:rsidP="00251677">
      <w:pPr>
        <w:spacing w:line="276" w:lineRule="auto"/>
        <w:jc w:val="both"/>
        <w:rPr>
          <w:rFonts w:cs="Arial"/>
          <w:b/>
          <w:sz w:val="22"/>
          <w:szCs w:val="22"/>
        </w:rPr>
      </w:pPr>
      <w:r w:rsidRPr="00251677">
        <w:rPr>
          <w:rFonts w:cs="Arial"/>
          <w:b/>
          <w:sz w:val="22"/>
          <w:szCs w:val="22"/>
        </w:rPr>
        <w:t>Option 0 (Baseline) and Main Affected Groups</w:t>
      </w:r>
    </w:p>
    <w:p w:rsidR="00DA3F65" w:rsidRPr="004854F9" w:rsidRDefault="00DA3F65" w:rsidP="00251677">
      <w:pPr>
        <w:spacing w:line="276" w:lineRule="auto"/>
        <w:jc w:val="both"/>
        <w:rPr>
          <w:rFonts w:cs="Arial"/>
          <w:b/>
          <w:sz w:val="22"/>
          <w:szCs w:val="22"/>
        </w:rPr>
      </w:pPr>
    </w:p>
    <w:p w:rsidR="00FA324A" w:rsidRPr="00FA324A" w:rsidRDefault="00FA324A" w:rsidP="00FA324A">
      <w:pPr>
        <w:pStyle w:val="ListParagraph"/>
        <w:numPr>
          <w:ilvl w:val="1"/>
          <w:numId w:val="4"/>
        </w:numPr>
        <w:spacing w:line="276" w:lineRule="auto"/>
        <w:jc w:val="both"/>
        <w:rPr>
          <w:rFonts w:ascii="Arial" w:hAnsi="Arial" w:cs="Arial"/>
        </w:rPr>
      </w:pPr>
      <w:r w:rsidRPr="00FA324A">
        <w:rPr>
          <w:rFonts w:ascii="Arial" w:hAnsi="Arial" w:cs="Arial"/>
        </w:rPr>
        <w:t>It is assumed that the CMO reforms come into force but no amendments are made to legislation. Some aspects of the CMO can be implemented without changes to legislation (e.g. Production and Marketing Plans and new reporting requirements came into force 1</w:t>
      </w:r>
      <w:r w:rsidRPr="00FA324A">
        <w:rPr>
          <w:rFonts w:ascii="Arial" w:hAnsi="Arial" w:cs="Arial"/>
          <w:vertAlign w:val="superscript"/>
        </w:rPr>
        <w:t>st</w:t>
      </w:r>
      <w:r w:rsidRPr="00FA324A">
        <w:rPr>
          <w:rFonts w:ascii="Arial" w:hAnsi="Arial" w:cs="Arial"/>
        </w:rPr>
        <w:t xml:space="preserve"> January 2014). However, this is not a viable policy option for changes to the labelling requirements as domestic provision to enforce those and the common marketing standards in E &amp; W are required. Industry would not realise benefits and the UK government would risk infraction from the European Commission.</w:t>
      </w:r>
    </w:p>
    <w:p w:rsidR="00FA324A" w:rsidRDefault="00FA324A" w:rsidP="00FA324A">
      <w:pPr>
        <w:pStyle w:val="ListParagraph"/>
        <w:spacing w:line="276" w:lineRule="auto"/>
        <w:ind w:left="420"/>
        <w:jc w:val="both"/>
        <w:rPr>
          <w:rFonts w:cs="Arial"/>
          <w:u w:val="single"/>
        </w:rPr>
      </w:pPr>
    </w:p>
    <w:p w:rsidR="007B2F4F" w:rsidRPr="00FA324A" w:rsidRDefault="007B2F4F" w:rsidP="00FA324A">
      <w:pPr>
        <w:pStyle w:val="ListParagraph"/>
        <w:spacing w:line="276" w:lineRule="auto"/>
        <w:ind w:left="420"/>
        <w:jc w:val="both"/>
        <w:rPr>
          <w:rFonts w:cs="Arial"/>
          <w:u w:val="single"/>
        </w:rPr>
      </w:pPr>
    </w:p>
    <w:p w:rsidR="00DA3F65" w:rsidRPr="004854F9" w:rsidRDefault="00DA3F65" w:rsidP="00251677">
      <w:pPr>
        <w:spacing w:line="276" w:lineRule="auto"/>
        <w:jc w:val="both"/>
        <w:rPr>
          <w:rFonts w:cs="Arial"/>
          <w:sz w:val="22"/>
          <w:szCs w:val="22"/>
          <w:u w:val="single"/>
        </w:rPr>
      </w:pPr>
      <w:r w:rsidRPr="004854F9">
        <w:rPr>
          <w:rFonts w:cs="Arial"/>
          <w:sz w:val="22"/>
          <w:szCs w:val="22"/>
          <w:u w:val="single"/>
        </w:rPr>
        <w:lastRenderedPageBreak/>
        <w:t>Main Affected Groups</w:t>
      </w:r>
    </w:p>
    <w:p w:rsidR="00DA3F65" w:rsidRPr="004854F9" w:rsidRDefault="00DA3F65" w:rsidP="00251677">
      <w:pPr>
        <w:spacing w:line="276" w:lineRule="auto"/>
        <w:jc w:val="both"/>
        <w:rPr>
          <w:rFonts w:cs="Arial"/>
          <w:sz w:val="22"/>
          <w:szCs w:val="22"/>
          <w:u w:val="single"/>
        </w:rPr>
      </w:pPr>
    </w:p>
    <w:p w:rsidR="00DA3F65" w:rsidRDefault="00DA3F65" w:rsidP="003A5312">
      <w:pPr>
        <w:pStyle w:val="ListParagraph"/>
        <w:numPr>
          <w:ilvl w:val="1"/>
          <w:numId w:val="4"/>
        </w:numPr>
        <w:spacing w:line="276" w:lineRule="auto"/>
        <w:contextualSpacing/>
        <w:jc w:val="both"/>
        <w:rPr>
          <w:rFonts w:ascii="Arial" w:hAnsi="Arial" w:cs="Arial"/>
        </w:rPr>
      </w:pPr>
      <w:r w:rsidRPr="004854F9">
        <w:rPr>
          <w:rFonts w:ascii="Arial" w:hAnsi="Arial" w:cs="Arial"/>
        </w:rPr>
        <w:t xml:space="preserve">In the following paragraphs </w:t>
      </w:r>
      <w:r w:rsidR="000857B7" w:rsidRPr="004854F9">
        <w:rPr>
          <w:rFonts w:ascii="Arial" w:hAnsi="Arial" w:cs="Arial"/>
        </w:rPr>
        <w:t xml:space="preserve">the </w:t>
      </w:r>
      <w:r w:rsidRPr="004854F9">
        <w:rPr>
          <w:rFonts w:ascii="Arial" w:hAnsi="Arial" w:cs="Arial"/>
        </w:rPr>
        <w:t>main g</w:t>
      </w:r>
      <w:r w:rsidR="00AA5020">
        <w:rPr>
          <w:rFonts w:ascii="Arial" w:hAnsi="Arial" w:cs="Arial"/>
        </w:rPr>
        <w:t>roups affected by implementation of the CMO in E &amp; W</w:t>
      </w:r>
      <w:r w:rsidRPr="004854F9">
        <w:rPr>
          <w:rFonts w:ascii="Arial" w:hAnsi="Arial" w:cs="Arial"/>
        </w:rPr>
        <w:t xml:space="preserve"> and their scale are described. It is assumed that the number of businesses and employees in each group remain the same in the baseline</w:t>
      </w:r>
      <w:r w:rsidR="001D243F" w:rsidRPr="004854F9">
        <w:rPr>
          <w:rFonts w:ascii="Arial" w:hAnsi="Arial" w:cs="Arial"/>
        </w:rPr>
        <w:t xml:space="preserve"> as</w:t>
      </w:r>
      <w:r w:rsidR="00FE598F" w:rsidRPr="004854F9">
        <w:rPr>
          <w:rFonts w:ascii="Arial" w:hAnsi="Arial" w:cs="Arial"/>
        </w:rPr>
        <w:t xml:space="preserve"> for Option 1</w:t>
      </w:r>
      <w:r w:rsidR="000338A4">
        <w:rPr>
          <w:rFonts w:ascii="Arial" w:hAnsi="Arial" w:cs="Arial"/>
        </w:rPr>
        <w:t>;</w:t>
      </w:r>
      <w:r w:rsidR="00AA5020">
        <w:rPr>
          <w:rFonts w:ascii="Arial" w:hAnsi="Arial" w:cs="Arial"/>
        </w:rPr>
        <w:t xml:space="preserve"> as</w:t>
      </w:r>
      <w:r w:rsidR="00443E3E" w:rsidRPr="004854F9">
        <w:rPr>
          <w:rFonts w:ascii="Arial" w:hAnsi="Arial" w:cs="Arial"/>
        </w:rPr>
        <w:t xml:space="preserve"> </w:t>
      </w:r>
      <w:r w:rsidR="00E34CDD" w:rsidRPr="004854F9">
        <w:rPr>
          <w:rFonts w:ascii="Arial" w:hAnsi="Arial" w:cs="Arial"/>
        </w:rPr>
        <w:t>the ad</w:t>
      </w:r>
      <w:r w:rsidR="00AA5020">
        <w:rPr>
          <w:rFonts w:ascii="Arial" w:hAnsi="Arial" w:cs="Arial"/>
        </w:rPr>
        <w:t>ditional impacts of</w:t>
      </w:r>
      <w:r w:rsidR="00E34CDD" w:rsidRPr="004854F9">
        <w:rPr>
          <w:rFonts w:ascii="Arial" w:hAnsi="Arial" w:cs="Arial"/>
        </w:rPr>
        <w:t xml:space="preserve"> CMO</w:t>
      </w:r>
      <w:r w:rsidR="00AA5020">
        <w:rPr>
          <w:rFonts w:ascii="Arial" w:hAnsi="Arial" w:cs="Arial"/>
        </w:rPr>
        <w:t xml:space="preserve"> implementation are</w:t>
      </w:r>
      <w:r w:rsidR="00E34CDD" w:rsidRPr="004854F9">
        <w:rPr>
          <w:rFonts w:ascii="Arial" w:hAnsi="Arial" w:cs="Arial"/>
        </w:rPr>
        <w:t xml:space="preserve"> minor meaning organisations are not expected to leave or enter the market</w:t>
      </w:r>
      <w:r w:rsidRPr="004854F9">
        <w:rPr>
          <w:rFonts w:ascii="Arial" w:hAnsi="Arial" w:cs="Arial"/>
        </w:rPr>
        <w:t>. The latest data from official</w:t>
      </w:r>
      <w:r w:rsidR="003630EA" w:rsidRPr="004854F9">
        <w:rPr>
          <w:rFonts w:ascii="Arial" w:hAnsi="Arial" w:cs="Arial"/>
        </w:rPr>
        <w:t xml:space="preserve"> and reliable</w:t>
      </w:r>
      <w:r w:rsidRPr="004854F9">
        <w:rPr>
          <w:rFonts w:ascii="Arial" w:hAnsi="Arial" w:cs="Arial"/>
        </w:rPr>
        <w:t xml:space="preserve"> sources </w:t>
      </w:r>
      <w:r w:rsidR="003630EA" w:rsidRPr="004854F9">
        <w:rPr>
          <w:rFonts w:ascii="Arial" w:hAnsi="Arial" w:cs="Arial"/>
        </w:rPr>
        <w:t>are</w:t>
      </w:r>
      <w:r w:rsidRPr="004854F9">
        <w:rPr>
          <w:rFonts w:ascii="Arial" w:hAnsi="Arial" w:cs="Arial"/>
        </w:rPr>
        <w:t xml:space="preserve"> used but this has meant that not all data relates to the same year</w:t>
      </w:r>
      <w:r w:rsidR="00E34CDD" w:rsidRPr="004854F9">
        <w:rPr>
          <w:rFonts w:ascii="Arial" w:hAnsi="Arial" w:cs="Arial"/>
        </w:rPr>
        <w:t>;</w:t>
      </w:r>
      <w:r w:rsidR="001D243F" w:rsidRPr="004854F9">
        <w:rPr>
          <w:rFonts w:ascii="Arial" w:hAnsi="Arial" w:cs="Arial"/>
        </w:rPr>
        <w:t xml:space="preserve"> with some available from 2012 and other statistics from earlier years</w:t>
      </w:r>
      <w:r w:rsidRPr="004854F9">
        <w:rPr>
          <w:rFonts w:ascii="Arial" w:hAnsi="Arial" w:cs="Arial"/>
        </w:rPr>
        <w:t>.</w:t>
      </w:r>
      <w:r w:rsidR="00FE598F" w:rsidRPr="004854F9">
        <w:rPr>
          <w:rFonts w:ascii="Arial" w:hAnsi="Arial" w:cs="Arial"/>
        </w:rPr>
        <w:t xml:space="preserve"> However, this is unavoidable and the following builds up the most accurate picture possible of</w:t>
      </w:r>
      <w:r w:rsidR="00AA5020">
        <w:rPr>
          <w:rFonts w:ascii="Arial" w:hAnsi="Arial" w:cs="Arial"/>
        </w:rPr>
        <w:t xml:space="preserve"> the sectors affected</w:t>
      </w:r>
      <w:r w:rsidR="00FE598F" w:rsidRPr="004854F9">
        <w:rPr>
          <w:rFonts w:ascii="Arial" w:hAnsi="Arial" w:cs="Arial"/>
        </w:rPr>
        <w:t>.</w:t>
      </w:r>
    </w:p>
    <w:p w:rsidR="00AB761B" w:rsidRPr="004854F9" w:rsidRDefault="00AB761B" w:rsidP="00251677">
      <w:pPr>
        <w:spacing w:line="276" w:lineRule="auto"/>
        <w:jc w:val="both"/>
        <w:rPr>
          <w:rFonts w:cs="Arial"/>
          <w:b/>
          <w:sz w:val="22"/>
          <w:szCs w:val="22"/>
        </w:rPr>
      </w:pPr>
    </w:p>
    <w:p w:rsidR="00DA3F65" w:rsidRPr="004E00A3" w:rsidRDefault="00B10CB3" w:rsidP="00251677">
      <w:pPr>
        <w:spacing w:line="276" w:lineRule="auto"/>
        <w:jc w:val="both"/>
        <w:rPr>
          <w:rFonts w:cs="Arial"/>
          <w:sz w:val="22"/>
          <w:szCs w:val="22"/>
          <w:u w:val="single"/>
        </w:rPr>
      </w:pPr>
      <w:r w:rsidRPr="004E00A3">
        <w:rPr>
          <w:rFonts w:cs="Arial"/>
          <w:sz w:val="22"/>
          <w:szCs w:val="22"/>
          <w:u w:val="single"/>
        </w:rPr>
        <w:t>Producers (Fisher</w:t>
      </w:r>
      <w:r w:rsidR="00215A3D" w:rsidRPr="004E00A3">
        <w:rPr>
          <w:rFonts w:cs="Arial"/>
          <w:sz w:val="22"/>
          <w:szCs w:val="22"/>
          <w:u w:val="single"/>
        </w:rPr>
        <w:t>s</w:t>
      </w:r>
      <w:r w:rsidRPr="004E00A3">
        <w:rPr>
          <w:rFonts w:cs="Arial"/>
          <w:sz w:val="22"/>
          <w:szCs w:val="22"/>
          <w:u w:val="single"/>
        </w:rPr>
        <w:t>, Aquaculture Businesses</w:t>
      </w:r>
      <w:r w:rsidR="00767B54" w:rsidRPr="004E00A3">
        <w:rPr>
          <w:rFonts w:cs="Arial"/>
          <w:sz w:val="22"/>
          <w:szCs w:val="22"/>
          <w:u w:val="single"/>
        </w:rPr>
        <w:t xml:space="preserve"> &amp; Producer Organisations</w:t>
      </w:r>
      <w:r w:rsidR="00DA3F65" w:rsidRPr="004E00A3">
        <w:rPr>
          <w:rFonts w:cs="Arial"/>
          <w:sz w:val="22"/>
          <w:szCs w:val="22"/>
          <w:u w:val="single"/>
        </w:rPr>
        <w:t>)</w:t>
      </w:r>
    </w:p>
    <w:p w:rsidR="00AA5020" w:rsidRPr="004E00A3" w:rsidRDefault="00AA5020" w:rsidP="00251677">
      <w:pPr>
        <w:spacing w:line="276" w:lineRule="auto"/>
        <w:jc w:val="both"/>
        <w:rPr>
          <w:rFonts w:cs="Arial"/>
          <w:sz w:val="22"/>
          <w:szCs w:val="22"/>
          <w:u w:val="single"/>
        </w:rPr>
      </w:pPr>
    </w:p>
    <w:p w:rsidR="00AA5020" w:rsidRPr="004E00A3" w:rsidRDefault="00AA5020" w:rsidP="003A5312">
      <w:pPr>
        <w:pStyle w:val="ListParagraph"/>
        <w:numPr>
          <w:ilvl w:val="1"/>
          <w:numId w:val="4"/>
        </w:numPr>
        <w:spacing w:after="240" w:line="276" w:lineRule="auto"/>
        <w:jc w:val="both"/>
        <w:rPr>
          <w:rFonts w:ascii="Arial" w:hAnsi="Arial" w:cs="Arial"/>
        </w:rPr>
      </w:pPr>
      <w:r w:rsidRPr="004E00A3">
        <w:rPr>
          <w:rFonts w:ascii="Arial" w:hAnsi="Arial" w:cs="Arial"/>
        </w:rPr>
        <w:t>In 2012 there were 3,592 vessels in all sectors of the fleet with 3,002 10m and under in length and the remaining 590 over 10m (MMO, 2013)</w:t>
      </w:r>
      <w:r w:rsidRPr="004E00A3">
        <w:rPr>
          <w:rStyle w:val="FootnoteReference"/>
          <w:rFonts w:ascii="Arial" w:hAnsi="Arial" w:cs="Arial"/>
        </w:rPr>
        <w:footnoteReference w:id="9"/>
      </w:r>
      <w:r w:rsidR="004E00A3">
        <w:rPr>
          <w:rFonts w:ascii="Arial" w:hAnsi="Arial" w:cs="Arial"/>
        </w:rPr>
        <w:t xml:space="preserve">. </w:t>
      </w:r>
      <w:r w:rsidR="004E00A3" w:rsidRPr="004854F9">
        <w:rPr>
          <w:rFonts w:ascii="Arial" w:hAnsi="Arial" w:cs="Arial"/>
        </w:rPr>
        <w:t xml:space="preserve">In 2012, there were 6,944 fishermen in England and Wales </w:t>
      </w:r>
      <w:r w:rsidR="004E00A3">
        <w:rPr>
          <w:rFonts w:ascii="Arial" w:hAnsi="Arial" w:cs="Arial"/>
        </w:rPr>
        <w:t>t</w:t>
      </w:r>
      <w:r w:rsidRPr="004E00A3">
        <w:rPr>
          <w:rFonts w:ascii="Arial" w:hAnsi="Arial" w:cs="Arial"/>
        </w:rPr>
        <w:t xml:space="preserve">he total value of landings (into the UK and abroad) of English and Welsh administered vessels was £241.3m in 2012 (MMO, 2013). All of these producers will be affected by implementation of the CMO due to marketing requirements and labelling changes. </w:t>
      </w:r>
    </w:p>
    <w:p w:rsidR="00AA5020" w:rsidRPr="004E00A3" w:rsidRDefault="00AA5020" w:rsidP="003A5312">
      <w:pPr>
        <w:pStyle w:val="ListParagraph"/>
        <w:numPr>
          <w:ilvl w:val="1"/>
          <w:numId w:val="4"/>
        </w:numPr>
        <w:spacing w:after="240" w:line="276" w:lineRule="auto"/>
        <w:jc w:val="both"/>
        <w:rPr>
          <w:rFonts w:ascii="Arial" w:hAnsi="Arial" w:cs="Arial"/>
        </w:rPr>
      </w:pPr>
      <w:r w:rsidRPr="004E00A3">
        <w:rPr>
          <w:rFonts w:ascii="Arial" w:hAnsi="Arial" w:cs="Arial"/>
        </w:rPr>
        <w:t>There are 11 Fish Producer Organisations (FPOs) in the England and Wales</w:t>
      </w:r>
      <w:r w:rsidR="004E00A3">
        <w:rPr>
          <w:rFonts w:ascii="Arial" w:hAnsi="Arial" w:cs="Arial"/>
        </w:rPr>
        <w:t xml:space="preserve"> </w:t>
      </w:r>
      <w:r w:rsidR="004E00A3" w:rsidRPr="004854F9">
        <w:rPr>
          <w:rFonts w:ascii="Arial" w:hAnsi="Arial" w:cs="Arial"/>
        </w:rPr>
        <w:t>which represented 346 over 10m in length vessels in 2012 or approximately 59% of the English and Welsh over 10m fleet</w:t>
      </w:r>
      <w:r w:rsidR="004E00A3" w:rsidRPr="004854F9">
        <w:rPr>
          <w:rStyle w:val="FootnoteReference"/>
          <w:rFonts w:ascii="Arial" w:hAnsi="Arial" w:cs="Arial"/>
        </w:rPr>
        <w:footnoteReference w:id="10"/>
      </w:r>
      <w:r w:rsidR="00E82530">
        <w:rPr>
          <w:rFonts w:ascii="Arial" w:hAnsi="Arial" w:cs="Arial"/>
        </w:rPr>
        <w:t xml:space="preserve"> (MMO, 2013)</w:t>
      </w:r>
      <w:r w:rsidRPr="004E00A3">
        <w:rPr>
          <w:rFonts w:ascii="Arial" w:hAnsi="Arial" w:cs="Arial"/>
        </w:rPr>
        <w:t xml:space="preserve">. The value of landings of vessels in English and Welsh FPOs totalled £213.4m meaning those vessels who are members produce the majority of the catch by value (88%). </w:t>
      </w:r>
      <w:r w:rsidR="004E00A3" w:rsidRPr="004854F9">
        <w:rPr>
          <w:rFonts w:ascii="Arial" w:hAnsi="Arial" w:cs="Arial"/>
        </w:rPr>
        <w:t>Membership of a PO is not mandatory and of the Over 10s, there are those that belong to a PO (the Sector) and those that do not (the Non-Sector).</w:t>
      </w:r>
      <w:r w:rsidR="004E00A3">
        <w:rPr>
          <w:rFonts w:ascii="Arial" w:hAnsi="Arial" w:cs="Arial"/>
        </w:rPr>
        <w:t xml:space="preserve"> </w:t>
      </w:r>
      <w:r w:rsidR="004E00A3" w:rsidRPr="004854F9">
        <w:rPr>
          <w:rFonts w:ascii="Arial" w:hAnsi="Arial" w:cs="Arial"/>
        </w:rPr>
        <w:t>The under 10s can also join a PO to enjoy the benefits of marketing and access to quota that comes with the PO membership. However, the UK Sea Fisheries Statistics 2012 does not have figures on under 10m membership of POs (MMO, 2013) but analysis from the MMO suggests that 16 under 10m vessels are members of POs in England and Wales</w:t>
      </w:r>
      <w:r w:rsidR="00E82530">
        <w:rPr>
          <w:rFonts w:ascii="Arial" w:hAnsi="Arial" w:cs="Arial"/>
        </w:rPr>
        <w:t xml:space="preserve"> (MMO </w:t>
      </w:r>
      <w:r w:rsidR="00E82530">
        <w:rPr>
          <w:rFonts w:ascii="Arial" w:hAnsi="Arial" w:cs="Arial"/>
          <w:i/>
        </w:rPr>
        <w:t>pers. comm.)</w:t>
      </w:r>
      <w:r w:rsidR="004E00A3" w:rsidRPr="004854F9">
        <w:rPr>
          <w:rFonts w:ascii="Arial" w:hAnsi="Arial" w:cs="Arial"/>
        </w:rPr>
        <w:t>. This minimal small vessel membership is due to the cost of joining, because the vessel doesn’t have fixed tradable quotas or because they fish for non-quota species such as shellfish when their monthly quota runs out meaning the requirement for a PO is less.</w:t>
      </w:r>
    </w:p>
    <w:p w:rsidR="00DA3F65" w:rsidRDefault="001C3245" w:rsidP="003A5312">
      <w:pPr>
        <w:pStyle w:val="ListParagraph"/>
        <w:numPr>
          <w:ilvl w:val="1"/>
          <w:numId w:val="4"/>
        </w:numPr>
        <w:spacing w:after="240" w:line="276" w:lineRule="auto"/>
        <w:jc w:val="both"/>
        <w:rPr>
          <w:rFonts w:ascii="Arial" w:hAnsi="Arial" w:cs="Arial"/>
        </w:rPr>
      </w:pPr>
      <w:r>
        <w:rPr>
          <w:rFonts w:ascii="Arial" w:hAnsi="Arial" w:cs="Arial"/>
        </w:rPr>
        <w:t>T</w:t>
      </w:r>
      <w:r w:rsidR="00AA5020" w:rsidRPr="004E00A3">
        <w:rPr>
          <w:rFonts w:ascii="Arial" w:hAnsi="Arial" w:cs="Arial"/>
        </w:rPr>
        <w:t>here are 292 aquaculture sites in England and Wales</w:t>
      </w:r>
      <w:r w:rsidR="004E00A3">
        <w:rPr>
          <w:rFonts w:ascii="Arial" w:hAnsi="Arial" w:cs="Arial"/>
        </w:rPr>
        <w:t xml:space="preserve"> </w:t>
      </w:r>
      <w:r w:rsidR="004E00A3" w:rsidRPr="004854F9">
        <w:rPr>
          <w:rFonts w:ascii="Arial" w:hAnsi="Arial" w:cs="Arial"/>
        </w:rPr>
        <w:t>employing 1,006 full-time equivalent (“FTE”) people</w:t>
      </w:r>
      <w:r w:rsidR="00AA5020" w:rsidRPr="004E00A3">
        <w:rPr>
          <w:rFonts w:ascii="Arial" w:hAnsi="Arial" w:cs="Arial"/>
        </w:rPr>
        <w:t xml:space="preserve"> and in 2011 the total value of UK shellfish</w:t>
      </w:r>
      <w:r w:rsidR="00AA5020" w:rsidRPr="004E00A3">
        <w:rPr>
          <w:rStyle w:val="FootnoteReference"/>
          <w:rFonts w:ascii="Arial" w:hAnsi="Arial" w:cs="Arial"/>
        </w:rPr>
        <w:footnoteReference w:id="11"/>
      </w:r>
      <w:r w:rsidR="00AA5020" w:rsidRPr="004E00A3">
        <w:rPr>
          <w:rFonts w:ascii="Arial" w:hAnsi="Arial" w:cs="Arial"/>
        </w:rPr>
        <w:t xml:space="preserve"> produced was valued at £19.1m and in 2010 (2011 data not given) the value of aquaculture finfish</w:t>
      </w:r>
      <w:r w:rsidR="00AA5020" w:rsidRPr="004E00A3">
        <w:rPr>
          <w:rStyle w:val="FootnoteReference"/>
          <w:rFonts w:ascii="Arial" w:hAnsi="Arial" w:cs="Arial"/>
        </w:rPr>
        <w:footnoteReference w:id="12"/>
      </w:r>
      <w:r w:rsidR="00AA5020" w:rsidRPr="004E00A3">
        <w:rPr>
          <w:rFonts w:ascii="Arial" w:hAnsi="Arial" w:cs="Arial"/>
        </w:rPr>
        <w:t xml:space="preserve"> production was £484m (Seafish, 2013)</w:t>
      </w:r>
      <w:r w:rsidR="00AA5020" w:rsidRPr="004E00A3">
        <w:rPr>
          <w:rStyle w:val="FootnoteReference"/>
          <w:rFonts w:ascii="Arial" w:hAnsi="Arial" w:cs="Arial"/>
        </w:rPr>
        <w:footnoteReference w:id="13"/>
      </w:r>
      <w:r w:rsidR="00AA5020" w:rsidRPr="004E00A3">
        <w:rPr>
          <w:rFonts w:ascii="Arial" w:hAnsi="Arial" w:cs="Arial"/>
        </w:rPr>
        <w:t>. English and Welsh aquaculture businesses produced 45% of UK Shellfish and 5% of the farmed finfish by weight (Seafish, 2013) which, assuming the same value per tonne across the UK, is worth £8.6m and £24.2m per annum respectively. There is 1 Aquaculture Producer Organisation (APO) in England and Wales (Seafish 2011)</w:t>
      </w:r>
      <w:r w:rsidR="00AA5020" w:rsidRPr="004E00A3">
        <w:rPr>
          <w:rStyle w:val="FootnoteReference"/>
          <w:rFonts w:ascii="Arial" w:hAnsi="Arial" w:cs="Arial"/>
        </w:rPr>
        <w:footnoteReference w:id="14"/>
      </w:r>
      <w:r w:rsidR="00AA5020" w:rsidRPr="004E00A3">
        <w:rPr>
          <w:rFonts w:ascii="Arial" w:hAnsi="Arial" w:cs="Arial"/>
        </w:rPr>
        <w:t>.</w:t>
      </w:r>
    </w:p>
    <w:p w:rsidR="0093694C" w:rsidRPr="0093694C" w:rsidRDefault="0093694C" w:rsidP="0093694C">
      <w:pPr>
        <w:spacing w:line="276" w:lineRule="auto"/>
        <w:jc w:val="both"/>
        <w:rPr>
          <w:rFonts w:cs="Arial"/>
          <w:sz w:val="22"/>
          <w:szCs w:val="22"/>
          <w:u w:val="single"/>
        </w:rPr>
      </w:pPr>
      <w:r>
        <w:rPr>
          <w:rFonts w:cs="Arial"/>
          <w:sz w:val="16"/>
          <w:szCs w:val="16"/>
        </w:rPr>
        <w:t xml:space="preserve">Table </w:t>
      </w:r>
      <w:r w:rsidR="00B23F41">
        <w:rPr>
          <w:rFonts w:cs="Arial"/>
          <w:sz w:val="16"/>
          <w:szCs w:val="16"/>
        </w:rPr>
        <w:t>3</w:t>
      </w:r>
      <w:r w:rsidRPr="0093694C">
        <w:rPr>
          <w:rFonts w:cs="Arial"/>
          <w:sz w:val="16"/>
          <w:szCs w:val="16"/>
        </w:rPr>
        <w:t>: Producers (Fishers, Aquaculture Businesses &amp; Producer Organisations</w:t>
      </w:r>
      <w:r w:rsidRPr="0093694C">
        <w:rPr>
          <w:rFonts w:cs="Arial"/>
          <w:sz w:val="16"/>
          <w:szCs w:val="22"/>
          <w:u w:val="single"/>
        </w:rPr>
        <w:t>)</w:t>
      </w:r>
      <w:r w:rsidRPr="0093694C">
        <w:rPr>
          <w:rFonts w:cs="Arial"/>
          <w:sz w:val="16"/>
          <w:szCs w:val="16"/>
        </w:rPr>
        <w:t xml:space="preserve"> in England and Wales </w:t>
      </w:r>
      <w:r w:rsidRPr="0093694C">
        <w:rPr>
          <w:rFonts w:cs="Arial"/>
          <w:bCs/>
          <w:color w:val="000000"/>
          <w:sz w:val="16"/>
          <w:szCs w:val="16"/>
        </w:rPr>
        <w:t>(</w:t>
      </w:r>
      <w:r>
        <w:rPr>
          <w:rFonts w:cs="Arial"/>
          <w:bCs/>
          <w:color w:val="000000"/>
          <w:sz w:val="16"/>
          <w:szCs w:val="16"/>
        </w:rPr>
        <w:t>MMO 2013 &amp; Seafish 2013</w:t>
      </w:r>
      <w:r w:rsidRPr="0093694C">
        <w:rPr>
          <w:rFonts w:cs="Arial"/>
          <w:bCs/>
          <w:color w:val="000000"/>
          <w:sz w:val="16"/>
          <w:szCs w:val="16"/>
        </w:rPr>
        <w:t>).</w:t>
      </w:r>
    </w:p>
    <w:tbl>
      <w:tblPr>
        <w:tblW w:w="0" w:type="auto"/>
        <w:jc w:val="center"/>
        <w:tblLook w:val="04A0" w:firstRow="1" w:lastRow="0" w:firstColumn="1" w:lastColumn="0" w:noHBand="0" w:noVBand="1"/>
      </w:tblPr>
      <w:tblGrid>
        <w:gridCol w:w="2418"/>
        <w:gridCol w:w="2667"/>
        <w:gridCol w:w="2668"/>
        <w:gridCol w:w="2668"/>
      </w:tblGrid>
      <w:tr w:rsidR="0093694C" w:rsidRPr="0093694C" w:rsidTr="0093694C">
        <w:trPr>
          <w:trHeight w:val="283"/>
          <w:jc w:val="center"/>
        </w:trPr>
        <w:tc>
          <w:tcPr>
            <w:tcW w:w="2418" w:type="dxa"/>
            <w:tcBorders>
              <w:top w:val="single" w:sz="4" w:space="0" w:color="auto"/>
              <w:left w:val="single" w:sz="4" w:space="0" w:color="auto"/>
              <w:bottom w:val="single" w:sz="4" w:space="0" w:color="auto"/>
              <w:right w:val="single" w:sz="4" w:space="0" w:color="auto"/>
            </w:tcBorders>
            <w:vAlign w:val="center"/>
          </w:tcPr>
          <w:p w:rsidR="0093694C" w:rsidRDefault="0093694C" w:rsidP="0093694C">
            <w:pPr>
              <w:jc w:val="center"/>
              <w:rPr>
                <w:rFonts w:cs="Arial"/>
                <w:b/>
                <w:sz w:val="16"/>
                <w:szCs w:val="16"/>
                <w:lang w:eastAsia="en-GB"/>
              </w:rPr>
            </w:pPr>
            <w:r>
              <w:rPr>
                <w:rFonts w:cs="Arial"/>
                <w:b/>
                <w:sz w:val="16"/>
                <w:szCs w:val="16"/>
                <w:lang w:eastAsia="en-GB"/>
              </w:rPr>
              <w:t>Region</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94C" w:rsidRPr="0093694C" w:rsidRDefault="0093694C" w:rsidP="0093694C">
            <w:pPr>
              <w:jc w:val="center"/>
              <w:rPr>
                <w:rFonts w:cs="Arial"/>
                <w:b/>
                <w:sz w:val="16"/>
                <w:szCs w:val="16"/>
                <w:lang w:eastAsia="en-GB"/>
              </w:rPr>
            </w:pPr>
            <w:r>
              <w:rPr>
                <w:rFonts w:cs="Arial"/>
                <w:b/>
                <w:sz w:val="16"/>
                <w:szCs w:val="16"/>
                <w:lang w:eastAsia="en-GB"/>
              </w:rPr>
              <w:t>Producer Organisations (APOs &amp; FPOs)</w:t>
            </w:r>
          </w:p>
        </w:tc>
        <w:tc>
          <w:tcPr>
            <w:tcW w:w="2668" w:type="dxa"/>
            <w:tcBorders>
              <w:top w:val="single" w:sz="4" w:space="0" w:color="auto"/>
              <w:left w:val="nil"/>
              <w:bottom w:val="single" w:sz="4" w:space="0" w:color="auto"/>
              <w:right w:val="single" w:sz="4" w:space="0" w:color="auto"/>
            </w:tcBorders>
            <w:shd w:val="clear" w:color="auto" w:fill="auto"/>
            <w:vAlign w:val="center"/>
            <w:hideMark/>
          </w:tcPr>
          <w:p w:rsidR="0093694C" w:rsidRPr="0093694C" w:rsidRDefault="0093694C" w:rsidP="0093694C">
            <w:pPr>
              <w:jc w:val="center"/>
              <w:rPr>
                <w:rFonts w:cs="Arial"/>
                <w:b/>
                <w:sz w:val="16"/>
                <w:szCs w:val="16"/>
                <w:lang w:eastAsia="en-GB"/>
              </w:rPr>
            </w:pPr>
            <w:r>
              <w:rPr>
                <w:rFonts w:cs="Arial"/>
                <w:b/>
                <w:sz w:val="16"/>
                <w:szCs w:val="16"/>
                <w:lang w:eastAsia="en-GB"/>
              </w:rPr>
              <w:t>Vessels (by country registration)</w:t>
            </w:r>
          </w:p>
        </w:tc>
        <w:tc>
          <w:tcPr>
            <w:tcW w:w="2668" w:type="dxa"/>
            <w:tcBorders>
              <w:top w:val="single" w:sz="4" w:space="0" w:color="auto"/>
              <w:left w:val="nil"/>
              <w:bottom w:val="single" w:sz="4" w:space="0" w:color="auto"/>
              <w:right w:val="single" w:sz="4" w:space="0" w:color="auto"/>
            </w:tcBorders>
            <w:shd w:val="clear" w:color="auto" w:fill="auto"/>
            <w:vAlign w:val="center"/>
            <w:hideMark/>
          </w:tcPr>
          <w:p w:rsidR="0093694C" w:rsidRPr="0093694C" w:rsidRDefault="0093694C" w:rsidP="0093694C">
            <w:pPr>
              <w:jc w:val="center"/>
              <w:rPr>
                <w:rFonts w:cs="Arial"/>
                <w:b/>
                <w:sz w:val="16"/>
                <w:szCs w:val="16"/>
                <w:lang w:eastAsia="en-GB"/>
              </w:rPr>
            </w:pPr>
            <w:r w:rsidRPr="0093694C">
              <w:rPr>
                <w:rFonts w:cs="Arial"/>
                <w:b/>
                <w:sz w:val="16"/>
                <w:szCs w:val="16"/>
                <w:lang w:eastAsia="en-GB"/>
              </w:rPr>
              <w:t>Aquaculture sites</w:t>
            </w:r>
          </w:p>
        </w:tc>
      </w:tr>
      <w:tr w:rsidR="0093694C" w:rsidRPr="0093694C" w:rsidTr="00650C4E">
        <w:trPr>
          <w:trHeight w:val="283"/>
          <w:jc w:val="center"/>
        </w:trPr>
        <w:tc>
          <w:tcPr>
            <w:tcW w:w="2418" w:type="dxa"/>
            <w:tcBorders>
              <w:top w:val="single" w:sz="4" w:space="0" w:color="auto"/>
              <w:left w:val="single" w:sz="4" w:space="0" w:color="auto"/>
              <w:bottom w:val="single" w:sz="4" w:space="0" w:color="auto"/>
              <w:right w:val="single" w:sz="4" w:space="0" w:color="auto"/>
            </w:tcBorders>
            <w:vAlign w:val="center"/>
          </w:tcPr>
          <w:p w:rsidR="0093694C" w:rsidRPr="0093694C" w:rsidRDefault="0093694C" w:rsidP="0093694C">
            <w:pPr>
              <w:jc w:val="center"/>
              <w:rPr>
                <w:rFonts w:cs="Arial"/>
                <w:sz w:val="16"/>
                <w:szCs w:val="16"/>
                <w:lang w:eastAsia="en-GB"/>
              </w:rPr>
            </w:pPr>
            <w:r w:rsidRPr="0093694C">
              <w:rPr>
                <w:rFonts w:cs="Arial"/>
                <w:sz w:val="16"/>
                <w:szCs w:val="16"/>
                <w:lang w:eastAsia="en-GB"/>
              </w:rPr>
              <w:t xml:space="preserve">England </w:t>
            </w:r>
          </w:p>
        </w:tc>
        <w:tc>
          <w:tcPr>
            <w:tcW w:w="2667" w:type="dxa"/>
            <w:vMerge w:val="restart"/>
            <w:tcBorders>
              <w:top w:val="single" w:sz="4" w:space="0" w:color="auto"/>
              <w:left w:val="single" w:sz="4" w:space="0" w:color="auto"/>
              <w:right w:val="single" w:sz="4" w:space="0" w:color="auto"/>
            </w:tcBorders>
            <w:shd w:val="clear" w:color="auto" w:fill="auto"/>
            <w:vAlign w:val="center"/>
          </w:tcPr>
          <w:p w:rsidR="0093694C" w:rsidRPr="0093694C" w:rsidRDefault="0093694C" w:rsidP="0093694C">
            <w:pPr>
              <w:jc w:val="center"/>
              <w:rPr>
                <w:rFonts w:cs="Arial"/>
                <w:sz w:val="16"/>
                <w:szCs w:val="16"/>
                <w:lang w:eastAsia="en-GB"/>
              </w:rPr>
            </w:pPr>
            <w:r>
              <w:rPr>
                <w:rFonts w:cs="Arial"/>
                <w:sz w:val="16"/>
                <w:szCs w:val="16"/>
                <w:lang w:eastAsia="en-GB"/>
              </w:rPr>
              <w:t>12</w:t>
            </w:r>
          </w:p>
        </w:tc>
        <w:tc>
          <w:tcPr>
            <w:tcW w:w="2668" w:type="dxa"/>
            <w:tcBorders>
              <w:top w:val="single" w:sz="4" w:space="0" w:color="auto"/>
              <w:left w:val="nil"/>
              <w:bottom w:val="single" w:sz="4" w:space="0" w:color="auto"/>
              <w:right w:val="single" w:sz="4" w:space="0" w:color="auto"/>
            </w:tcBorders>
            <w:shd w:val="clear" w:color="auto" w:fill="auto"/>
            <w:vAlign w:val="center"/>
          </w:tcPr>
          <w:p w:rsidR="0093694C" w:rsidRPr="0093694C" w:rsidRDefault="00396E3F" w:rsidP="0093694C">
            <w:pPr>
              <w:jc w:val="center"/>
              <w:rPr>
                <w:rFonts w:cs="Arial"/>
                <w:sz w:val="16"/>
                <w:szCs w:val="16"/>
                <w:lang w:eastAsia="en-GB"/>
              </w:rPr>
            </w:pPr>
            <w:r>
              <w:rPr>
                <w:rFonts w:cs="Arial"/>
                <w:sz w:val="16"/>
                <w:szCs w:val="16"/>
                <w:lang w:eastAsia="en-GB"/>
              </w:rPr>
              <w:t>3,113</w:t>
            </w:r>
          </w:p>
        </w:tc>
        <w:tc>
          <w:tcPr>
            <w:tcW w:w="2668" w:type="dxa"/>
            <w:vMerge w:val="restart"/>
            <w:tcBorders>
              <w:top w:val="single" w:sz="4" w:space="0" w:color="auto"/>
              <w:left w:val="nil"/>
              <w:right w:val="single" w:sz="4" w:space="0" w:color="auto"/>
            </w:tcBorders>
            <w:shd w:val="clear" w:color="auto" w:fill="auto"/>
            <w:vAlign w:val="center"/>
          </w:tcPr>
          <w:p w:rsidR="0093694C" w:rsidRPr="0093694C" w:rsidRDefault="0093694C" w:rsidP="0093694C">
            <w:pPr>
              <w:jc w:val="center"/>
              <w:rPr>
                <w:rFonts w:cs="Arial"/>
                <w:sz w:val="16"/>
                <w:szCs w:val="16"/>
                <w:lang w:eastAsia="en-GB"/>
              </w:rPr>
            </w:pPr>
            <w:r>
              <w:rPr>
                <w:rFonts w:cs="Arial"/>
                <w:sz w:val="16"/>
                <w:szCs w:val="16"/>
                <w:lang w:eastAsia="en-GB"/>
              </w:rPr>
              <w:t>292</w:t>
            </w:r>
          </w:p>
        </w:tc>
      </w:tr>
      <w:tr w:rsidR="0093694C" w:rsidRPr="0093694C" w:rsidTr="00650C4E">
        <w:trPr>
          <w:trHeight w:val="283"/>
          <w:jc w:val="center"/>
        </w:trPr>
        <w:tc>
          <w:tcPr>
            <w:tcW w:w="2418" w:type="dxa"/>
            <w:tcBorders>
              <w:top w:val="single" w:sz="4" w:space="0" w:color="auto"/>
              <w:left w:val="single" w:sz="4" w:space="0" w:color="auto"/>
              <w:bottom w:val="single" w:sz="4" w:space="0" w:color="auto"/>
              <w:right w:val="single" w:sz="4" w:space="0" w:color="auto"/>
            </w:tcBorders>
            <w:vAlign w:val="center"/>
          </w:tcPr>
          <w:p w:rsidR="0093694C" w:rsidRPr="0093694C" w:rsidRDefault="0093694C" w:rsidP="0093694C">
            <w:pPr>
              <w:jc w:val="center"/>
              <w:rPr>
                <w:rFonts w:cs="Arial"/>
                <w:sz w:val="16"/>
                <w:szCs w:val="16"/>
                <w:lang w:eastAsia="en-GB"/>
              </w:rPr>
            </w:pPr>
            <w:r w:rsidRPr="0093694C">
              <w:rPr>
                <w:rFonts w:cs="Arial"/>
                <w:sz w:val="16"/>
                <w:szCs w:val="16"/>
                <w:lang w:eastAsia="en-GB"/>
              </w:rPr>
              <w:t>Wales</w:t>
            </w:r>
          </w:p>
        </w:tc>
        <w:tc>
          <w:tcPr>
            <w:tcW w:w="2667" w:type="dxa"/>
            <w:vMerge/>
            <w:tcBorders>
              <w:left w:val="single" w:sz="4" w:space="0" w:color="auto"/>
              <w:bottom w:val="single" w:sz="4" w:space="0" w:color="auto"/>
              <w:right w:val="single" w:sz="4" w:space="0" w:color="auto"/>
            </w:tcBorders>
            <w:shd w:val="clear" w:color="auto" w:fill="auto"/>
            <w:vAlign w:val="center"/>
          </w:tcPr>
          <w:p w:rsidR="0093694C" w:rsidRPr="0093694C" w:rsidRDefault="0093694C" w:rsidP="0093694C">
            <w:pPr>
              <w:jc w:val="center"/>
              <w:rPr>
                <w:rFonts w:cs="Arial"/>
                <w:sz w:val="16"/>
                <w:szCs w:val="16"/>
                <w:lang w:eastAsia="en-GB"/>
              </w:rPr>
            </w:pPr>
          </w:p>
        </w:tc>
        <w:tc>
          <w:tcPr>
            <w:tcW w:w="2668" w:type="dxa"/>
            <w:tcBorders>
              <w:top w:val="single" w:sz="4" w:space="0" w:color="auto"/>
              <w:left w:val="nil"/>
              <w:bottom w:val="single" w:sz="4" w:space="0" w:color="auto"/>
              <w:right w:val="single" w:sz="4" w:space="0" w:color="auto"/>
            </w:tcBorders>
            <w:shd w:val="clear" w:color="auto" w:fill="auto"/>
            <w:vAlign w:val="center"/>
          </w:tcPr>
          <w:p w:rsidR="0093694C" w:rsidRPr="0093694C" w:rsidRDefault="00396E3F" w:rsidP="0093694C">
            <w:pPr>
              <w:jc w:val="center"/>
              <w:rPr>
                <w:rFonts w:cs="Arial"/>
                <w:sz w:val="16"/>
                <w:szCs w:val="16"/>
                <w:lang w:eastAsia="en-GB"/>
              </w:rPr>
            </w:pPr>
            <w:r>
              <w:rPr>
                <w:rFonts w:cs="Arial"/>
                <w:sz w:val="16"/>
                <w:szCs w:val="16"/>
                <w:lang w:eastAsia="en-GB"/>
              </w:rPr>
              <w:t>479</w:t>
            </w:r>
          </w:p>
        </w:tc>
        <w:tc>
          <w:tcPr>
            <w:tcW w:w="2668" w:type="dxa"/>
            <w:vMerge/>
            <w:tcBorders>
              <w:left w:val="nil"/>
              <w:bottom w:val="single" w:sz="4" w:space="0" w:color="auto"/>
              <w:right w:val="single" w:sz="4" w:space="0" w:color="auto"/>
            </w:tcBorders>
            <w:shd w:val="clear" w:color="auto" w:fill="auto"/>
            <w:vAlign w:val="center"/>
          </w:tcPr>
          <w:p w:rsidR="0093694C" w:rsidRPr="0093694C" w:rsidRDefault="0093694C" w:rsidP="0093694C">
            <w:pPr>
              <w:jc w:val="center"/>
              <w:rPr>
                <w:rFonts w:cs="Arial"/>
                <w:sz w:val="16"/>
                <w:szCs w:val="16"/>
                <w:lang w:eastAsia="en-GB"/>
              </w:rPr>
            </w:pPr>
          </w:p>
        </w:tc>
      </w:tr>
      <w:tr w:rsidR="0093694C" w:rsidRPr="0093694C" w:rsidTr="0093694C">
        <w:trPr>
          <w:trHeight w:val="283"/>
          <w:jc w:val="center"/>
        </w:trPr>
        <w:tc>
          <w:tcPr>
            <w:tcW w:w="2418" w:type="dxa"/>
            <w:tcBorders>
              <w:top w:val="nil"/>
              <w:left w:val="single" w:sz="4" w:space="0" w:color="auto"/>
              <w:bottom w:val="single" w:sz="4" w:space="0" w:color="auto"/>
              <w:right w:val="single" w:sz="4" w:space="0" w:color="auto"/>
            </w:tcBorders>
            <w:vAlign w:val="center"/>
          </w:tcPr>
          <w:p w:rsidR="0093694C" w:rsidRPr="0093694C" w:rsidRDefault="0093694C" w:rsidP="0093694C">
            <w:pPr>
              <w:jc w:val="center"/>
              <w:rPr>
                <w:rFonts w:cs="Arial"/>
                <w:b/>
                <w:sz w:val="16"/>
                <w:szCs w:val="16"/>
                <w:lang w:eastAsia="en-GB"/>
              </w:rPr>
            </w:pPr>
            <w:r w:rsidRPr="0093694C">
              <w:rPr>
                <w:rFonts w:cs="Arial"/>
                <w:b/>
                <w:sz w:val="16"/>
                <w:szCs w:val="16"/>
                <w:lang w:eastAsia="en-GB"/>
              </w:rPr>
              <w:t>Total</w:t>
            </w:r>
          </w:p>
        </w:tc>
        <w:tc>
          <w:tcPr>
            <w:tcW w:w="2667" w:type="dxa"/>
            <w:tcBorders>
              <w:top w:val="nil"/>
              <w:left w:val="single" w:sz="4" w:space="0" w:color="auto"/>
              <w:bottom w:val="single" w:sz="4" w:space="0" w:color="auto"/>
              <w:right w:val="single" w:sz="4" w:space="0" w:color="auto"/>
            </w:tcBorders>
            <w:shd w:val="clear" w:color="auto" w:fill="auto"/>
            <w:noWrap/>
            <w:vAlign w:val="center"/>
            <w:hideMark/>
          </w:tcPr>
          <w:p w:rsidR="0093694C" w:rsidRPr="0093694C" w:rsidRDefault="0093694C" w:rsidP="0093694C">
            <w:pPr>
              <w:jc w:val="center"/>
              <w:rPr>
                <w:rFonts w:cs="Arial"/>
                <w:b/>
                <w:sz w:val="16"/>
                <w:szCs w:val="16"/>
                <w:lang w:eastAsia="en-GB"/>
              </w:rPr>
            </w:pPr>
            <w:r w:rsidRPr="0093694C">
              <w:rPr>
                <w:rFonts w:cs="Arial"/>
                <w:b/>
                <w:sz w:val="16"/>
                <w:szCs w:val="16"/>
                <w:lang w:eastAsia="en-GB"/>
              </w:rPr>
              <w:t>12</w:t>
            </w:r>
          </w:p>
        </w:tc>
        <w:tc>
          <w:tcPr>
            <w:tcW w:w="2668" w:type="dxa"/>
            <w:tcBorders>
              <w:top w:val="nil"/>
              <w:left w:val="nil"/>
              <w:bottom w:val="single" w:sz="4" w:space="0" w:color="auto"/>
              <w:right w:val="single" w:sz="4" w:space="0" w:color="auto"/>
            </w:tcBorders>
            <w:shd w:val="clear" w:color="auto" w:fill="auto"/>
            <w:noWrap/>
            <w:vAlign w:val="center"/>
            <w:hideMark/>
          </w:tcPr>
          <w:p w:rsidR="0093694C" w:rsidRPr="0093694C" w:rsidRDefault="0093694C" w:rsidP="0093694C">
            <w:pPr>
              <w:jc w:val="center"/>
              <w:rPr>
                <w:rFonts w:cs="Arial"/>
                <w:b/>
                <w:sz w:val="16"/>
                <w:szCs w:val="16"/>
                <w:lang w:eastAsia="en-GB"/>
              </w:rPr>
            </w:pPr>
            <w:r w:rsidRPr="0093694C">
              <w:rPr>
                <w:rFonts w:cs="Arial"/>
                <w:b/>
                <w:sz w:val="16"/>
                <w:szCs w:val="16"/>
                <w:lang w:eastAsia="en-GB"/>
              </w:rPr>
              <w:t>3</w:t>
            </w:r>
            <w:r w:rsidR="00396E3F">
              <w:rPr>
                <w:rFonts w:cs="Arial"/>
                <w:b/>
                <w:sz w:val="16"/>
                <w:szCs w:val="16"/>
                <w:lang w:eastAsia="en-GB"/>
              </w:rPr>
              <w:t>,</w:t>
            </w:r>
            <w:r w:rsidRPr="0093694C">
              <w:rPr>
                <w:rFonts w:cs="Arial"/>
                <w:b/>
                <w:sz w:val="16"/>
                <w:szCs w:val="16"/>
                <w:lang w:eastAsia="en-GB"/>
              </w:rPr>
              <w:t>592</w:t>
            </w:r>
          </w:p>
        </w:tc>
        <w:tc>
          <w:tcPr>
            <w:tcW w:w="2668" w:type="dxa"/>
            <w:tcBorders>
              <w:top w:val="nil"/>
              <w:left w:val="nil"/>
              <w:bottom w:val="single" w:sz="4" w:space="0" w:color="auto"/>
              <w:right w:val="single" w:sz="4" w:space="0" w:color="auto"/>
            </w:tcBorders>
            <w:shd w:val="clear" w:color="auto" w:fill="auto"/>
            <w:noWrap/>
            <w:vAlign w:val="center"/>
            <w:hideMark/>
          </w:tcPr>
          <w:p w:rsidR="0093694C" w:rsidRPr="0093694C" w:rsidRDefault="0093694C" w:rsidP="0093694C">
            <w:pPr>
              <w:jc w:val="center"/>
              <w:rPr>
                <w:rFonts w:cs="Arial"/>
                <w:b/>
                <w:sz w:val="16"/>
                <w:szCs w:val="16"/>
                <w:lang w:eastAsia="en-GB"/>
              </w:rPr>
            </w:pPr>
            <w:r w:rsidRPr="0093694C">
              <w:rPr>
                <w:rFonts w:cs="Arial"/>
                <w:b/>
                <w:sz w:val="16"/>
                <w:szCs w:val="16"/>
                <w:lang w:eastAsia="en-GB"/>
              </w:rPr>
              <w:t>292</w:t>
            </w:r>
          </w:p>
        </w:tc>
      </w:tr>
    </w:tbl>
    <w:p w:rsidR="00DA3F65" w:rsidRPr="00B23F41" w:rsidRDefault="00B23F41" w:rsidP="00B23F41">
      <w:pPr>
        <w:spacing w:before="240" w:after="240" w:line="276" w:lineRule="auto"/>
        <w:jc w:val="both"/>
        <w:rPr>
          <w:rFonts w:cs="Arial"/>
        </w:rPr>
      </w:pPr>
      <w:r>
        <w:rPr>
          <w:rFonts w:cs="Arial"/>
        </w:rPr>
        <w:lastRenderedPageBreak/>
        <w:t xml:space="preserve"> </w:t>
      </w:r>
      <w:r w:rsidR="00DA3F65" w:rsidRPr="004854F9">
        <w:rPr>
          <w:rFonts w:cs="Arial"/>
          <w:sz w:val="22"/>
          <w:szCs w:val="22"/>
          <w:u w:val="single"/>
        </w:rPr>
        <w:t>Fish Processors and Inter-branch Organisations</w:t>
      </w:r>
    </w:p>
    <w:p w:rsidR="0093694C" w:rsidRDefault="00DA3F65" w:rsidP="00610F70">
      <w:pPr>
        <w:pStyle w:val="ListParagraph"/>
        <w:numPr>
          <w:ilvl w:val="1"/>
          <w:numId w:val="4"/>
        </w:numPr>
        <w:autoSpaceDE w:val="0"/>
        <w:autoSpaceDN w:val="0"/>
        <w:adjustRightInd w:val="0"/>
        <w:spacing w:line="276" w:lineRule="auto"/>
        <w:contextualSpacing/>
        <w:jc w:val="both"/>
        <w:rPr>
          <w:rFonts w:ascii="Arial" w:hAnsi="Arial" w:cs="Arial"/>
        </w:rPr>
      </w:pPr>
      <w:r w:rsidRPr="004854F9">
        <w:rPr>
          <w:rFonts w:ascii="Arial" w:hAnsi="Arial" w:cs="Arial"/>
        </w:rPr>
        <w:t>Seafood Scotland is the UKs only formally recognised Inter</w:t>
      </w:r>
      <w:r w:rsidR="009D475C" w:rsidRPr="004854F9">
        <w:rPr>
          <w:rFonts w:ascii="Arial" w:hAnsi="Arial" w:cs="Arial"/>
        </w:rPr>
        <w:t>-</w:t>
      </w:r>
      <w:r w:rsidRPr="004854F9">
        <w:rPr>
          <w:rFonts w:ascii="Arial" w:hAnsi="Arial" w:cs="Arial"/>
        </w:rPr>
        <w:t>branch Organisation</w:t>
      </w:r>
      <w:r w:rsidR="00FA3ED1" w:rsidRPr="004854F9">
        <w:rPr>
          <w:rFonts w:ascii="Arial" w:hAnsi="Arial" w:cs="Arial"/>
        </w:rPr>
        <w:t xml:space="preserve"> </w:t>
      </w:r>
      <w:r w:rsidRPr="004854F9">
        <w:rPr>
          <w:rFonts w:ascii="Arial" w:hAnsi="Arial" w:cs="Arial"/>
        </w:rPr>
        <w:t>for fishery and aquaculture products</w:t>
      </w:r>
      <w:r w:rsidR="009D475C" w:rsidRPr="004854F9">
        <w:rPr>
          <w:rStyle w:val="FootnoteReference"/>
          <w:rFonts w:ascii="Arial" w:hAnsi="Arial" w:cs="Arial"/>
        </w:rPr>
        <w:footnoteReference w:id="15"/>
      </w:r>
      <w:r w:rsidR="00B10CB3" w:rsidRPr="004854F9">
        <w:rPr>
          <w:rFonts w:ascii="Arial" w:hAnsi="Arial" w:cs="Arial"/>
        </w:rPr>
        <w:t>, therefore IBOs are outside the scope of this Impact Assessment</w:t>
      </w:r>
      <w:r w:rsidRPr="004854F9">
        <w:rPr>
          <w:rFonts w:ascii="Arial" w:hAnsi="Arial" w:cs="Arial"/>
        </w:rPr>
        <w:t xml:space="preserve">. </w:t>
      </w:r>
      <w:r w:rsidR="00B93713" w:rsidRPr="004854F9">
        <w:rPr>
          <w:rFonts w:ascii="Arial" w:hAnsi="Arial" w:cs="Arial"/>
        </w:rPr>
        <w:t>F</w:t>
      </w:r>
      <w:r w:rsidRPr="004854F9">
        <w:rPr>
          <w:rFonts w:ascii="Arial" w:hAnsi="Arial" w:cs="Arial"/>
        </w:rPr>
        <w:t>ish processers</w:t>
      </w:r>
      <w:r w:rsidR="00E80DDC" w:rsidRPr="004854F9">
        <w:rPr>
          <w:rFonts w:ascii="Arial" w:hAnsi="Arial" w:cs="Arial"/>
        </w:rPr>
        <w:t xml:space="preserve"> and preservers</w:t>
      </w:r>
      <w:r w:rsidRPr="004854F9">
        <w:rPr>
          <w:rFonts w:ascii="Arial" w:hAnsi="Arial" w:cs="Arial"/>
        </w:rPr>
        <w:t xml:space="preserve"> will also be affected by reform of the CMO due to the new </w:t>
      </w:r>
      <w:r w:rsidR="009D475C" w:rsidRPr="004854F9">
        <w:rPr>
          <w:rFonts w:ascii="Arial" w:hAnsi="Arial" w:cs="Arial"/>
        </w:rPr>
        <w:t xml:space="preserve">labelling requirements and the need to obtain this information from further </w:t>
      </w:r>
      <w:r w:rsidR="00190399" w:rsidRPr="004854F9">
        <w:rPr>
          <w:rFonts w:ascii="Arial" w:hAnsi="Arial" w:cs="Arial"/>
        </w:rPr>
        <w:t xml:space="preserve">along </w:t>
      </w:r>
      <w:r w:rsidR="009D475C" w:rsidRPr="004854F9">
        <w:rPr>
          <w:rFonts w:ascii="Arial" w:hAnsi="Arial" w:cs="Arial"/>
        </w:rPr>
        <w:t>the supply chain</w:t>
      </w:r>
      <w:r w:rsidRPr="004854F9">
        <w:rPr>
          <w:rFonts w:ascii="Arial" w:hAnsi="Arial" w:cs="Arial"/>
        </w:rPr>
        <w:t xml:space="preserve">.  </w:t>
      </w:r>
      <w:r w:rsidR="00B9469C" w:rsidRPr="004854F9">
        <w:rPr>
          <w:rFonts w:ascii="Arial" w:hAnsi="Arial" w:cs="Arial"/>
        </w:rPr>
        <w:t xml:space="preserve">A report on the Seafood Processing industries estimates that processors employ </w:t>
      </w:r>
      <w:r w:rsidR="008579E1">
        <w:rPr>
          <w:rFonts w:ascii="Arial" w:hAnsi="Arial" w:cs="Arial"/>
        </w:rPr>
        <w:t>6,579</w:t>
      </w:r>
      <w:r w:rsidR="00B9469C" w:rsidRPr="004854F9">
        <w:rPr>
          <w:rFonts w:ascii="Arial" w:hAnsi="Arial" w:cs="Arial"/>
        </w:rPr>
        <w:t xml:space="preserve"> FTE people in England and Wales (Seafish, 2012)</w:t>
      </w:r>
      <w:r w:rsidR="001A1090">
        <w:rPr>
          <w:rStyle w:val="FootnoteReference"/>
          <w:rFonts w:ascii="Arial" w:hAnsi="Arial" w:cs="Arial"/>
        </w:rPr>
        <w:footnoteReference w:id="16"/>
      </w:r>
      <w:r w:rsidR="00B9469C" w:rsidRPr="004854F9">
        <w:rPr>
          <w:rFonts w:ascii="Arial" w:hAnsi="Arial" w:cs="Arial"/>
        </w:rPr>
        <w:t>.</w:t>
      </w:r>
      <w:r w:rsidR="008B6233" w:rsidRPr="004854F9">
        <w:rPr>
          <w:rFonts w:ascii="Arial" w:hAnsi="Arial" w:cs="Arial"/>
        </w:rPr>
        <w:t xml:space="preserve"> </w:t>
      </w:r>
      <w:r w:rsidR="00AE30F5" w:rsidRPr="004854F9">
        <w:rPr>
          <w:rFonts w:ascii="Arial" w:hAnsi="Arial" w:cs="Arial"/>
        </w:rPr>
        <w:t>The following table quantifies</w:t>
      </w:r>
      <w:r w:rsidR="008B6233" w:rsidRPr="004854F9">
        <w:rPr>
          <w:rFonts w:ascii="Arial" w:hAnsi="Arial" w:cs="Arial"/>
        </w:rPr>
        <w:t xml:space="preserve"> the number of seafood processors in the England and Wales</w:t>
      </w:r>
      <w:r w:rsidR="00AE30F5" w:rsidRPr="004854F9">
        <w:rPr>
          <w:rFonts w:ascii="Arial" w:hAnsi="Arial" w:cs="Arial"/>
        </w:rPr>
        <w:t>.</w:t>
      </w:r>
    </w:p>
    <w:p w:rsidR="00610F70" w:rsidRPr="00610F70" w:rsidRDefault="00610F70" w:rsidP="00610F70">
      <w:pPr>
        <w:pStyle w:val="ListParagraph"/>
        <w:autoSpaceDE w:val="0"/>
        <w:autoSpaceDN w:val="0"/>
        <w:adjustRightInd w:val="0"/>
        <w:spacing w:line="276" w:lineRule="auto"/>
        <w:ind w:left="420"/>
        <w:contextualSpacing/>
        <w:jc w:val="both"/>
        <w:rPr>
          <w:rFonts w:ascii="Arial" w:hAnsi="Arial" w:cs="Arial"/>
        </w:rPr>
      </w:pPr>
    </w:p>
    <w:p w:rsidR="0068009D" w:rsidRPr="0068009D" w:rsidRDefault="00B23F41" w:rsidP="00251677">
      <w:pPr>
        <w:jc w:val="center"/>
        <w:rPr>
          <w:rFonts w:cs="Arial"/>
          <w:bCs/>
          <w:color w:val="000000"/>
          <w:sz w:val="16"/>
          <w:szCs w:val="16"/>
        </w:rPr>
      </w:pPr>
      <w:r>
        <w:rPr>
          <w:rFonts w:cs="Arial"/>
          <w:sz w:val="16"/>
          <w:szCs w:val="16"/>
        </w:rPr>
        <w:t>Table 4</w:t>
      </w:r>
      <w:r w:rsidR="0068009D" w:rsidRPr="0068009D">
        <w:rPr>
          <w:rFonts w:cs="Arial"/>
          <w:sz w:val="16"/>
          <w:szCs w:val="16"/>
        </w:rPr>
        <w:t xml:space="preserve">: Seafood processors and preservers in England and Wales </w:t>
      </w:r>
      <w:r w:rsidR="0068009D" w:rsidRPr="0068009D">
        <w:rPr>
          <w:rFonts w:cs="Arial"/>
          <w:bCs/>
          <w:color w:val="000000"/>
          <w:sz w:val="16"/>
          <w:szCs w:val="16"/>
        </w:rPr>
        <w:t>(Interdepartmental Business Register (IDBR) 2011/12 supplemented by data from Defra 2013)</w:t>
      </w:r>
      <w:r w:rsidR="0068009D" w:rsidRPr="0068009D">
        <w:rPr>
          <w:rStyle w:val="FootnoteReference"/>
          <w:rFonts w:cs="Arial"/>
          <w:sz w:val="16"/>
          <w:szCs w:val="16"/>
        </w:rPr>
        <w:footnoteReference w:id="17"/>
      </w:r>
      <w:r w:rsidR="0068009D" w:rsidRPr="0068009D">
        <w:rPr>
          <w:rFonts w:cs="Arial"/>
          <w:bCs/>
          <w:color w:val="000000"/>
          <w:sz w:val="16"/>
          <w:szCs w:val="16"/>
        </w:rPr>
        <w:t>.</w:t>
      </w:r>
    </w:p>
    <w:tbl>
      <w:tblPr>
        <w:tblW w:w="9080" w:type="dxa"/>
        <w:jc w:val="center"/>
        <w:tblInd w:w="93" w:type="dxa"/>
        <w:tblLook w:val="04A0" w:firstRow="1" w:lastRow="0" w:firstColumn="1" w:lastColumn="0" w:noHBand="0" w:noVBand="1"/>
      </w:tblPr>
      <w:tblGrid>
        <w:gridCol w:w="1480"/>
        <w:gridCol w:w="1280"/>
        <w:gridCol w:w="1660"/>
        <w:gridCol w:w="2080"/>
        <w:gridCol w:w="1500"/>
        <w:gridCol w:w="1080"/>
      </w:tblGrid>
      <w:tr w:rsidR="0068009D" w:rsidRPr="0068009D" w:rsidTr="006957C5">
        <w:trPr>
          <w:trHeight w:val="283"/>
          <w:jc w:val="center"/>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09D" w:rsidRPr="0068009D" w:rsidRDefault="0068009D" w:rsidP="00251677">
            <w:pPr>
              <w:jc w:val="center"/>
              <w:rPr>
                <w:rFonts w:cs="Arial"/>
                <w:b/>
                <w:bCs/>
                <w:sz w:val="16"/>
                <w:szCs w:val="16"/>
              </w:rPr>
            </w:pPr>
            <w:r w:rsidRPr="0068009D">
              <w:rPr>
                <w:rFonts w:cs="Arial"/>
                <w:b/>
                <w:bCs/>
                <w:sz w:val="16"/>
                <w:szCs w:val="16"/>
              </w:rPr>
              <w:t>Region/size (employees)</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009D" w:rsidRPr="0068009D" w:rsidRDefault="0068009D" w:rsidP="00251677">
            <w:pPr>
              <w:jc w:val="center"/>
              <w:rPr>
                <w:rFonts w:cs="Arial"/>
                <w:b/>
                <w:bCs/>
                <w:sz w:val="16"/>
                <w:szCs w:val="16"/>
              </w:rPr>
            </w:pPr>
            <w:r w:rsidRPr="0068009D">
              <w:rPr>
                <w:rFonts w:cs="Arial"/>
                <w:b/>
                <w:bCs/>
                <w:sz w:val="16"/>
                <w:szCs w:val="16"/>
              </w:rPr>
              <w:t>Micro (0-9)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8009D" w:rsidRPr="0068009D" w:rsidRDefault="0068009D" w:rsidP="00251677">
            <w:pPr>
              <w:jc w:val="center"/>
              <w:rPr>
                <w:rFonts w:cs="Arial"/>
                <w:b/>
                <w:bCs/>
                <w:sz w:val="16"/>
                <w:szCs w:val="16"/>
              </w:rPr>
            </w:pPr>
            <w:r w:rsidRPr="0068009D">
              <w:rPr>
                <w:rFonts w:cs="Arial"/>
                <w:b/>
                <w:bCs/>
                <w:sz w:val="16"/>
                <w:szCs w:val="16"/>
              </w:rPr>
              <w:t>Small (10 - 49)</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68009D" w:rsidRPr="0068009D" w:rsidRDefault="0068009D" w:rsidP="00251677">
            <w:pPr>
              <w:jc w:val="center"/>
              <w:rPr>
                <w:rFonts w:cs="Arial"/>
                <w:b/>
                <w:bCs/>
                <w:sz w:val="16"/>
                <w:szCs w:val="16"/>
              </w:rPr>
            </w:pPr>
            <w:r w:rsidRPr="0068009D">
              <w:rPr>
                <w:rFonts w:cs="Arial"/>
                <w:b/>
                <w:bCs/>
                <w:sz w:val="16"/>
                <w:szCs w:val="16"/>
              </w:rPr>
              <w:t>Medium (50 - 249)</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68009D" w:rsidRPr="0068009D" w:rsidRDefault="0068009D" w:rsidP="00251677">
            <w:pPr>
              <w:jc w:val="center"/>
              <w:rPr>
                <w:rFonts w:cs="Arial"/>
                <w:b/>
                <w:bCs/>
                <w:sz w:val="16"/>
                <w:szCs w:val="16"/>
              </w:rPr>
            </w:pPr>
            <w:r w:rsidRPr="0068009D">
              <w:rPr>
                <w:rFonts w:cs="Arial"/>
                <w:b/>
                <w:bCs/>
                <w:sz w:val="16"/>
                <w:szCs w:val="16"/>
              </w:rPr>
              <w:t>Large (250+)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8009D" w:rsidRPr="0068009D" w:rsidRDefault="0068009D" w:rsidP="00251677">
            <w:pPr>
              <w:jc w:val="center"/>
              <w:rPr>
                <w:rFonts w:cs="Arial"/>
                <w:b/>
                <w:bCs/>
                <w:sz w:val="16"/>
                <w:szCs w:val="16"/>
              </w:rPr>
            </w:pPr>
            <w:r w:rsidRPr="0068009D">
              <w:rPr>
                <w:rFonts w:cs="Arial"/>
                <w:b/>
                <w:bCs/>
                <w:sz w:val="16"/>
                <w:szCs w:val="16"/>
              </w:rPr>
              <w:t>Total</w:t>
            </w:r>
          </w:p>
        </w:tc>
      </w:tr>
      <w:tr w:rsidR="0068009D" w:rsidRPr="0068009D" w:rsidTr="006957C5">
        <w:trPr>
          <w:trHeight w:val="283"/>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68009D" w:rsidRPr="0068009D" w:rsidRDefault="0068009D" w:rsidP="00251677">
            <w:pPr>
              <w:jc w:val="center"/>
              <w:rPr>
                <w:rFonts w:cs="Arial"/>
                <w:b/>
                <w:bCs/>
                <w:sz w:val="16"/>
                <w:szCs w:val="16"/>
              </w:rPr>
            </w:pPr>
            <w:r w:rsidRPr="0068009D">
              <w:rPr>
                <w:rFonts w:cs="Arial"/>
                <w:b/>
                <w:bCs/>
                <w:sz w:val="16"/>
                <w:szCs w:val="16"/>
              </w:rPr>
              <w:t>England</w:t>
            </w:r>
          </w:p>
        </w:tc>
        <w:tc>
          <w:tcPr>
            <w:tcW w:w="1280" w:type="dxa"/>
            <w:tcBorders>
              <w:top w:val="nil"/>
              <w:left w:val="nil"/>
              <w:bottom w:val="single" w:sz="4" w:space="0" w:color="auto"/>
              <w:right w:val="single" w:sz="4" w:space="0" w:color="auto"/>
            </w:tcBorders>
            <w:shd w:val="clear" w:color="auto" w:fill="auto"/>
            <w:noWrap/>
            <w:vAlign w:val="center"/>
            <w:hideMark/>
          </w:tcPr>
          <w:p w:rsidR="0068009D" w:rsidRPr="0068009D" w:rsidRDefault="0068009D" w:rsidP="00251677">
            <w:pPr>
              <w:jc w:val="center"/>
              <w:rPr>
                <w:rFonts w:cs="Arial"/>
                <w:sz w:val="16"/>
                <w:szCs w:val="16"/>
              </w:rPr>
            </w:pPr>
            <w:r w:rsidRPr="0068009D">
              <w:rPr>
                <w:rFonts w:cs="Arial"/>
                <w:sz w:val="16"/>
                <w:szCs w:val="16"/>
              </w:rPr>
              <w:t>105</w:t>
            </w:r>
          </w:p>
        </w:tc>
        <w:tc>
          <w:tcPr>
            <w:tcW w:w="1660" w:type="dxa"/>
            <w:tcBorders>
              <w:top w:val="nil"/>
              <w:left w:val="nil"/>
              <w:bottom w:val="single" w:sz="4" w:space="0" w:color="auto"/>
              <w:right w:val="single" w:sz="4" w:space="0" w:color="auto"/>
            </w:tcBorders>
            <w:shd w:val="clear" w:color="auto" w:fill="auto"/>
            <w:noWrap/>
            <w:vAlign w:val="center"/>
            <w:hideMark/>
          </w:tcPr>
          <w:p w:rsidR="0068009D" w:rsidRPr="0068009D" w:rsidRDefault="0068009D" w:rsidP="00251677">
            <w:pPr>
              <w:jc w:val="center"/>
              <w:rPr>
                <w:rFonts w:cs="Arial"/>
                <w:sz w:val="16"/>
                <w:szCs w:val="16"/>
              </w:rPr>
            </w:pPr>
            <w:r w:rsidRPr="0068009D">
              <w:rPr>
                <w:rFonts w:cs="Arial"/>
                <w:sz w:val="16"/>
                <w:szCs w:val="16"/>
              </w:rPr>
              <w:t>45</w:t>
            </w:r>
          </w:p>
        </w:tc>
        <w:tc>
          <w:tcPr>
            <w:tcW w:w="2080" w:type="dxa"/>
            <w:tcBorders>
              <w:top w:val="nil"/>
              <w:left w:val="nil"/>
              <w:bottom w:val="single" w:sz="4" w:space="0" w:color="auto"/>
              <w:right w:val="single" w:sz="4" w:space="0" w:color="auto"/>
            </w:tcBorders>
            <w:shd w:val="clear" w:color="auto" w:fill="auto"/>
            <w:noWrap/>
            <w:vAlign w:val="center"/>
            <w:hideMark/>
          </w:tcPr>
          <w:p w:rsidR="0068009D" w:rsidRPr="0068009D" w:rsidRDefault="0068009D" w:rsidP="00251677">
            <w:pPr>
              <w:jc w:val="center"/>
              <w:rPr>
                <w:rFonts w:cs="Arial"/>
                <w:sz w:val="16"/>
                <w:szCs w:val="16"/>
              </w:rPr>
            </w:pPr>
            <w:r w:rsidRPr="0068009D">
              <w:rPr>
                <w:rFonts w:cs="Arial"/>
                <w:sz w:val="16"/>
                <w:szCs w:val="16"/>
              </w:rPr>
              <w:t>20</w:t>
            </w:r>
          </w:p>
        </w:tc>
        <w:tc>
          <w:tcPr>
            <w:tcW w:w="1500" w:type="dxa"/>
            <w:tcBorders>
              <w:top w:val="nil"/>
              <w:left w:val="nil"/>
              <w:bottom w:val="single" w:sz="4" w:space="0" w:color="auto"/>
              <w:right w:val="single" w:sz="4" w:space="0" w:color="auto"/>
            </w:tcBorders>
            <w:shd w:val="clear" w:color="auto" w:fill="auto"/>
            <w:noWrap/>
            <w:vAlign w:val="center"/>
            <w:hideMark/>
          </w:tcPr>
          <w:p w:rsidR="0068009D" w:rsidRPr="0068009D" w:rsidRDefault="0068009D" w:rsidP="00251677">
            <w:pPr>
              <w:jc w:val="center"/>
              <w:rPr>
                <w:rFonts w:cs="Arial"/>
                <w:sz w:val="16"/>
                <w:szCs w:val="16"/>
              </w:rPr>
            </w:pPr>
            <w:r w:rsidRPr="0068009D">
              <w:rPr>
                <w:rFonts w:cs="Arial"/>
                <w:sz w:val="16"/>
                <w:szCs w:val="16"/>
              </w:rPr>
              <w:t>5</w:t>
            </w:r>
          </w:p>
        </w:tc>
        <w:tc>
          <w:tcPr>
            <w:tcW w:w="1080" w:type="dxa"/>
            <w:tcBorders>
              <w:top w:val="nil"/>
              <w:left w:val="nil"/>
              <w:bottom w:val="single" w:sz="4" w:space="0" w:color="auto"/>
              <w:right w:val="single" w:sz="4" w:space="0" w:color="auto"/>
            </w:tcBorders>
            <w:shd w:val="clear" w:color="auto" w:fill="auto"/>
            <w:noWrap/>
            <w:vAlign w:val="center"/>
            <w:hideMark/>
          </w:tcPr>
          <w:p w:rsidR="0068009D" w:rsidRPr="0068009D" w:rsidRDefault="0068009D" w:rsidP="00251677">
            <w:pPr>
              <w:jc w:val="center"/>
              <w:rPr>
                <w:rFonts w:cs="Arial"/>
                <w:b/>
                <w:sz w:val="16"/>
                <w:szCs w:val="16"/>
              </w:rPr>
            </w:pPr>
            <w:r w:rsidRPr="0068009D">
              <w:rPr>
                <w:rFonts w:cs="Arial"/>
                <w:b/>
                <w:sz w:val="16"/>
                <w:szCs w:val="16"/>
              </w:rPr>
              <w:t>175</w:t>
            </w:r>
          </w:p>
        </w:tc>
      </w:tr>
      <w:tr w:rsidR="0068009D" w:rsidRPr="0068009D" w:rsidTr="006957C5">
        <w:trPr>
          <w:trHeight w:val="283"/>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68009D" w:rsidRPr="0068009D" w:rsidRDefault="0068009D" w:rsidP="00251677">
            <w:pPr>
              <w:jc w:val="center"/>
              <w:rPr>
                <w:rFonts w:cs="Arial"/>
                <w:b/>
                <w:bCs/>
                <w:sz w:val="16"/>
                <w:szCs w:val="16"/>
              </w:rPr>
            </w:pPr>
            <w:r w:rsidRPr="0068009D">
              <w:rPr>
                <w:rFonts w:cs="Arial"/>
                <w:b/>
                <w:bCs/>
                <w:sz w:val="16"/>
                <w:szCs w:val="16"/>
              </w:rPr>
              <w:t>Wales</w:t>
            </w:r>
          </w:p>
        </w:tc>
        <w:tc>
          <w:tcPr>
            <w:tcW w:w="1280" w:type="dxa"/>
            <w:tcBorders>
              <w:top w:val="nil"/>
              <w:left w:val="nil"/>
              <w:bottom w:val="single" w:sz="4" w:space="0" w:color="auto"/>
              <w:right w:val="single" w:sz="4" w:space="0" w:color="auto"/>
            </w:tcBorders>
            <w:shd w:val="clear" w:color="auto" w:fill="auto"/>
            <w:noWrap/>
            <w:vAlign w:val="center"/>
            <w:hideMark/>
          </w:tcPr>
          <w:p w:rsidR="0068009D" w:rsidRPr="0068009D" w:rsidRDefault="0068009D" w:rsidP="00251677">
            <w:pPr>
              <w:jc w:val="center"/>
              <w:rPr>
                <w:rFonts w:cs="Arial"/>
                <w:sz w:val="16"/>
                <w:szCs w:val="16"/>
              </w:rPr>
            </w:pPr>
            <w:r w:rsidRPr="0068009D">
              <w:rPr>
                <w:rFonts w:cs="Arial"/>
                <w:sz w:val="16"/>
                <w:szCs w:val="16"/>
              </w:rPr>
              <w:t>3</w:t>
            </w:r>
          </w:p>
        </w:tc>
        <w:tc>
          <w:tcPr>
            <w:tcW w:w="1660" w:type="dxa"/>
            <w:tcBorders>
              <w:top w:val="nil"/>
              <w:left w:val="nil"/>
              <w:bottom w:val="single" w:sz="4" w:space="0" w:color="auto"/>
              <w:right w:val="single" w:sz="4" w:space="0" w:color="auto"/>
            </w:tcBorders>
            <w:shd w:val="clear" w:color="auto" w:fill="auto"/>
            <w:noWrap/>
            <w:vAlign w:val="center"/>
            <w:hideMark/>
          </w:tcPr>
          <w:p w:rsidR="0068009D" w:rsidRPr="0068009D" w:rsidRDefault="0068009D" w:rsidP="00251677">
            <w:pPr>
              <w:jc w:val="center"/>
              <w:rPr>
                <w:rFonts w:cs="Arial"/>
                <w:sz w:val="16"/>
                <w:szCs w:val="16"/>
              </w:rPr>
            </w:pPr>
            <w:r w:rsidRPr="0068009D">
              <w:rPr>
                <w:rFonts w:cs="Arial"/>
                <w:sz w:val="16"/>
                <w:szCs w:val="16"/>
              </w:rPr>
              <w:t>1</w:t>
            </w:r>
          </w:p>
        </w:tc>
        <w:tc>
          <w:tcPr>
            <w:tcW w:w="2080" w:type="dxa"/>
            <w:tcBorders>
              <w:top w:val="nil"/>
              <w:left w:val="nil"/>
              <w:bottom w:val="single" w:sz="4" w:space="0" w:color="auto"/>
              <w:right w:val="single" w:sz="4" w:space="0" w:color="auto"/>
            </w:tcBorders>
            <w:shd w:val="clear" w:color="auto" w:fill="auto"/>
            <w:noWrap/>
            <w:vAlign w:val="center"/>
            <w:hideMark/>
          </w:tcPr>
          <w:p w:rsidR="0068009D" w:rsidRPr="0068009D" w:rsidRDefault="0068009D" w:rsidP="00251677">
            <w:pPr>
              <w:jc w:val="center"/>
              <w:rPr>
                <w:rFonts w:cs="Arial"/>
                <w:sz w:val="16"/>
                <w:szCs w:val="16"/>
              </w:rPr>
            </w:pPr>
            <w:r w:rsidRPr="0068009D">
              <w:rPr>
                <w:rFonts w:cs="Arial"/>
                <w:sz w:val="16"/>
                <w:szCs w:val="16"/>
              </w:rPr>
              <w:t>1</w:t>
            </w:r>
          </w:p>
        </w:tc>
        <w:tc>
          <w:tcPr>
            <w:tcW w:w="1500" w:type="dxa"/>
            <w:tcBorders>
              <w:top w:val="nil"/>
              <w:left w:val="nil"/>
              <w:bottom w:val="single" w:sz="4" w:space="0" w:color="auto"/>
              <w:right w:val="single" w:sz="4" w:space="0" w:color="auto"/>
            </w:tcBorders>
            <w:shd w:val="clear" w:color="auto" w:fill="auto"/>
            <w:noWrap/>
            <w:vAlign w:val="center"/>
            <w:hideMark/>
          </w:tcPr>
          <w:p w:rsidR="0068009D" w:rsidRPr="0068009D" w:rsidRDefault="0068009D" w:rsidP="00251677">
            <w:pPr>
              <w:jc w:val="center"/>
              <w:rPr>
                <w:rFonts w:cs="Arial"/>
                <w:sz w:val="16"/>
                <w:szCs w:val="16"/>
              </w:rPr>
            </w:pPr>
            <w:r w:rsidRPr="0068009D">
              <w:rPr>
                <w:rFonts w:cs="Arial"/>
                <w:sz w:val="16"/>
                <w:szCs w:val="16"/>
              </w:rPr>
              <w:t>0</w:t>
            </w:r>
          </w:p>
        </w:tc>
        <w:tc>
          <w:tcPr>
            <w:tcW w:w="1080" w:type="dxa"/>
            <w:tcBorders>
              <w:top w:val="nil"/>
              <w:left w:val="nil"/>
              <w:bottom w:val="single" w:sz="4" w:space="0" w:color="auto"/>
              <w:right w:val="single" w:sz="4" w:space="0" w:color="auto"/>
            </w:tcBorders>
            <w:shd w:val="clear" w:color="auto" w:fill="auto"/>
            <w:noWrap/>
            <w:vAlign w:val="center"/>
            <w:hideMark/>
          </w:tcPr>
          <w:p w:rsidR="0068009D" w:rsidRPr="0068009D" w:rsidRDefault="0068009D" w:rsidP="00251677">
            <w:pPr>
              <w:jc w:val="center"/>
              <w:rPr>
                <w:rFonts w:cs="Arial"/>
                <w:b/>
                <w:sz w:val="16"/>
                <w:szCs w:val="16"/>
              </w:rPr>
            </w:pPr>
            <w:r w:rsidRPr="0068009D">
              <w:rPr>
                <w:rFonts w:cs="Arial"/>
                <w:b/>
                <w:sz w:val="16"/>
                <w:szCs w:val="16"/>
              </w:rPr>
              <w:t>5</w:t>
            </w:r>
          </w:p>
        </w:tc>
      </w:tr>
      <w:tr w:rsidR="0068009D" w:rsidRPr="0068009D" w:rsidTr="006957C5">
        <w:trPr>
          <w:trHeight w:val="283"/>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68009D" w:rsidRPr="0068009D" w:rsidRDefault="0068009D" w:rsidP="00251677">
            <w:pPr>
              <w:jc w:val="center"/>
              <w:rPr>
                <w:rFonts w:cs="Arial"/>
                <w:b/>
                <w:bCs/>
                <w:sz w:val="16"/>
                <w:szCs w:val="16"/>
              </w:rPr>
            </w:pPr>
            <w:r w:rsidRPr="0068009D">
              <w:rPr>
                <w:rFonts w:cs="Arial"/>
                <w:b/>
                <w:bCs/>
                <w:sz w:val="16"/>
                <w:szCs w:val="16"/>
              </w:rPr>
              <w:t>Total</w:t>
            </w:r>
          </w:p>
        </w:tc>
        <w:tc>
          <w:tcPr>
            <w:tcW w:w="1280" w:type="dxa"/>
            <w:tcBorders>
              <w:top w:val="nil"/>
              <w:left w:val="nil"/>
              <w:bottom w:val="single" w:sz="4" w:space="0" w:color="auto"/>
              <w:right w:val="single" w:sz="4" w:space="0" w:color="auto"/>
            </w:tcBorders>
            <w:shd w:val="clear" w:color="auto" w:fill="auto"/>
            <w:noWrap/>
            <w:vAlign w:val="center"/>
            <w:hideMark/>
          </w:tcPr>
          <w:p w:rsidR="0068009D" w:rsidRPr="0068009D" w:rsidRDefault="00CA5577" w:rsidP="00251677">
            <w:pPr>
              <w:jc w:val="center"/>
              <w:rPr>
                <w:rFonts w:cs="Arial"/>
                <w:b/>
                <w:sz w:val="16"/>
                <w:szCs w:val="16"/>
              </w:rPr>
            </w:pPr>
            <w:r>
              <w:rPr>
                <w:rFonts w:cs="Arial"/>
                <w:b/>
                <w:sz w:val="16"/>
                <w:szCs w:val="16"/>
              </w:rPr>
              <w:t>108</w:t>
            </w:r>
          </w:p>
        </w:tc>
        <w:tc>
          <w:tcPr>
            <w:tcW w:w="1660" w:type="dxa"/>
            <w:tcBorders>
              <w:top w:val="nil"/>
              <w:left w:val="nil"/>
              <w:bottom w:val="single" w:sz="4" w:space="0" w:color="auto"/>
              <w:right w:val="single" w:sz="4" w:space="0" w:color="auto"/>
            </w:tcBorders>
            <w:shd w:val="clear" w:color="auto" w:fill="auto"/>
            <w:noWrap/>
            <w:vAlign w:val="center"/>
            <w:hideMark/>
          </w:tcPr>
          <w:p w:rsidR="0068009D" w:rsidRPr="0068009D" w:rsidRDefault="0068009D" w:rsidP="00251677">
            <w:pPr>
              <w:jc w:val="center"/>
              <w:rPr>
                <w:rFonts w:cs="Arial"/>
                <w:b/>
                <w:sz w:val="16"/>
                <w:szCs w:val="16"/>
              </w:rPr>
            </w:pPr>
            <w:r w:rsidRPr="0068009D">
              <w:rPr>
                <w:rFonts w:cs="Arial"/>
                <w:b/>
                <w:sz w:val="16"/>
                <w:szCs w:val="16"/>
              </w:rPr>
              <w:t>46</w:t>
            </w:r>
          </w:p>
        </w:tc>
        <w:tc>
          <w:tcPr>
            <w:tcW w:w="2080" w:type="dxa"/>
            <w:tcBorders>
              <w:top w:val="nil"/>
              <w:left w:val="nil"/>
              <w:bottom w:val="single" w:sz="4" w:space="0" w:color="auto"/>
              <w:right w:val="single" w:sz="4" w:space="0" w:color="auto"/>
            </w:tcBorders>
            <w:shd w:val="clear" w:color="auto" w:fill="auto"/>
            <w:noWrap/>
            <w:vAlign w:val="center"/>
            <w:hideMark/>
          </w:tcPr>
          <w:p w:rsidR="0068009D" w:rsidRPr="0068009D" w:rsidRDefault="0068009D" w:rsidP="00251677">
            <w:pPr>
              <w:jc w:val="center"/>
              <w:rPr>
                <w:rFonts w:cs="Arial"/>
                <w:b/>
                <w:sz w:val="16"/>
                <w:szCs w:val="16"/>
              </w:rPr>
            </w:pPr>
            <w:r w:rsidRPr="0068009D">
              <w:rPr>
                <w:rFonts w:cs="Arial"/>
                <w:b/>
                <w:sz w:val="16"/>
                <w:szCs w:val="16"/>
              </w:rPr>
              <w:t>21</w:t>
            </w:r>
          </w:p>
        </w:tc>
        <w:tc>
          <w:tcPr>
            <w:tcW w:w="1500" w:type="dxa"/>
            <w:tcBorders>
              <w:top w:val="nil"/>
              <w:left w:val="nil"/>
              <w:bottom w:val="single" w:sz="4" w:space="0" w:color="auto"/>
              <w:right w:val="single" w:sz="4" w:space="0" w:color="auto"/>
            </w:tcBorders>
            <w:shd w:val="clear" w:color="auto" w:fill="auto"/>
            <w:noWrap/>
            <w:vAlign w:val="center"/>
            <w:hideMark/>
          </w:tcPr>
          <w:p w:rsidR="0068009D" w:rsidRPr="0068009D" w:rsidRDefault="0068009D" w:rsidP="00251677">
            <w:pPr>
              <w:jc w:val="center"/>
              <w:rPr>
                <w:rFonts w:cs="Arial"/>
                <w:b/>
                <w:sz w:val="16"/>
                <w:szCs w:val="16"/>
              </w:rPr>
            </w:pPr>
            <w:r w:rsidRPr="0068009D">
              <w:rPr>
                <w:rFonts w:cs="Arial"/>
                <w:b/>
                <w:sz w:val="16"/>
                <w:szCs w:val="16"/>
              </w:rPr>
              <w:t>5</w:t>
            </w:r>
          </w:p>
        </w:tc>
        <w:tc>
          <w:tcPr>
            <w:tcW w:w="1080" w:type="dxa"/>
            <w:tcBorders>
              <w:top w:val="nil"/>
              <w:left w:val="nil"/>
              <w:bottom w:val="single" w:sz="4" w:space="0" w:color="auto"/>
              <w:right w:val="single" w:sz="4" w:space="0" w:color="auto"/>
            </w:tcBorders>
            <w:shd w:val="clear" w:color="auto" w:fill="auto"/>
            <w:noWrap/>
            <w:vAlign w:val="center"/>
            <w:hideMark/>
          </w:tcPr>
          <w:p w:rsidR="0068009D" w:rsidRPr="0068009D" w:rsidRDefault="0068009D" w:rsidP="00251677">
            <w:pPr>
              <w:jc w:val="center"/>
              <w:rPr>
                <w:rFonts w:cs="Arial"/>
                <w:b/>
                <w:sz w:val="16"/>
                <w:szCs w:val="16"/>
              </w:rPr>
            </w:pPr>
            <w:r w:rsidRPr="0068009D">
              <w:rPr>
                <w:rFonts w:cs="Arial"/>
                <w:b/>
                <w:sz w:val="16"/>
                <w:szCs w:val="16"/>
              </w:rPr>
              <w:t>180</w:t>
            </w:r>
          </w:p>
        </w:tc>
      </w:tr>
    </w:tbl>
    <w:p w:rsidR="00B262B3" w:rsidRDefault="00B262B3" w:rsidP="00F533AA">
      <w:pPr>
        <w:spacing w:line="276" w:lineRule="auto"/>
        <w:jc w:val="both"/>
        <w:rPr>
          <w:rFonts w:cs="Arial"/>
          <w:sz w:val="22"/>
          <w:szCs w:val="22"/>
          <w:u w:val="single"/>
        </w:rPr>
      </w:pPr>
    </w:p>
    <w:p w:rsidR="00DA3F65" w:rsidRPr="004854F9" w:rsidRDefault="00DA3F65" w:rsidP="00F533AA">
      <w:pPr>
        <w:spacing w:line="276" w:lineRule="auto"/>
        <w:jc w:val="both"/>
        <w:rPr>
          <w:rFonts w:cs="Arial"/>
          <w:sz w:val="22"/>
          <w:szCs w:val="22"/>
          <w:u w:val="single"/>
        </w:rPr>
      </w:pPr>
      <w:r w:rsidRPr="004854F9">
        <w:rPr>
          <w:rFonts w:cs="Arial"/>
          <w:sz w:val="22"/>
          <w:szCs w:val="22"/>
          <w:u w:val="single"/>
        </w:rPr>
        <w:t>Fish Wholesalers and Retailers</w:t>
      </w:r>
    </w:p>
    <w:p w:rsidR="00DA3F65" w:rsidRPr="004854F9" w:rsidRDefault="00DA3F65" w:rsidP="00F533AA">
      <w:pPr>
        <w:pStyle w:val="ListParagraph"/>
        <w:spacing w:line="276" w:lineRule="auto"/>
        <w:ind w:left="360"/>
        <w:jc w:val="both"/>
        <w:rPr>
          <w:rFonts w:ascii="Arial" w:hAnsi="Arial" w:cs="Arial"/>
        </w:rPr>
      </w:pPr>
    </w:p>
    <w:p w:rsidR="00190399" w:rsidRPr="007B101A" w:rsidRDefault="00DA3F65" w:rsidP="003A5312">
      <w:pPr>
        <w:pStyle w:val="ListParagraph"/>
        <w:numPr>
          <w:ilvl w:val="1"/>
          <w:numId w:val="8"/>
        </w:numPr>
        <w:spacing w:line="276" w:lineRule="auto"/>
        <w:contextualSpacing/>
        <w:jc w:val="both"/>
        <w:rPr>
          <w:rFonts w:ascii="Arial" w:hAnsi="Arial" w:cs="Arial"/>
        </w:rPr>
      </w:pPr>
      <w:r w:rsidRPr="004854F9">
        <w:rPr>
          <w:rFonts w:ascii="Arial" w:hAnsi="Arial" w:cs="Arial"/>
        </w:rPr>
        <w:t>Fish wholesalers and retailers will also be impacted upon due to the new mandatory labelling</w:t>
      </w:r>
      <w:r w:rsidR="007B101A">
        <w:rPr>
          <w:rFonts w:ascii="Arial" w:hAnsi="Arial" w:cs="Arial"/>
        </w:rPr>
        <w:t xml:space="preserve"> and marketing standards</w:t>
      </w:r>
      <w:r w:rsidRPr="004854F9">
        <w:rPr>
          <w:rFonts w:ascii="Arial" w:hAnsi="Arial" w:cs="Arial"/>
        </w:rPr>
        <w:t xml:space="preserve"> requirements. </w:t>
      </w:r>
      <w:r w:rsidR="008B6233" w:rsidRPr="004854F9">
        <w:rPr>
          <w:rFonts w:ascii="Arial" w:hAnsi="Arial" w:cs="Arial"/>
          <w:bCs/>
          <w:color w:val="000000"/>
        </w:rPr>
        <w:t>In 2012, the UK seafood sector was worth around £5.6 billion (Seafish, 2013</w:t>
      </w:r>
      <w:r w:rsidR="007B101A">
        <w:rPr>
          <w:rFonts w:ascii="Arial" w:hAnsi="Arial" w:cs="Arial"/>
          <w:bCs/>
          <w:color w:val="000000"/>
        </w:rPr>
        <w:t>a</w:t>
      </w:r>
      <w:r w:rsidR="008B6233" w:rsidRPr="004854F9">
        <w:rPr>
          <w:rFonts w:ascii="Arial" w:hAnsi="Arial" w:cs="Arial"/>
          <w:bCs/>
          <w:color w:val="000000"/>
        </w:rPr>
        <w:t>)</w:t>
      </w:r>
      <w:r w:rsidR="008B6233" w:rsidRPr="004854F9">
        <w:rPr>
          <w:rStyle w:val="FootnoteReference"/>
          <w:rFonts w:ascii="Arial" w:hAnsi="Arial" w:cs="Arial"/>
        </w:rPr>
        <w:footnoteReference w:id="18"/>
      </w:r>
      <w:r w:rsidR="008B6233" w:rsidRPr="004854F9">
        <w:rPr>
          <w:rFonts w:ascii="Arial" w:hAnsi="Arial" w:cs="Arial"/>
          <w:bCs/>
          <w:color w:val="000000"/>
        </w:rPr>
        <w:t xml:space="preserve">. </w:t>
      </w:r>
      <w:r w:rsidRPr="004854F9">
        <w:rPr>
          <w:rFonts w:ascii="Arial" w:hAnsi="Arial" w:cs="Arial"/>
        </w:rPr>
        <w:t xml:space="preserve">The following tables summarise the two groups in </w:t>
      </w:r>
      <w:r w:rsidR="00153787" w:rsidRPr="004854F9">
        <w:rPr>
          <w:rFonts w:ascii="Arial" w:hAnsi="Arial" w:cs="Arial"/>
        </w:rPr>
        <w:t>England and Wales</w:t>
      </w:r>
      <w:r w:rsidRPr="004854F9">
        <w:rPr>
          <w:rFonts w:ascii="Arial" w:hAnsi="Arial" w:cs="Arial"/>
        </w:rPr>
        <w:t>.</w:t>
      </w:r>
    </w:p>
    <w:p w:rsidR="007B101A" w:rsidRPr="007B101A" w:rsidRDefault="00B23F41" w:rsidP="00251677">
      <w:pPr>
        <w:spacing w:before="240"/>
        <w:jc w:val="center"/>
        <w:rPr>
          <w:rFonts w:cs="Arial"/>
          <w:sz w:val="16"/>
          <w:szCs w:val="16"/>
        </w:rPr>
      </w:pPr>
      <w:r>
        <w:rPr>
          <w:rFonts w:cs="Arial"/>
          <w:bCs/>
          <w:color w:val="000000"/>
          <w:sz w:val="16"/>
          <w:szCs w:val="16"/>
        </w:rPr>
        <w:t>Table 5</w:t>
      </w:r>
      <w:r w:rsidR="007B101A" w:rsidRPr="007B101A">
        <w:rPr>
          <w:rFonts w:cs="Arial"/>
          <w:bCs/>
          <w:color w:val="000000"/>
          <w:sz w:val="16"/>
          <w:szCs w:val="16"/>
        </w:rPr>
        <w:t>: Seafood</w:t>
      </w:r>
      <w:r w:rsidR="007B101A" w:rsidRPr="007B101A">
        <w:rPr>
          <w:rFonts w:cs="Arial"/>
          <w:sz w:val="16"/>
          <w:szCs w:val="16"/>
        </w:rPr>
        <w:t xml:space="preserve"> w</w:t>
      </w:r>
      <w:r w:rsidR="007B101A" w:rsidRPr="007B101A">
        <w:rPr>
          <w:rFonts w:cs="Arial"/>
          <w:bCs/>
          <w:color w:val="000000"/>
          <w:sz w:val="16"/>
          <w:szCs w:val="16"/>
        </w:rPr>
        <w:t>holesalers in England and Wales (IDBR 2011/2012 and Defra 2013).</w:t>
      </w:r>
    </w:p>
    <w:tbl>
      <w:tblPr>
        <w:tblW w:w="0" w:type="auto"/>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420"/>
        <w:gridCol w:w="1420"/>
        <w:gridCol w:w="1420"/>
        <w:gridCol w:w="1421"/>
        <w:gridCol w:w="1421"/>
      </w:tblGrid>
      <w:tr w:rsidR="007B101A" w:rsidRPr="007B101A" w:rsidTr="006957C5">
        <w:trPr>
          <w:trHeight w:val="283"/>
          <w:jc w:val="center"/>
        </w:trPr>
        <w:tc>
          <w:tcPr>
            <w:tcW w:w="2043" w:type="dxa"/>
            <w:vAlign w:val="center"/>
          </w:tcPr>
          <w:p w:rsidR="007B101A" w:rsidRPr="007B101A" w:rsidRDefault="007B101A" w:rsidP="00251677">
            <w:pPr>
              <w:jc w:val="center"/>
              <w:rPr>
                <w:rFonts w:cs="Arial"/>
                <w:b/>
                <w:color w:val="000000"/>
                <w:sz w:val="16"/>
                <w:szCs w:val="16"/>
              </w:rPr>
            </w:pPr>
            <w:r w:rsidRPr="007B101A">
              <w:rPr>
                <w:rFonts w:cs="Arial"/>
                <w:b/>
                <w:color w:val="000000"/>
                <w:sz w:val="16"/>
                <w:szCs w:val="16"/>
              </w:rPr>
              <w:t>Country</w:t>
            </w:r>
          </w:p>
        </w:tc>
        <w:tc>
          <w:tcPr>
            <w:tcW w:w="1420" w:type="dxa"/>
            <w:vAlign w:val="center"/>
          </w:tcPr>
          <w:p w:rsidR="007B101A" w:rsidRPr="007B101A" w:rsidRDefault="007B101A" w:rsidP="00251677">
            <w:pPr>
              <w:jc w:val="center"/>
              <w:rPr>
                <w:rFonts w:cs="Arial"/>
                <w:b/>
                <w:color w:val="000000"/>
                <w:sz w:val="16"/>
                <w:szCs w:val="16"/>
              </w:rPr>
            </w:pPr>
            <w:r w:rsidRPr="007B101A">
              <w:rPr>
                <w:rFonts w:cs="Arial"/>
                <w:b/>
                <w:color w:val="000000"/>
                <w:sz w:val="16"/>
                <w:szCs w:val="16"/>
              </w:rPr>
              <w:t>Micro</w:t>
            </w:r>
          </w:p>
        </w:tc>
        <w:tc>
          <w:tcPr>
            <w:tcW w:w="1420" w:type="dxa"/>
            <w:vAlign w:val="center"/>
          </w:tcPr>
          <w:p w:rsidR="007B101A" w:rsidRPr="007B101A" w:rsidRDefault="007B101A" w:rsidP="00251677">
            <w:pPr>
              <w:jc w:val="center"/>
              <w:rPr>
                <w:rFonts w:cs="Arial"/>
                <w:b/>
                <w:color w:val="000000"/>
                <w:sz w:val="16"/>
                <w:szCs w:val="16"/>
              </w:rPr>
            </w:pPr>
            <w:r w:rsidRPr="007B101A">
              <w:rPr>
                <w:rFonts w:cs="Arial"/>
                <w:b/>
                <w:color w:val="000000"/>
                <w:sz w:val="16"/>
                <w:szCs w:val="16"/>
              </w:rPr>
              <w:t>Small</w:t>
            </w:r>
          </w:p>
        </w:tc>
        <w:tc>
          <w:tcPr>
            <w:tcW w:w="1420" w:type="dxa"/>
            <w:vAlign w:val="center"/>
          </w:tcPr>
          <w:p w:rsidR="007B101A" w:rsidRPr="007B101A" w:rsidRDefault="007B101A" w:rsidP="00251677">
            <w:pPr>
              <w:jc w:val="center"/>
              <w:rPr>
                <w:rFonts w:cs="Arial"/>
                <w:b/>
                <w:color w:val="000000"/>
                <w:sz w:val="16"/>
                <w:szCs w:val="16"/>
              </w:rPr>
            </w:pPr>
            <w:r w:rsidRPr="007B101A">
              <w:rPr>
                <w:rFonts w:cs="Arial"/>
                <w:b/>
                <w:color w:val="000000"/>
                <w:sz w:val="16"/>
                <w:szCs w:val="16"/>
              </w:rPr>
              <w:t>Medium</w:t>
            </w:r>
          </w:p>
        </w:tc>
        <w:tc>
          <w:tcPr>
            <w:tcW w:w="1421" w:type="dxa"/>
            <w:vAlign w:val="center"/>
          </w:tcPr>
          <w:p w:rsidR="007B101A" w:rsidRPr="007B101A" w:rsidRDefault="007B101A" w:rsidP="00251677">
            <w:pPr>
              <w:jc w:val="center"/>
              <w:rPr>
                <w:rFonts w:cs="Arial"/>
                <w:b/>
                <w:color w:val="000000"/>
                <w:sz w:val="16"/>
                <w:szCs w:val="16"/>
              </w:rPr>
            </w:pPr>
            <w:r w:rsidRPr="007B101A">
              <w:rPr>
                <w:rFonts w:cs="Arial"/>
                <w:b/>
                <w:color w:val="000000"/>
                <w:sz w:val="16"/>
                <w:szCs w:val="16"/>
              </w:rPr>
              <w:t>Large</w:t>
            </w:r>
          </w:p>
        </w:tc>
        <w:tc>
          <w:tcPr>
            <w:tcW w:w="1421" w:type="dxa"/>
            <w:vAlign w:val="center"/>
          </w:tcPr>
          <w:p w:rsidR="007B101A" w:rsidRPr="007B101A" w:rsidRDefault="007B101A" w:rsidP="00251677">
            <w:pPr>
              <w:jc w:val="center"/>
              <w:rPr>
                <w:rFonts w:cs="Arial"/>
                <w:b/>
                <w:color w:val="000000"/>
                <w:sz w:val="16"/>
                <w:szCs w:val="16"/>
              </w:rPr>
            </w:pPr>
            <w:r w:rsidRPr="007B101A">
              <w:rPr>
                <w:rFonts w:cs="Arial"/>
                <w:b/>
                <w:color w:val="000000"/>
                <w:sz w:val="16"/>
                <w:szCs w:val="16"/>
              </w:rPr>
              <w:t>Total</w:t>
            </w:r>
          </w:p>
        </w:tc>
      </w:tr>
      <w:tr w:rsidR="007B101A" w:rsidRPr="007B101A" w:rsidTr="006957C5">
        <w:trPr>
          <w:trHeight w:val="283"/>
          <w:jc w:val="center"/>
        </w:trPr>
        <w:tc>
          <w:tcPr>
            <w:tcW w:w="2043" w:type="dxa"/>
            <w:vAlign w:val="center"/>
          </w:tcPr>
          <w:p w:rsidR="007B101A" w:rsidRPr="007B101A" w:rsidRDefault="007B101A" w:rsidP="00251677">
            <w:pPr>
              <w:jc w:val="center"/>
              <w:rPr>
                <w:rFonts w:cs="Arial"/>
                <w:color w:val="000000"/>
                <w:sz w:val="16"/>
                <w:szCs w:val="16"/>
              </w:rPr>
            </w:pPr>
            <w:r w:rsidRPr="007B101A">
              <w:rPr>
                <w:rFonts w:cs="Arial"/>
                <w:color w:val="000000"/>
                <w:sz w:val="16"/>
                <w:szCs w:val="16"/>
              </w:rPr>
              <w:t>England</w:t>
            </w:r>
          </w:p>
        </w:tc>
        <w:tc>
          <w:tcPr>
            <w:tcW w:w="1420" w:type="dxa"/>
            <w:vAlign w:val="center"/>
          </w:tcPr>
          <w:p w:rsidR="007B101A" w:rsidRPr="007B101A" w:rsidRDefault="007B101A" w:rsidP="00251677">
            <w:pPr>
              <w:jc w:val="center"/>
              <w:rPr>
                <w:rFonts w:cs="Arial"/>
                <w:color w:val="000000"/>
                <w:sz w:val="16"/>
                <w:szCs w:val="16"/>
              </w:rPr>
            </w:pPr>
            <w:r w:rsidRPr="007B101A">
              <w:rPr>
                <w:rFonts w:cs="Arial"/>
                <w:color w:val="000000"/>
                <w:sz w:val="16"/>
                <w:szCs w:val="16"/>
              </w:rPr>
              <w:t>1,005</w:t>
            </w:r>
          </w:p>
        </w:tc>
        <w:tc>
          <w:tcPr>
            <w:tcW w:w="1420" w:type="dxa"/>
            <w:vAlign w:val="center"/>
          </w:tcPr>
          <w:p w:rsidR="007B101A" w:rsidRPr="007B101A" w:rsidRDefault="007B101A" w:rsidP="00251677">
            <w:pPr>
              <w:jc w:val="center"/>
              <w:rPr>
                <w:rFonts w:cs="Arial"/>
                <w:color w:val="000000"/>
                <w:sz w:val="16"/>
                <w:szCs w:val="16"/>
              </w:rPr>
            </w:pPr>
            <w:r w:rsidRPr="007B101A">
              <w:rPr>
                <w:rFonts w:cs="Arial"/>
                <w:color w:val="000000"/>
                <w:sz w:val="16"/>
                <w:szCs w:val="16"/>
              </w:rPr>
              <w:t>220</w:t>
            </w:r>
          </w:p>
        </w:tc>
        <w:tc>
          <w:tcPr>
            <w:tcW w:w="1420" w:type="dxa"/>
            <w:vAlign w:val="center"/>
          </w:tcPr>
          <w:p w:rsidR="007B101A" w:rsidRPr="007B101A" w:rsidRDefault="007B101A" w:rsidP="00251677">
            <w:pPr>
              <w:jc w:val="center"/>
              <w:rPr>
                <w:rFonts w:cs="Arial"/>
                <w:color w:val="000000"/>
                <w:sz w:val="16"/>
                <w:szCs w:val="16"/>
              </w:rPr>
            </w:pPr>
            <w:r w:rsidRPr="007B101A">
              <w:rPr>
                <w:rFonts w:cs="Arial"/>
                <w:color w:val="000000"/>
                <w:sz w:val="16"/>
                <w:szCs w:val="16"/>
              </w:rPr>
              <w:t>30</w:t>
            </w:r>
          </w:p>
        </w:tc>
        <w:tc>
          <w:tcPr>
            <w:tcW w:w="1421" w:type="dxa"/>
            <w:vAlign w:val="center"/>
          </w:tcPr>
          <w:p w:rsidR="007B101A" w:rsidRPr="007B101A" w:rsidRDefault="007B101A" w:rsidP="00251677">
            <w:pPr>
              <w:autoSpaceDE w:val="0"/>
              <w:autoSpaceDN w:val="0"/>
              <w:adjustRightInd w:val="0"/>
              <w:jc w:val="center"/>
              <w:rPr>
                <w:rFonts w:cs="Arial"/>
                <w:b/>
                <w:bCs/>
                <w:color w:val="FFFFFF"/>
                <w:sz w:val="16"/>
                <w:szCs w:val="16"/>
              </w:rPr>
            </w:pPr>
            <w:r w:rsidRPr="007B101A">
              <w:rPr>
                <w:rFonts w:cs="Arial"/>
                <w:color w:val="000000"/>
                <w:sz w:val="16"/>
                <w:szCs w:val="16"/>
              </w:rPr>
              <w:t>5</w:t>
            </w:r>
          </w:p>
        </w:tc>
        <w:tc>
          <w:tcPr>
            <w:tcW w:w="1421" w:type="dxa"/>
            <w:vAlign w:val="center"/>
          </w:tcPr>
          <w:p w:rsidR="007B101A" w:rsidRPr="007B101A" w:rsidRDefault="007B101A" w:rsidP="00251677">
            <w:pPr>
              <w:autoSpaceDE w:val="0"/>
              <w:autoSpaceDN w:val="0"/>
              <w:adjustRightInd w:val="0"/>
              <w:jc w:val="center"/>
              <w:rPr>
                <w:rFonts w:cs="Arial"/>
                <w:color w:val="000000"/>
                <w:sz w:val="16"/>
                <w:szCs w:val="16"/>
              </w:rPr>
            </w:pPr>
            <w:r w:rsidRPr="007B101A">
              <w:rPr>
                <w:rFonts w:cs="Arial"/>
                <w:color w:val="000000"/>
                <w:sz w:val="16"/>
                <w:szCs w:val="16"/>
              </w:rPr>
              <w:t>1,260</w:t>
            </w:r>
          </w:p>
        </w:tc>
      </w:tr>
      <w:tr w:rsidR="007B101A" w:rsidRPr="007B101A" w:rsidTr="006957C5">
        <w:trPr>
          <w:trHeight w:val="283"/>
          <w:jc w:val="center"/>
        </w:trPr>
        <w:tc>
          <w:tcPr>
            <w:tcW w:w="2043" w:type="dxa"/>
            <w:vAlign w:val="center"/>
          </w:tcPr>
          <w:p w:rsidR="007B101A" w:rsidRPr="007B101A" w:rsidRDefault="007B101A" w:rsidP="00251677">
            <w:pPr>
              <w:jc w:val="center"/>
              <w:rPr>
                <w:rFonts w:cs="Arial"/>
                <w:color w:val="000000"/>
                <w:sz w:val="16"/>
                <w:szCs w:val="16"/>
              </w:rPr>
            </w:pPr>
            <w:r w:rsidRPr="007B101A">
              <w:rPr>
                <w:rFonts w:cs="Arial"/>
                <w:color w:val="000000"/>
                <w:sz w:val="16"/>
                <w:szCs w:val="16"/>
              </w:rPr>
              <w:t>Wales</w:t>
            </w:r>
          </w:p>
        </w:tc>
        <w:tc>
          <w:tcPr>
            <w:tcW w:w="1420" w:type="dxa"/>
            <w:vAlign w:val="center"/>
          </w:tcPr>
          <w:p w:rsidR="007B101A" w:rsidRPr="007B101A" w:rsidRDefault="007B101A" w:rsidP="00251677">
            <w:pPr>
              <w:jc w:val="center"/>
              <w:rPr>
                <w:rFonts w:cs="Arial"/>
                <w:color w:val="000000"/>
                <w:sz w:val="16"/>
                <w:szCs w:val="16"/>
              </w:rPr>
            </w:pPr>
            <w:r w:rsidRPr="007B101A">
              <w:rPr>
                <w:rFonts w:cs="Arial"/>
                <w:color w:val="000000"/>
                <w:sz w:val="16"/>
                <w:szCs w:val="16"/>
              </w:rPr>
              <w:t>40</w:t>
            </w:r>
          </w:p>
        </w:tc>
        <w:tc>
          <w:tcPr>
            <w:tcW w:w="1420" w:type="dxa"/>
            <w:vAlign w:val="center"/>
          </w:tcPr>
          <w:p w:rsidR="007B101A" w:rsidRPr="007B101A" w:rsidRDefault="007B101A" w:rsidP="00251677">
            <w:pPr>
              <w:jc w:val="center"/>
              <w:rPr>
                <w:rFonts w:cs="Arial"/>
                <w:color w:val="000000"/>
                <w:sz w:val="16"/>
                <w:szCs w:val="16"/>
              </w:rPr>
            </w:pPr>
            <w:r w:rsidRPr="007B101A">
              <w:rPr>
                <w:rFonts w:cs="Arial"/>
                <w:color w:val="000000"/>
                <w:sz w:val="16"/>
                <w:szCs w:val="16"/>
              </w:rPr>
              <w:t>9</w:t>
            </w:r>
          </w:p>
        </w:tc>
        <w:tc>
          <w:tcPr>
            <w:tcW w:w="1420" w:type="dxa"/>
            <w:vAlign w:val="center"/>
          </w:tcPr>
          <w:p w:rsidR="007B101A" w:rsidRPr="007B101A" w:rsidRDefault="007B101A" w:rsidP="00251677">
            <w:pPr>
              <w:jc w:val="center"/>
              <w:rPr>
                <w:rFonts w:cs="Arial"/>
                <w:color w:val="000000"/>
                <w:sz w:val="16"/>
                <w:szCs w:val="16"/>
              </w:rPr>
            </w:pPr>
            <w:r w:rsidRPr="007B101A">
              <w:rPr>
                <w:rFonts w:cs="Arial"/>
                <w:color w:val="000000"/>
                <w:sz w:val="16"/>
                <w:szCs w:val="16"/>
              </w:rPr>
              <w:t>2</w:t>
            </w:r>
          </w:p>
        </w:tc>
        <w:tc>
          <w:tcPr>
            <w:tcW w:w="1421" w:type="dxa"/>
            <w:vAlign w:val="center"/>
          </w:tcPr>
          <w:p w:rsidR="007B101A" w:rsidRPr="007B101A" w:rsidRDefault="007B101A" w:rsidP="00251677">
            <w:pPr>
              <w:jc w:val="center"/>
              <w:rPr>
                <w:rFonts w:cs="Arial"/>
                <w:color w:val="000000"/>
                <w:sz w:val="16"/>
                <w:szCs w:val="16"/>
              </w:rPr>
            </w:pPr>
            <w:r w:rsidRPr="007B101A">
              <w:rPr>
                <w:rFonts w:cs="Arial"/>
                <w:color w:val="000000"/>
                <w:sz w:val="16"/>
                <w:szCs w:val="16"/>
              </w:rPr>
              <w:t>0</w:t>
            </w:r>
          </w:p>
        </w:tc>
        <w:tc>
          <w:tcPr>
            <w:tcW w:w="1421" w:type="dxa"/>
            <w:vAlign w:val="center"/>
          </w:tcPr>
          <w:p w:rsidR="007B101A" w:rsidRPr="007B101A" w:rsidRDefault="007B101A" w:rsidP="00251677">
            <w:pPr>
              <w:jc w:val="center"/>
              <w:rPr>
                <w:rFonts w:cs="Arial"/>
                <w:color w:val="000000"/>
                <w:sz w:val="16"/>
                <w:szCs w:val="16"/>
              </w:rPr>
            </w:pPr>
            <w:r w:rsidRPr="007B101A">
              <w:rPr>
                <w:rFonts w:cs="Arial"/>
                <w:color w:val="000000"/>
                <w:sz w:val="16"/>
                <w:szCs w:val="16"/>
              </w:rPr>
              <w:t>51</w:t>
            </w:r>
          </w:p>
        </w:tc>
      </w:tr>
      <w:tr w:rsidR="007B101A" w:rsidRPr="007B101A" w:rsidTr="006957C5">
        <w:trPr>
          <w:trHeight w:val="283"/>
          <w:jc w:val="center"/>
        </w:trPr>
        <w:tc>
          <w:tcPr>
            <w:tcW w:w="2043" w:type="dxa"/>
            <w:vAlign w:val="center"/>
          </w:tcPr>
          <w:p w:rsidR="007B101A" w:rsidRPr="007B101A" w:rsidRDefault="007B101A" w:rsidP="00251677">
            <w:pPr>
              <w:jc w:val="center"/>
              <w:rPr>
                <w:rFonts w:cs="Arial"/>
                <w:b/>
                <w:color w:val="000000"/>
                <w:sz w:val="16"/>
                <w:szCs w:val="16"/>
              </w:rPr>
            </w:pPr>
            <w:r w:rsidRPr="007B101A">
              <w:rPr>
                <w:rFonts w:cs="Arial"/>
                <w:b/>
                <w:color w:val="000000"/>
                <w:sz w:val="16"/>
                <w:szCs w:val="16"/>
              </w:rPr>
              <w:t>Total</w:t>
            </w:r>
          </w:p>
        </w:tc>
        <w:tc>
          <w:tcPr>
            <w:tcW w:w="1420" w:type="dxa"/>
            <w:vAlign w:val="center"/>
          </w:tcPr>
          <w:p w:rsidR="007B101A" w:rsidRPr="007B101A" w:rsidRDefault="007B101A" w:rsidP="00251677">
            <w:pPr>
              <w:jc w:val="center"/>
              <w:rPr>
                <w:rFonts w:cs="Arial"/>
                <w:b/>
                <w:color w:val="000000"/>
                <w:sz w:val="16"/>
                <w:szCs w:val="16"/>
              </w:rPr>
            </w:pPr>
            <w:r w:rsidRPr="007B101A">
              <w:rPr>
                <w:rFonts w:cs="Arial"/>
                <w:b/>
                <w:color w:val="000000"/>
                <w:sz w:val="16"/>
                <w:szCs w:val="16"/>
              </w:rPr>
              <w:t>1,045</w:t>
            </w:r>
          </w:p>
        </w:tc>
        <w:tc>
          <w:tcPr>
            <w:tcW w:w="1420" w:type="dxa"/>
            <w:vAlign w:val="center"/>
          </w:tcPr>
          <w:p w:rsidR="007B101A" w:rsidRPr="007B101A" w:rsidRDefault="007B101A" w:rsidP="00251677">
            <w:pPr>
              <w:jc w:val="center"/>
              <w:rPr>
                <w:rFonts w:cs="Arial"/>
                <w:b/>
                <w:color w:val="000000"/>
                <w:sz w:val="16"/>
                <w:szCs w:val="16"/>
              </w:rPr>
            </w:pPr>
            <w:r w:rsidRPr="007B101A">
              <w:rPr>
                <w:rFonts w:cs="Arial"/>
                <w:b/>
                <w:color w:val="000000"/>
                <w:sz w:val="16"/>
                <w:szCs w:val="16"/>
              </w:rPr>
              <w:t>229</w:t>
            </w:r>
          </w:p>
        </w:tc>
        <w:tc>
          <w:tcPr>
            <w:tcW w:w="1420" w:type="dxa"/>
            <w:vAlign w:val="center"/>
          </w:tcPr>
          <w:p w:rsidR="007B101A" w:rsidRPr="007B101A" w:rsidRDefault="007B101A" w:rsidP="00251677">
            <w:pPr>
              <w:jc w:val="center"/>
              <w:rPr>
                <w:rFonts w:cs="Arial"/>
                <w:b/>
                <w:color w:val="000000"/>
                <w:sz w:val="16"/>
                <w:szCs w:val="16"/>
              </w:rPr>
            </w:pPr>
            <w:r w:rsidRPr="007B101A">
              <w:rPr>
                <w:rFonts w:cs="Arial"/>
                <w:b/>
                <w:color w:val="000000"/>
                <w:sz w:val="16"/>
                <w:szCs w:val="16"/>
              </w:rPr>
              <w:t>32</w:t>
            </w:r>
          </w:p>
        </w:tc>
        <w:tc>
          <w:tcPr>
            <w:tcW w:w="1421" w:type="dxa"/>
            <w:vAlign w:val="center"/>
          </w:tcPr>
          <w:p w:rsidR="007B101A" w:rsidRPr="007B101A" w:rsidRDefault="007B101A" w:rsidP="00251677">
            <w:pPr>
              <w:jc w:val="center"/>
              <w:rPr>
                <w:rFonts w:cs="Arial"/>
                <w:b/>
                <w:color w:val="000000"/>
                <w:sz w:val="16"/>
                <w:szCs w:val="16"/>
              </w:rPr>
            </w:pPr>
            <w:r w:rsidRPr="007B101A">
              <w:rPr>
                <w:rFonts w:cs="Arial"/>
                <w:b/>
                <w:color w:val="000000"/>
                <w:sz w:val="16"/>
                <w:szCs w:val="16"/>
              </w:rPr>
              <w:t>5</w:t>
            </w:r>
          </w:p>
        </w:tc>
        <w:tc>
          <w:tcPr>
            <w:tcW w:w="1421" w:type="dxa"/>
            <w:vAlign w:val="center"/>
          </w:tcPr>
          <w:p w:rsidR="007B101A" w:rsidRPr="007B101A" w:rsidRDefault="007B101A" w:rsidP="00251677">
            <w:pPr>
              <w:jc w:val="center"/>
              <w:rPr>
                <w:rFonts w:cs="Arial"/>
                <w:b/>
                <w:color w:val="000000"/>
                <w:sz w:val="16"/>
                <w:szCs w:val="16"/>
              </w:rPr>
            </w:pPr>
            <w:r w:rsidRPr="007B101A">
              <w:rPr>
                <w:rFonts w:cs="Arial"/>
                <w:b/>
                <w:color w:val="000000"/>
                <w:sz w:val="16"/>
                <w:szCs w:val="16"/>
              </w:rPr>
              <w:t>1,311</w:t>
            </w:r>
          </w:p>
        </w:tc>
      </w:tr>
    </w:tbl>
    <w:p w:rsidR="00DA3F65" w:rsidRPr="004854F9" w:rsidRDefault="00DA3F65" w:rsidP="00F533AA">
      <w:pPr>
        <w:pStyle w:val="ListParagraph"/>
        <w:autoSpaceDE w:val="0"/>
        <w:autoSpaceDN w:val="0"/>
        <w:adjustRightInd w:val="0"/>
        <w:spacing w:line="276" w:lineRule="auto"/>
        <w:ind w:left="360"/>
        <w:contextualSpacing/>
        <w:jc w:val="both"/>
        <w:rPr>
          <w:rFonts w:ascii="Arial" w:hAnsi="Arial" w:cs="Arial"/>
          <w:b/>
          <w:bCs/>
          <w:color w:val="FFFFFF"/>
        </w:rPr>
      </w:pPr>
      <w:r w:rsidRPr="004854F9">
        <w:rPr>
          <w:rFonts w:ascii="Arial" w:hAnsi="Arial" w:cs="Arial"/>
          <w:b/>
          <w:bCs/>
          <w:color w:val="FFFFFF"/>
        </w:rPr>
        <w:t>Micro Small Medium Large Total</w:t>
      </w:r>
    </w:p>
    <w:p w:rsidR="00296946" w:rsidRPr="00296946" w:rsidRDefault="00B23F41" w:rsidP="00251677">
      <w:pPr>
        <w:autoSpaceDE w:val="0"/>
        <w:autoSpaceDN w:val="0"/>
        <w:adjustRightInd w:val="0"/>
        <w:jc w:val="center"/>
        <w:rPr>
          <w:rFonts w:cs="Arial"/>
          <w:bCs/>
          <w:color w:val="000000"/>
          <w:sz w:val="16"/>
          <w:szCs w:val="16"/>
        </w:rPr>
      </w:pPr>
      <w:r>
        <w:rPr>
          <w:rFonts w:cs="Arial"/>
          <w:bCs/>
          <w:color w:val="000000"/>
          <w:sz w:val="16"/>
          <w:szCs w:val="16"/>
        </w:rPr>
        <w:t>Table 6</w:t>
      </w:r>
      <w:r w:rsidR="00296946" w:rsidRPr="00296946">
        <w:rPr>
          <w:rFonts w:cs="Arial"/>
          <w:bCs/>
          <w:color w:val="000000"/>
          <w:sz w:val="16"/>
          <w:szCs w:val="16"/>
        </w:rPr>
        <w:t>: Seafood Retailers in in England and Wales (IDBR 2011/2012 and Defra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296946" w:rsidRPr="00296946" w:rsidTr="006957C5">
        <w:trPr>
          <w:trHeight w:val="283"/>
          <w:jc w:val="center"/>
        </w:trPr>
        <w:tc>
          <w:tcPr>
            <w:tcW w:w="1420" w:type="dxa"/>
            <w:vAlign w:val="center"/>
          </w:tcPr>
          <w:p w:rsidR="00296946" w:rsidRPr="00296946" w:rsidRDefault="00296946" w:rsidP="00251677">
            <w:pPr>
              <w:jc w:val="center"/>
              <w:rPr>
                <w:rFonts w:cs="Arial"/>
                <w:b/>
                <w:sz w:val="16"/>
                <w:szCs w:val="16"/>
              </w:rPr>
            </w:pPr>
            <w:r w:rsidRPr="00296946">
              <w:rPr>
                <w:rFonts w:cs="Arial"/>
                <w:b/>
                <w:sz w:val="16"/>
                <w:szCs w:val="16"/>
              </w:rPr>
              <w:t>Country</w:t>
            </w:r>
          </w:p>
        </w:tc>
        <w:tc>
          <w:tcPr>
            <w:tcW w:w="1420" w:type="dxa"/>
            <w:vAlign w:val="center"/>
          </w:tcPr>
          <w:p w:rsidR="00296946" w:rsidRPr="00296946" w:rsidRDefault="00296946" w:rsidP="00251677">
            <w:pPr>
              <w:jc w:val="center"/>
              <w:rPr>
                <w:rFonts w:cs="Arial"/>
                <w:b/>
                <w:sz w:val="16"/>
                <w:szCs w:val="16"/>
              </w:rPr>
            </w:pPr>
            <w:r w:rsidRPr="00296946">
              <w:rPr>
                <w:rFonts w:cs="Arial"/>
                <w:b/>
                <w:sz w:val="16"/>
                <w:szCs w:val="16"/>
              </w:rPr>
              <w:t>Micro</w:t>
            </w:r>
          </w:p>
        </w:tc>
        <w:tc>
          <w:tcPr>
            <w:tcW w:w="1420" w:type="dxa"/>
            <w:vAlign w:val="center"/>
          </w:tcPr>
          <w:p w:rsidR="00296946" w:rsidRPr="00296946" w:rsidRDefault="00296946" w:rsidP="00251677">
            <w:pPr>
              <w:jc w:val="center"/>
              <w:rPr>
                <w:rFonts w:cs="Arial"/>
                <w:b/>
                <w:sz w:val="16"/>
                <w:szCs w:val="16"/>
              </w:rPr>
            </w:pPr>
            <w:r w:rsidRPr="00296946">
              <w:rPr>
                <w:rFonts w:cs="Arial"/>
                <w:b/>
                <w:sz w:val="16"/>
                <w:szCs w:val="16"/>
              </w:rPr>
              <w:t>Small</w:t>
            </w:r>
          </w:p>
        </w:tc>
        <w:tc>
          <w:tcPr>
            <w:tcW w:w="1420" w:type="dxa"/>
            <w:vAlign w:val="center"/>
          </w:tcPr>
          <w:p w:rsidR="00296946" w:rsidRPr="00296946" w:rsidRDefault="00296946" w:rsidP="00251677">
            <w:pPr>
              <w:jc w:val="center"/>
              <w:rPr>
                <w:rFonts w:cs="Arial"/>
                <w:b/>
                <w:sz w:val="16"/>
                <w:szCs w:val="16"/>
              </w:rPr>
            </w:pPr>
            <w:r w:rsidRPr="00296946">
              <w:rPr>
                <w:rFonts w:cs="Arial"/>
                <w:b/>
                <w:sz w:val="16"/>
                <w:szCs w:val="16"/>
              </w:rPr>
              <w:t>Medium</w:t>
            </w:r>
          </w:p>
        </w:tc>
        <w:tc>
          <w:tcPr>
            <w:tcW w:w="1421" w:type="dxa"/>
            <w:vAlign w:val="center"/>
          </w:tcPr>
          <w:p w:rsidR="00296946" w:rsidRPr="00296946" w:rsidRDefault="00296946" w:rsidP="00251677">
            <w:pPr>
              <w:jc w:val="center"/>
              <w:rPr>
                <w:rFonts w:cs="Arial"/>
                <w:b/>
                <w:sz w:val="16"/>
                <w:szCs w:val="16"/>
              </w:rPr>
            </w:pPr>
            <w:r w:rsidRPr="00296946">
              <w:rPr>
                <w:rFonts w:cs="Arial"/>
                <w:b/>
                <w:sz w:val="16"/>
                <w:szCs w:val="16"/>
              </w:rPr>
              <w:t>Large</w:t>
            </w:r>
          </w:p>
        </w:tc>
        <w:tc>
          <w:tcPr>
            <w:tcW w:w="1421" w:type="dxa"/>
            <w:vAlign w:val="center"/>
          </w:tcPr>
          <w:p w:rsidR="00296946" w:rsidRPr="00296946" w:rsidRDefault="00296946" w:rsidP="00251677">
            <w:pPr>
              <w:jc w:val="center"/>
              <w:rPr>
                <w:rFonts w:cs="Arial"/>
                <w:b/>
                <w:sz w:val="16"/>
                <w:szCs w:val="16"/>
              </w:rPr>
            </w:pPr>
            <w:r w:rsidRPr="00296946">
              <w:rPr>
                <w:rFonts w:cs="Arial"/>
                <w:b/>
                <w:sz w:val="16"/>
                <w:szCs w:val="16"/>
              </w:rPr>
              <w:t>Total</w:t>
            </w:r>
          </w:p>
        </w:tc>
      </w:tr>
      <w:tr w:rsidR="00296946" w:rsidRPr="00296946" w:rsidTr="006957C5">
        <w:trPr>
          <w:trHeight w:val="283"/>
          <w:jc w:val="center"/>
        </w:trPr>
        <w:tc>
          <w:tcPr>
            <w:tcW w:w="1420" w:type="dxa"/>
            <w:vAlign w:val="center"/>
          </w:tcPr>
          <w:p w:rsidR="00296946" w:rsidRPr="00296946" w:rsidRDefault="00296946" w:rsidP="00251677">
            <w:pPr>
              <w:jc w:val="center"/>
              <w:rPr>
                <w:rFonts w:cs="Arial"/>
                <w:sz w:val="16"/>
                <w:szCs w:val="16"/>
              </w:rPr>
            </w:pPr>
            <w:r w:rsidRPr="00296946">
              <w:rPr>
                <w:rFonts w:cs="Arial"/>
                <w:sz w:val="16"/>
                <w:szCs w:val="16"/>
              </w:rPr>
              <w:t>England</w:t>
            </w:r>
          </w:p>
        </w:tc>
        <w:tc>
          <w:tcPr>
            <w:tcW w:w="1420" w:type="dxa"/>
            <w:vAlign w:val="center"/>
          </w:tcPr>
          <w:p w:rsidR="00296946" w:rsidRPr="00296946" w:rsidRDefault="00296946" w:rsidP="00251677">
            <w:pPr>
              <w:jc w:val="center"/>
              <w:rPr>
                <w:rFonts w:cs="Arial"/>
                <w:sz w:val="16"/>
                <w:szCs w:val="16"/>
              </w:rPr>
            </w:pPr>
            <w:r w:rsidRPr="00296946">
              <w:rPr>
                <w:rFonts w:cs="Arial"/>
                <w:color w:val="000000"/>
                <w:sz w:val="16"/>
                <w:szCs w:val="16"/>
              </w:rPr>
              <w:t>38,290</w:t>
            </w:r>
          </w:p>
        </w:tc>
        <w:tc>
          <w:tcPr>
            <w:tcW w:w="1420" w:type="dxa"/>
            <w:vAlign w:val="center"/>
          </w:tcPr>
          <w:p w:rsidR="00296946" w:rsidRPr="00296946" w:rsidRDefault="00296946" w:rsidP="00251677">
            <w:pPr>
              <w:jc w:val="center"/>
              <w:rPr>
                <w:rFonts w:cs="Arial"/>
                <w:sz w:val="16"/>
                <w:szCs w:val="16"/>
              </w:rPr>
            </w:pPr>
            <w:r w:rsidRPr="00296946">
              <w:rPr>
                <w:rFonts w:cs="Arial"/>
                <w:color w:val="000000"/>
                <w:sz w:val="16"/>
                <w:szCs w:val="16"/>
              </w:rPr>
              <w:t>1,920</w:t>
            </w:r>
          </w:p>
        </w:tc>
        <w:tc>
          <w:tcPr>
            <w:tcW w:w="1420" w:type="dxa"/>
            <w:vAlign w:val="center"/>
          </w:tcPr>
          <w:p w:rsidR="00296946" w:rsidRPr="00296946" w:rsidRDefault="00296946" w:rsidP="00251677">
            <w:pPr>
              <w:jc w:val="center"/>
              <w:rPr>
                <w:rFonts w:cs="Arial"/>
                <w:sz w:val="16"/>
                <w:szCs w:val="16"/>
              </w:rPr>
            </w:pPr>
            <w:r w:rsidRPr="00296946">
              <w:rPr>
                <w:rFonts w:cs="Arial"/>
                <w:color w:val="000000"/>
                <w:sz w:val="16"/>
                <w:szCs w:val="16"/>
              </w:rPr>
              <w:t>145</w:t>
            </w:r>
          </w:p>
        </w:tc>
        <w:tc>
          <w:tcPr>
            <w:tcW w:w="1421" w:type="dxa"/>
            <w:vAlign w:val="center"/>
          </w:tcPr>
          <w:p w:rsidR="00296946" w:rsidRPr="00296946" w:rsidRDefault="00296946" w:rsidP="00251677">
            <w:pPr>
              <w:jc w:val="center"/>
              <w:rPr>
                <w:rFonts w:cs="Arial"/>
                <w:sz w:val="16"/>
                <w:szCs w:val="16"/>
              </w:rPr>
            </w:pPr>
            <w:r w:rsidRPr="00296946">
              <w:rPr>
                <w:rFonts w:cs="Arial"/>
                <w:color w:val="000000"/>
                <w:sz w:val="16"/>
                <w:szCs w:val="16"/>
              </w:rPr>
              <w:t>45</w:t>
            </w:r>
          </w:p>
        </w:tc>
        <w:tc>
          <w:tcPr>
            <w:tcW w:w="1421" w:type="dxa"/>
            <w:vAlign w:val="center"/>
          </w:tcPr>
          <w:p w:rsidR="00296946" w:rsidRPr="00296946" w:rsidRDefault="00296946" w:rsidP="00251677">
            <w:pPr>
              <w:jc w:val="center"/>
              <w:rPr>
                <w:rFonts w:cs="Arial"/>
                <w:sz w:val="16"/>
                <w:szCs w:val="16"/>
              </w:rPr>
            </w:pPr>
            <w:r w:rsidRPr="00296946">
              <w:rPr>
                <w:rFonts w:cs="Arial"/>
                <w:color w:val="000000"/>
                <w:sz w:val="16"/>
                <w:szCs w:val="16"/>
              </w:rPr>
              <w:t>40,400</w:t>
            </w:r>
          </w:p>
        </w:tc>
      </w:tr>
      <w:tr w:rsidR="00296946" w:rsidRPr="00296946" w:rsidTr="006957C5">
        <w:trPr>
          <w:trHeight w:val="283"/>
          <w:jc w:val="center"/>
        </w:trPr>
        <w:tc>
          <w:tcPr>
            <w:tcW w:w="1420" w:type="dxa"/>
            <w:vAlign w:val="center"/>
          </w:tcPr>
          <w:p w:rsidR="00296946" w:rsidRPr="00296946" w:rsidRDefault="00296946" w:rsidP="00251677">
            <w:pPr>
              <w:jc w:val="center"/>
              <w:rPr>
                <w:rFonts w:cs="Arial"/>
                <w:sz w:val="16"/>
                <w:szCs w:val="16"/>
              </w:rPr>
            </w:pPr>
            <w:r w:rsidRPr="00296946">
              <w:rPr>
                <w:rFonts w:cs="Arial"/>
                <w:sz w:val="16"/>
                <w:szCs w:val="16"/>
              </w:rPr>
              <w:t>Wales</w:t>
            </w:r>
          </w:p>
        </w:tc>
        <w:tc>
          <w:tcPr>
            <w:tcW w:w="1420" w:type="dxa"/>
            <w:vAlign w:val="center"/>
          </w:tcPr>
          <w:p w:rsidR="00296946" w:rsidRPr="00296946" w:rsidRDefault="00296946" w:rsidP="00251677">
            <w:pPr>
              <w:jc w:val="center"/>
              <w:rPr>
                <w:rFonts w:cs="Arial"/>
                <w:sz w:val="16"/>
                <w:szCs w:val="16"/>
              </w:rPr>
            </w:pPr>
            <w:r w:rsidRPr="00296946">
              <w:rPr>
                <w:rFonts w:cs="Arial"/>
                <w:color w:val="000000"/>
                <w:sz w:val="16"/>
                <w:szCs w:val="16"/>
              </w:rPr>
              <w:t>2,294</w:t>
            </w:r>
          </w:p>
        </w:tc>
        <w:tc>
          <w:tcPr>
            <w:tcW w:w="1420" w:type="dxa"/>
            <w:vAlign w:val="center"/>
          </w:tcPr>
          <w:p w:rsidR="00296946" w:rsidRPr="00296946" w:rsidRDefault="00296946" w:rsidP="00251677">
            <w:pPr>
              <w:jc w:val="center"/>
              <w:rPr>
                <w:rFonts w:cs="Arial"/>
                <w:sz w:val="16"/>
                <w:szCs w:val="16"/>
              </w:rPr>
            </w:pPr>
            <w:r w:rsidRPr="00296946">
              <w:rPr>
                <w:rFonts w:cs="Arial"/>
                <w:color w:val="000000"/>
                <w:sz w:val="16"/>
                <w:szCs w:val="16"/>
              </w:rPr>
              <w:t>184</w:t>
            </w:r>
          </w:p>
        </w:tc>
        <w:tc>
          <w:tcPr>
            <w:tcW w:w="1420" w:type="dxa"/>
            <w:vAlign w:val="center"/>
          </w:tcPr>
          <w:p w:rsidR="00296946" w:rsidRPr="00296946" w:rsidRDefault="00296946" w:rsidP="00251677">
            <w:pPr>
              <w:jc w:val="center"/>
              <w:rPr>
                <w:rFonts w:cs="Arial"/>
                <w:sz w:val="16"/>
                <w:szCs w:val="16"/>
              </w:rPr>
            </w:pPr>
            <w:r w:rsidRPr="00296946">
              <w:rPr>
                <w:rFonts w:cs="Arial"/>
                <w:color w:val="000000"/>
                <w:sz w:val="16"/>
                <w:szCs w:val="16"/>
              </w:rPr>
              <w:t>13</w:t>
            </w:r>
          </w:p>
        </w:tc>
        <w:tc>
          <w:tcPr>
            <w:tcW w:w="1421" w:type="dxa"/>
            <w:vAlign w:val="center"/>
          </w:tcPr>
          <w:p w:rsidR="00296946" w:rsidRPr="00296946" w:rsidRDefault="00296946" w:rsidP="00251677">
            <w:pPr>
              <w:jc w:val="center"/>
              <w:rPr>
                <w:rFonts w:cs="Arial"/>
                <w:sz w:val="16"/>
                <w:szCs w:val="16"/>
              </w:rPr>
            </w:pPr>
            <w:r w:rsidRPr="00296946">
              <w:rPr>
                <w:rFonts w:cs="Arial"/>
                <w:color w:val="000000"/>
                <w:sz w:val="16"/>
                <w:szCs w:val="16"/>
              </w:rPr>
              <w:t>4</w:t>
            </w:r>
          </w:p>
        </w:tc>
        <w:tc>
          <w:tcPr>
            <w:tcW w:w="1421" w:type="dxa"/>
            <w:vAlign w:val="center"/>
          </w:tcPr>
          <w:p w:rsidR="00296946" w:rsidRPr="00296946" w:rsidRDefault="00296946" w:rsidP="00251677">
            <w:pPr>
              <w:jc w:val="center"/>
              <w:rPr>
                <w:rFonts w:cs="Arial"/>
                <w:sz w:val="16"/>
                <w:szCs w:val="16"/>
              </w:rPr>
            </w:pPr>
            <w:r w:rsidRPr="00296946">
              <w:rPr>
                <w:rFonts w:cs="Arial"/>
                <w:color w:val="000000"/>
                <w:sz w:val="16"/>
                <w:szCs w:val="16"/>
              </w:rPr>
              <w:t>2,495</w:t>
            </w:r>
          </w:p>
        </w:tc>
      </w:tr>
      <w:tr w:rsidR="00296946" w:rsidRPr="00296946" w:rsidTr="006957C5">
        <w:trPr>
          <w:trHeight w:val="283"/>
          <w:jc w:val="center"/>
        </w:trPr>
        <w:tc>
          <w:tcPr>
            <w:tcW w:w="1420" w:type="dxa"/>
            <w:vAlign w:val="center"/>
          </w:tcPr>
          <w:p w:rsidR="00296946" w:rsidRPr="00296946" w:rsidRDefault="00296946" w:rsidP="00251677">
            <w:pPr>
              <w:jc w:val="center"/>
              <w:rPr>
                <w:rFonts w:cs="Arial"/>
                <w:b/>
                <w:sz w:val="16"/>
                <w:szCs w:val="16"/>
              </w:rPr>
            </w:pPr>
            <w:r w:rsidRPr="00296946">
              <w:rPr>
                <w:rFonts w:cs="Arial"/>
                <w:b/>
                <w:sz w:val="16"/>
                <w:szCs w:val="16"/>
              </w:rPr>
              <w:t>Total</w:t>
            </w:r>
          </w:p>
        </w:tc>
        <w:tc>
          <w:tcPr>
            <w:tcW w:w="1420" w:type="dxa"/>
            <w:vAlign w:val="center"/>
          </w:tcPr>
          <w:p w:rsidR="00296946" w:rsidRPr="00296946" w:rsidRDefault="00296946" w:rsidP="00251677">
            <w:pPr>
              <w:jc w:val="center"/>
              <w:rPr>
                <w:rFonts w:cs="Arial"/>
                <w:b/>
                <w:color w:val="000000"/>
                <w:sz w:val="16"/>
                <w:szCs w:val="16"/>
              </w:rPr>
            </w:pPr>
            <w:r w:rsidRPr="00296946">
              <w:rPr>
                <w:rFonts w:cs="Arial"/>
                <w:b/>
                <w:color w:val="000000"/>
                <w:sz w:val="16"/>
                <w:szCs w:val="16"/>
              </w:rPr>
              <w:t>40,584</w:t>
            </w:r>
          </w:p>
        </w:tc>
        <w:tc>
          <w:tcPr>
            <w:tcW w:w="1420" w:type="dxa"/>
            <w:vAlign w:val="center"/>
          </w:tcPr>
          <w:p w:rsidR="00296946" w:rsidRPr="00296946" w:rsidRDefault="00296946" w:rsidP="00251677">
            <w:pPr>
              <w:jc w:val="center"/>
              <w:rPr>
                <w:rFonts w:cs="Arial"/>
                <w:b/>
                <w:color w:val="000000"/>
                <w:sz w:val="16"/>
                <w:szCs w:val="16"/>
              </w:rPr>
            </w:pPr>
            <w:r w:rsidRPr="00296946">
              <w:rPr>
                <w:rFonts w:cs="Arial"/>
                <w:b/>
                <w:color w:val="000000"/>
                <w:sz w:val="16"/>
                <w:szCs w:val="16"/>
              </w:rPr>
              <w:t>2,104</w:t>
            </w:r>
          </w:p>
        </w:tc>
        <w:tc>
          <w:tcPr>
            <w:tcW w:w="1420" w:type="dxa"/>
            <w:vAlign w:val="center"/>
          </w:tcPr>
          <w:p w:rsidR="00296946" w:rsidRPr="00296946" w:rsidRDefault="00296946" w:rsidP="00251677">
            <w:pPr>
              <w:jc w:val="center"/>
              <w:rPr>
                <w:rFonts w:cs="Arial"/>
                <w:b/>
                <w:color w:val="000000"/>
                <w:sz w:val="16"/>
                <w:szCs w:val="16"/>
              </w:rPr>
            </w:pPr>
            <w:r w:rsidRPr="00296946">
              <w:rPr>
                <w:rFonts w:cs="Arial"/>
                <w:b/>
                <w:color w:val="000000"/>
                <w:sz w:val="16"/>
                <w:szCs w:val="16"/>
              </w:rPr>
              <w:t>158</w:t>
            </w:r>
          </w:p>
        </w:tc>
        <w:tc>
          <w:tcPr>
            <w:tcW w:w="1421" w:type="dxa"/>
            <w:vAlign w:val="center"/>
          </w:tcPr>
          <w:p w:rsidR="00296946" w:rsidRPr="00296946" w:rsidRDefault="00296946" w:rsidP="00251677">
            <w:pPr>
              <w:jc w:val="center"/>
              <w:rPr>
                <w:rFonts w:cs="Arial"/>
                <w:b/>
                <w:color w:val="000000"/>
                <w:sz w:val="16"/>
                <w:szCs w:val="16"/>
              </w:rPr>
            </w:pPr>
            <w:r w:rsidRPr="00296946">
              <w:rPr>
                <w:rFonts w:cs="Arial"/>
                <w:b/>
                <w:color w:val="000000"/>
                <w:sz w:val="16"/>
                <w:szCs w:val="16"/>
              </w:rPr>
              <w:t>49</w:t>
            </w:r>
          </w:p>
        </w:tc>
        <w:tc>
          <w:tcPr>
            <w:tcW w:w="1421" w:type="dxa"/>
            <w:vAlign w:val="center"/>
          </w:tcPr>
          <w:p w:rsidR="00296946" w:rsidRPr="00296946" w:rsidRDefault="00296946" w:rsidP="00251677">
            <w:pPr>
              <w:jc w:val="center"/>
              <w:rPr>
                <w:rFonts w:cs="Arial"/>
                <w:b/>
                <w:color w:val="000000"/>
                <w:sz w:val="16"/>
                <w:szCs w:val="16"/>
              </w:rPr>
            </w:pPr>
            <w:r w:rsidRPr="00296946">
              <w:rPr>
                <w:rFonts w:cs="Arial"/>
                <w:b/>
                <w:color w:val="000000"/>
                <w:sz w:val="16"/>
                <w:szCs w:val="16"/>
              </w:rPr>
              <w:t>42,895</w:t>
            </w:r>
          </w:p>
        </w:tc>
      </w:tr>
    </w:tbl>
    <w:p w:rsidR="00DA3F65" w:rsidRPr="00251677" w:rsidRDefault="00F533AA" w:rsidP="003A5312">
      <w:pPr>
        <w:pStyle w:val="ListParagraph"/>
        <w:numPr>
          <w:ilvl w:val="1"/>
          <w:numId w:val="8"/>
        </w:numPr>
        <w:autoSpaceDE w:val="0"/>
        <w:autoSpaceDN w:val="0"/>
        <w:adjustRightInd w:val="0"/>
        <w:spacing w:before="240" w:after="240" w:line="276" w:lineRule="auto"/>
        <w:jc w:val="both"/>
        <w:rPr>
          <w:rFonts w:ascii="Arial" w:hAnsi="Arial" w:cs="Arial"/>
          <w:bCs/>
          <w:color w:val="000000"/>
        </w:rPr>
      </w:pPr>
      <w:r w:rsidRPr="00251677">
        <w:rPr>
          <w:rFonts w:ascii="Arial" w:hAnsi="Arial" w:cs="Arial"/>
        </w:rPr>
        <w:t xml:space="preserve">Seafood retailers here include any retailer that could potential sell seafood products encompassing general food retailers, retailers not in stores, stalls and markets and those within. In addition, some of the businesses included above could be part of the same organisation meaning they would share management. Therefore the affected population and subsequent costs based on it are likely to </w:t>
      </w:r>
      <w:r w:rsidR="00441454">
        <w:rPr>
          <w:rFonts w:ascii="Arial" w:hAnsi="Arial" w:cs="Arial"/>
        </w:rPr>
        <w:t>be overestimates.</w:t>
      </w:r>
    </w:p>
    <w:p w:rsidR="00DA3F65" w:rsidRPr="00251677" w:rsidRDefault="00DA3F65" w:rsidP="00251677">
      <w:pPr>
        <w:spacing w:line="276" w:lineRule="auto"/>
        <w:jc w:val="both"/>
        <w:rPr>
          <w:rFonts w:cs="Arial"/>
          <w:sz w:val="22"/>
          <w:szCs w:val="22"/>
          <w:u w:val="single"/>
        </w:rPr>
      </w:pPr>
      <w:r w:rsidRPr="00251677">
        <w:rPr>
          <w:rFonts w:cs="Arial"/>
          <w:sz w:val="22"/>
          <w:szCs w:val="22"/>
          <w:u w:val="single"/>
        </w:rPr>
        <w:t>Consumers</w:t>
      </w:r>
    </w:p>
    <w:p w:rsidR="00DA3F65" w:rsidRPr="00251677" w:rsidRDefault="00DA3F65" w:rsidP="00251677">
      <w:pPr>
        <w:autoSpaceDE w:val="0"/>
        <w:autoSpaceDN w:val="0"/>
        <w:adjustRightInd w:val="0"/>
        <w:spacing w:line="276" w:lineRule="auto"/>
        <w:jc w:val="both"/>
        <w:rPr>
          <w:rFonts w:cs="Arial"/>
          <w:sz w:val="22"/>
          <w:szCs w:val="22"/>
        </w:rPr>
      </w:pPr>
    </w:p>
    <w:p w:rsidR="00DA3F65" w:rsidRPr="00251677" w:rsidRDefault="00450D5F" w:rsidP="003A5312">
      <w:pPr>
        <w:pStyle w:val="ListParagraph"/>
        <w:numPr>
          <w:ilvl w:val="1"/>
          <w:numId w:val="8"/>
        </w:numPr>
        <w:autoSpaceDE w:val="0"/>
        <w:autoSpaceDN w:val="0"/>
        <w:adjustRightInd w:val="0"/>
        <w:spacing w:line="276" w:lineRule="auto"/>
        <w:contextualSpacing/>
        <w:jc w:val="both"/>
        <w:rPr>
          <w:rFonts w:ascii="Arial" w:hAnsi="Arial" w:cs="Arial"/>
        </w:rPr>
      </w:pPr>
      <w:r w:rsidRPr="00251677">
        <w:rPr>
          <w:rFonts w:ascii="Arial" w:hAnsi="Arial" w:cs="Arial"/>
        </w:rPr>
        <w:t xml:space="preserve">Successful implementation of the marketing standards and labelling requirements of the CMO in </w:t>
      </w:r>
      <w:r w:rsidR="00252D0B">
        <w:rPr>
          <w:rFonts w:ascii="Arial" w:hAnsi="Arial" w:cs="Arial"/>
        </w:rPr>
        <w:t xml:space="preserve">     </w:t>
      </w:r>
      <w:r w:rsidRPr="00251677">
        <w:rPr>
          <w:rFonts w:ascii="Arial" w:hAnsi="Arial" w:cs="Arial"/>
        </w:rPr>
        <w:t>E &amp; W</w:t>
      </w:r>
      <w:r w:rsidR="00DA3F65" w:rsidRPr="00251677">
        <w:rPr>
          <w:rFonts w:ascii="Arial" w:hAnsi="Arial" w:cs="Arial"/>
        </w:rPr>
        <w:t xml:space="preserve"> will provide consumers with more information about the sustainability of fish products</w:t>
      </w:r>
      <w:r w:rsidRPr="00251677">
        <w:rPr>
          <w:rFonts w:ascii="Arial" w:hAnsi="Arial" w:cs="Arial"/>
        </w:rPr>
        <w:t>; as gear type used is a substantial factor in determining environmental impact of a product.</w:t>
      </w:r>
      <w:r w:rsidR="00DA3F65" w:rsidRPr="00251677">
        <w:rPr>
          <w:rFonts w:ascii="Arial" w:hAnsi="Arial" w:cs="Arial"/>
        </w:rPr>
        <w:t xml:space="preserve"> This additional information should help consumers choose products that are sourced sustainably and</w:t>
      </w:r>
      <w:r w:rsidRPr="00251677">
        <w:rPr>
          <w:rFonts w:ascii="Arial" w:hAnsi="Arial" w:cs="Arial"/>
        </w:rPr>
        <w:t xml:space="preserve"> labelling and marketing standards will</w:t>
      </w:r>
      <w:r w:rsidR="00DA3F65" w:rsidRPr="00251677">
        <w:rPr>
          <w:rFonts w:ascii="Arial" w:hAnsi="Arial" w:cs="Arial"/>
        </w:rPr>
        <w:t xml:space="preserve"> give them c</w:t>
      </w:r>
      <w:r w:rsidRPr="00251677">
        <w:rPr>
          <w:rFonts w:ascii="Arial" w:hAnsi="Arial" w:cs="Arial"/>
        </w:rPr>
        <w:t>onfidence in</w:t>
      </w:r>
      <w:r w:rsidR="00F05BAA" w:rsidRPr="00251677">
        <w:rPr>
          <w:rFonts w:ascii="Arial" w:hAnsi="Arial" w:cs="Arial"/>
        </w:rPr>
        <w:t xml:space="preserve"> the</w:t>
      </w:r>
      <w:r w:rsidRPr="00251677">
        <w:rPr>
          <w:rFonts w:ascii="Arial" w:hAnsi="Arial" w:cs="Arial"/>
        </w:rPr>
        <w:t xml:space="preserve"> quality and safety of products</w:t>
      </w:r>
      <w:r w:rsidR="00DA3F65" w:rsidRPr="00251677">
        <w:rPr>
          <w:rFonts w:ascii="Arial" w:hAnsi="Arial" w:cs="Arial"/>
        </w:rPr>
        <w:t>. The</w:t>
      </w:r>
      <w:r w:rsidRPr="00251677">
        <w:rPr>
          <w:rFonts w:ascii="Arial" w:hAnsi="Arial" w:cs="Arial"/>
        </w:rPr>
        <w:t xml:space="preserve"> changes to </w:t>
      </w:r>
      <w:r w:rsidRPr="00251677">
        <w:rPr>
          <w:rFonts w:ascii="Arial" w:hAnsi="Arial" w:cs="Arial"/>
        </w:rPr>
        <w:lastRenderedPageBreak/>
        <w:t>national legislation are</w:t>
      </w:r>
      <w:r w:rsidR="00DA3F65" w:rsidRPr="00251677">
        <w:rPr>
          <w:rFonts w:ascii="Arial" w:hAnsi="Arial" w:cs="Arial"/>
        </w:rPr>
        <w:t xml:space="preserve"> not expected to place costs directly on consumers but increased costs along the supply chain could be passed onto the</w:t>
      </w:r>
      <w:r w:rsidRPr="00251677">
        <w:rPr>
          <w:rFonts w:ascii="Arial" w:hAnsi="Arial" w:cs="Arial"/>
        </w:rPr>
        <w:t>m in the form of higher prices.</w:t>
      </w:r>
    </w:p>
    <w:p w:rsidR="008B6233" w:rsidRPr="00251677" w:rsidRDefault="008B6233" w:rsidP="00251677">
      <w:pPr>
        <w:pStyle w:val="ListParagraph"/>
        <w:autoSpaceDE w:val="0"/>
        <w:autoSpaceDN w:val="0"/>
        <w:adjustRightInd w:val="0"/>
        <w:spacing w:line="276" w:lineRule="auto"/>
        <w:ind w:left="360"/>
        <w:contextualSpacing/>
        <w:jc w:val="both"/>
        <w:rPr>
          <w:rFonts w:ascii="Arial" w:hAnsi="Arial" w:cs="Arial"/>
        </w:rPr>
      </w:pPr>
    </w:p>
    <w:p w:rsidR="00DA3F65" w:rsidRPr="00251677" w:rsidRDefault="00DA3F65" w:rsidP="00251677">
      <w:pPr>
        <w:spacing w:line="276" w:lineRule="auto"/>
        <w:jc w:val="both"/>
        <w:rPr>
          <w:rFonts w:cs="Arial"/>
          <w:sz w:val="22"/>
          <w:szCs w:val="22"/>
          <w:u w:val="single"/>
        </w:rPr>
      </w:pPr>
      <w:r w:rsidRPr="00251677">
        <w:rPr>
          <w:rFonts w:cs="Arial"/>
          <w:sz w:val="22"/>
          <w:szCs w:val="22"/>
          <w:u w:val="single"/>
        </w:rPr>
        <w:t>Government</w:t>
      </w:r>
    </w:p>
    <w:p w:rsidR="00DA3F65" w:rsidRPr="00251677" w:rsidRDefault="00DA3F65" w:rsidP="00251677">
      <w:pPr>
        <w:spacing w:line="276" w:lineRule="auto"/>
        <w:jc w:val="both"/>
        <w:rPr>
          <w:rFonts w:cs="Arial"/>
          <w:sz w:val="22"/>
          <w:szCs w:val="22"/>
        </w:rPr>
      </w:pPr>
    </w:p>
    <w:p w:rsidR="00B111EB" w:rsidRPr="00251677" w:rsidRDefault="00B111EB" w:rsidP="003A5312">
      <w:pPr>
        <w:pStyle w:val="ListParagraph"/>
        <w:numPr>
          <w:ilvl w:val="1"/>
          <w:numId w:val="8"/>
        </w:numPr>
        <w:spacing w:line="276" w:lineRule="auto"/>
        <w:contextualSpacing/>
        <w:jc w:val="both"/>
        <w:rPr>
          <w:rFonts w:ascii="Arial" w:hAnsi="Arial" w:cs="Arial"/>
        </w:rPr>
      </w:pPr>
      <w:r w:rsidRPr="00251677">
        <w:rPr>
          <w:rFonts w:ascii="Arial" w:hAnsi="Arial" w:cs="Arial"/>
        </w:rPr>
        <w:t>The primary responsibility for enforcing the CMO in England lies with the Marine Management Organisation and in Wales with the Welsh Government. The Marine Management Organisation (MMO) and Welsh Government previously checked operational programmes from POs of their activities and approved them and ensured that they met their objectives. Advice from the MMO</w:t>
      </w:r>
      <w:r w:rsidR="000A14F6">
        <w:rPr>
          <w:rFonts w:ascii="Arial" w:hAnsi="Arial" w:cs="Arial"/>
        </w:rPr>
        <w:t xml:space="preserve"> and WG</w:t>
      </w:r>
      <w:r w:rsidRPr="00251677">
        <w:rPr>
          <w:rFonts w:ascii="Arial" w:hAnsi="Arial" w:cs="Arial"/>
        </w:rPr>
        <w:t xml:space="preserve"> states that this currently takes 2-3 weeks of one person’s time a year. They currently receive and check PO Production and Marketing Plans and approve those plans for implementation. In addition Trading Standards Officers in Local Authorities enforce labelling and marketing standards requirements at the point of final sale. It is assumed that 1 Trading Standards officer is needed to enforce seafood labelling per local authority (LA) and there are 455 LAs in England and Wales (Defra, 2013).</w:t>
      </w:r>
    </w:p>
    <w:p w:rsidR="00973D35" w:rsidRPr="00251677" w:rsidRDefault="00973D35" w:rsidP="00251677">
      <w:pPr>
        <w:spacing w:line="276" w:lineRule="auto"/>
        <w:jc w:val="both"/>
        <w:rPr>
          <w:rFonts w:cs="Arial"/>
          <w:sz w:val="22"/>
          <w:szCs w:val="22"/>
        </w:rPr>
      </w:pPr>
    </w:p>
    <w:p w:rsidR="00DA3F65" w:rsidRPr="00CC3DCC" w:rsidRDefault="00DA3F65" w:rsidP="00CC3DCC">
      <w:pPr>
        <w:spacing w:line="276" w:lineRule="auto"/>
        <w:jc w:val="both"/>
        <w:rPr>
          <w:rFonts w:cs="Arial"/>
          <w:b/>
          <w:sz w:val="22"/>
          <w:szCs w:val="22"/>
        </w:rPr>
      </w:pPr>
      <w:r w:rsidRPr="00CC3DCC">
        <w:rPr>
          <w:rFonts w:cs="Arial"/>
          <w:b/>
          <w:sz w:val="22"/>
          <w:szCs w:val="22"/>
        </w:rPr>
        <w:t xml:space="preserve">Option 1 </w:t>
      </w:r>
      <w:r w:rsidR="00E80DDC" w:rsidRPr="00CC3DCC">
        <w:rPr>
          <w:rFonts w:cs="Arial"/>
          <w:b/>
          <w:sz w:val="22"/>
          <w:szCs w:val="22"/>
        </w:rPr>
        <w:t>(Preferred)</w:t>
      </w:r>
    </w:p>
    <w:p w:rsidR="00DA3F65" w:rsidRPr="00FA324A" w:rsidRDefault="00DA3F65" w:rsidP="00CC3DCC">
      <w:pPr>
        <w:spacing w:line="276" w:lineRule="auto"/>
        <w:jc w:val="both"/>
        <w:rPr>
          <w:rFonts w:cs="Arial"/>
          <w:sz w:val="22"/>
          <w:szCs w:val="22"/>
        </w:rPr>
      </w:pPr>
    </w:p>
    <w:p w:rsidR="00FA324A" w:rsidRPr="00FA324A" w:rsidRDefault="00FA324A" w:rsidP="00FA324A">
      <w:pPr>
        <w:pStyle w:val="ListParagraph"/>
        <w:numPr>
          <w:ilvl w:val="1"/>
          <w:numId w:val="8"/>
        </w:numPr>
        <w:spacing w:after="240" w:line="276" w:lineRule="auto"/>
        <w:jc w:val="both"/>
        <w:rPr>
          <w:rFonts w:ascii="Arial" w:hAnsi="Arial" w:cs="Arial"/>
        </w:rPr>
      </w:pPr>
      <w:r w:rsidRPr="00FA324A">
        <w:rPr>
          <w:rFonts w:ascii="Arial" w:hAnsi="Arial" w:cs="Arial"/>
        </w:rPr>
        <w:t>To update legislation in England and Wales to allow for enforcement of the new CMO regulation. This involves providing powers for enforcement agencies to ensure compliance with the CMO regulation including changes to seafood labelling requirements. This policy option implements the CMO at the least cost by only imposing the minimum mandatory requirements of the regulation and ensuring effective and proportionate enforcement.</w:t>
      </w:r>
    </w:p>
    <w:p w:rsidR="00CC3DCC" w:rsidRPr="00CC3DCC" w:rsidRDefault="00CC3DCC" w:rsidP="00CC3DCC">
      <w:pPr>
        <w:spacing w:after="240" w:line="276" w:lineRule="auto"/>
        <w:jc w:val="both"/>
        <w:rPr>
          <w:rFonts w:cs="Arial"/>
          <w:sz w:val="22"/>
          <w:u w:val="single"/>
        </w:rPr>
      </w:pPr>
      <w:r w:rsidRPr="00CC3DCC">
        <w:rPr>
          <w:rFonts w:cs="Arial"/>
          <w:sz w:val="22"/>
          <w:u w:val="single"/>
        </w:rPr>
        <w:t>Enforcement Powers</w:t>
      </w:r>
      <w:r w:rsidR="00941DDC">
        <w:rPr>
          <w:rFonts w:cs="Arial"/>
          <w:sz w:val="22"/>
          <w:u w:val="single"/>
        </w:rPr>
        <w:t xml:space="preserve"> proposed</w:t>
      </w:r>
      <w:r>
        <w:rPr>
          <w:rFonts w:cs="Arial"/>
          <w:sz w:val="22"/>
          <w:u w:val="single"/>
        </w:rPr>
        <w:t xml:space="preserve"> under Option 1</w:t>
      </w:r>
    </w:p>
    <w:p w:rsidR="00CC3DCC" w:rsidRPr="00CC3DCC" w:rsidRDefault="00CC3DCC" w:rsidP="00417EA4">
      <w:pPr>
        <w:pStyle w:val="ListParagraph"/>
        <w:numPr>
          <w:ilvl w:val="1"/>
          <w:numId w:val="8"/>
        </w:numPr>
        <w:spacing w:after="240" w:line="276" w:lineRule="auto"/>
        <w:jc w:val="both"/>
        <w:rPr>
          <w:rFonts w:cs="Arial"/>
        </w:rPr>
      </w:pPr>
      <w:r w:rsidRPr="003A5312">
        <w:rPr>
          <w:rFonts w:ascii="Arial" w:hAnsi="Arial" w:cs="Arial"/>
        </w:rPr>
        <w:t>The new CMO is delivered through Regulation 1379/2013 which came into force on 1 January 2014. The requirements in respect of marketing and fish labelling need to be implemented into English and Welsh legislation to give enforcement officers of the Marine Management Organisation</w:t>
      </w:r>
      <w:r w:rsidR="00A055B6">
        <w:rPr>
          <w:rFonts w:ascii="Arial" w:hAnsi="Arial" w:cs="Arial"/>
        </w:rPr>
        <w:t xml:space="preserve"> </w:t>
      </w:r>
      <w:r w:rsidRPr="003A5312">
        <w:rPr>
          <w:rFonts w:ascii="Arial" w:hAnsi="Arial" w:cs="Arial"/>
        </w:rPr>
        <w:t>and Trading Standards Officers the power</w:t>
      </w:r>
      <w:r w:rsidR="002A55C8" w:rsidRPr="003A5312">
        <w:rPr>
          <w:rFonts w:ascii="Arial" w:hAnsi="Arial" w:cs="Arial"/>
        </w:rPr>
        <w:t xml:space="preserve">, including entering premises </w:t>
      </w:r>
      <w:r w:rsidR="002A55C8">
        <w:rPr>
          <w:rFonts w:ascii="Arial" w:hAnsi="Arial" w:cs="Arial"/>
        </w:rPr>
        <w:t>to carry out compliance checks,</w:t>
      </w:r>
      <w:r w:rsidRPr="003A5312">
        <w:rPr>
          <w:rFonts w:ascii="Arial" w:hAnsi="Arial" w:cs="Arial"/>
        </w:rPr>
        <w:t xml:space="preserve"> to enforce</w:t>
      </w:r>
      <w:r w:rsidR="002A55C8">
        <w:rPr>
          <w:rFonts w:ascii="Arial" w:hAnsi="Arial" w:cs="Arial"/>
        </w:rPr>
        <w:t xml:space="preserve"> </w:t>
      </w:r>
      <w:r w:rsidRPr="003A5312">
        <w:rPr>
          <w:rFonts w:ascii="Arial" w:hAnsi="Arial" w:cs="Arial"/>
        </w:rPr>
        <w:t xml:space="preserve">the new Regulation. An absence of adequate regulation on marketing standards could lead to fish and aquaculture </w:t>
      </w:r>
      <w:r w:rsidRPr="000C6227">
        <w:rPr>
          <w:rFonts w:ascii="Arial" w:hAnsi="Arial" w:cs="Arial"/>
        </w:rPr>
        <w:t>products not being checked for size, weight, freshness, quality, packing, presentation and labelling of the relevant fishery and aquaculture products. This could lead to</w:t>
      </w:r>
      <w:r w:rsidR="002A55C8" w:rsidRPr="000C6227">
        <w:rPr>
          <w:rFonts w:ascii="Arial" w:hAnsi="Arial" w:cs="Arial"/>
        </w:rPr>
        <w:t xml:space="preserve"> unsafe and / or illegal</w:t>
      </w:r>
      <w:r w:rsidRPr="000C6227">
        <w:rPr>
          <w:rFonts w:ascii="Arial" w:hAnsi="Arial" w:cs="Arial"/>
        </w:rPr>
        <w:t xml:space="preserve"> products entering the human food chain and with no recourse to fines.</w:t>
      </w:r>
      <w:r w:rsidR="000C6227" w:rsidRPr="000C6227">
        <w:rPr>
          <w:rFonts w:ascii="Arial" w:hAnsi="Arial" w:cs="Arial"/>
        </w:rPr>
        <w:t xml:space="preserve"> </w:t>
      </w:r>
    </w:p>
    <w:p w:rsidR="008C0AB3" w:rsidRPr="00417EA4" w:rsidRDefault="003A5312" w:rsidP="008C0AB3">
      <w:pPr>
        <w:pStyle w:val="ListParagraph"/>
        <w:numPr>
          <w:ilvl w:val="1"/>
          <w:numId w:val="8"/>
        </w:numPr>
        <w:spacing w:line="276" w:lineRule="auto"/>
        <w:jc w:val="both"/>
        <w:rPr>
          <w:rFonts w:ascii="Arial" w:hAnsi="Arial" w:cs="Arial"/>
        </w:rPr>
      </w:pPr>
      <w:r>
        <w:rPr>
          <w:rFonts w:ascii="Arial" w:hAnsi="Arial" w:cs="Arial"/>
        </w:rPr>
        <w:t>The</w:t>
      </w:r>
      <w:r w:rsidR="00CC3DCC" w:rsidRPr="003A5312">
        <w:rPr>
          <w:rFonts w:ascii="Arial" w:hAnsi="Arial" w:cs="Arial"/>
        </w:rPr>
        <w:t xml:space="preserve"> aim is to ensure that fish and aquaculture products are safe to the consumer and the environment.  The new domestic legislation will allow inspectors to search premises </w:t>
      </w:r>
      <w:r w:rsidR="007E01A3">
        <w:rPr>
          <w:rFonts w:ascii="Arial" w:hAnsi="Arial" w:cs="Arial"/>
        </w:rPr>
        <w:t xml:space="preserve">(other than premises used as a dwelling) </w:t>
      </w:r>
      <w:r w:rsidR="00CC3DCC" w:rsidRPr="003A5312">
        <w:rPr>
          <w:rFonts w:ascii="Arial" w:hAnsi="Arial" w:cs="Arial"/>
        </w:rPr>
        <w:t>and gather evidence of criminal activities and serve improvement</w:t>
      </w:r>
      <w:r w:rsidR="007E01A3">
        <w:rPr>
          <w:rFonts w:ascii="Arial" w:hAnsi="Arial" w:cs="Arial"/>
        </w:rPr>
        <w:t xml:space="preserve"> or </w:t>
      </w:r>
      <w:r w:rsidR="007E01A3" w:rsidRPr="000C6227">
        <w:rPr>
          <w:rFonts w:ascii="Arial" w:hAnsi="Arial" w:cs="Arial"/>
        </w:rPr>
        <w:t>compliance</w:t>
      </w:r>
      <w:r w:rsidR="00CC3DCC" w:rsidRPr="000C6227">
        <w:rPr>
          <w:rFonts w:ascii="Arial" w:hAnsi="Arial" w:cs="Arial"/>
        </w:rPr>
        <w:t xml:space="preserve"> notices</w:t>
      </w:r>
      <w:r w:rsidR="000C6227" w:rsidRPr="000C6227">
        <w:rPr>
          <w:rFonts w:ascii="Arial" w:hAnsi="Arial" w:cs="Arial"/>
        </w:rPr>
        <w:t xml:space="preserve"> in the first instance where enforcement bodies have found evidence of non-compliance of EU or national legislation</w:t>
      </w:r>
      <w:r w:rsidR="00CC3DCC" w:rsidRPr="000C6227">
        <w:rPr>
          <w:rFonts w:ascii="Arial" w:hAnsi="Arial" w:cs="Arial"/>
        </w:rPr>
        <w:t>.</w:t>
      </w:r>
      <w:r w:rsidRPr="000C6227">
        <w:rPr>
          <w:rFonts w:ascii="Arial" w:hAnsi="Arial" w:cs="Arial"/>
        </w:rPr>
        <w:t xml:space="preserve"> Failure</w:t>
      </w:r>
      <w:r w:rsidR="00CC3DCC" w:rsidRPr="003A5312">
        <w:rPr>
          <w:rFonts w:ascii="Arial" w:hAnsi="Arial" w:cs="Arial"/>
        </w:rPr>
        <w:t xml:space="preserve"> to provide the MMO</w:t>
      </w:r>
      <w:r w:rsidR="002A55C8">
        <w:rPr>
          <w:rFonts w:ascii="Arial" w:hAnsi="Arial" w:cs="Arial"/>
        </w:rPr>
        <w:t>, WG</w:t>
      </w:r>
      <w:r w:rsidR="00CC3DCC" w:rsidRPr="003A5312">
        <w:rPr>
          <w:rFonts w:ascii="Arial" w:hAnsi="Arial" w:cs="Arial"/>
        </w:rPr>
        <w:t xml:space="preserve"> and TSOs with the power to check compliance with the regulation and</w:t>
      </w:r>
      <w:r w:rsidR="002A55C8">
        <w:rPr>
          <w:rFonts w:ascii="Arial" w:hAnsi="Arial" w:cs="Arial"/>
        </w:rPr>
        <w:t xml:space="preserve"> will</w:t>
      </w:r>
      <w:r w:rsidR="00CC3DCC" w:rsidRPr="003A5312">
        <w:rPr>
          <w:rFonts w:ascii="Arial" w:hAnsi="Arial" w:cs="Arial"/>
        </w:rPr>
        <w:t xml:space="preserve"> be detrimental to consumer protection, with an increased likelihood of unfit, unsafe, undersized fish entering the food chain as these are checks carried out on point of first sale and then further down the line</w:t>
      </w:r>
      <w:r w:rsidR="002A55C8">
        <w:rPr>
          <w:rFonts w:ascii="Arial" w:hAnsi="Arial" w:cs="Arial"/>
        </w:rPr>
        <w:t>,</w:t>
      </w:r>
      <w:r w:rsidR="00CC3DCC" w:rsidRPr="003A5312">
        <w:rPr>
          <w:rFonts w:ascii="Arial" w:hAnsi="Arial" w:cs="Arial"/>
        </w:rPr>
        <w:t xml:space="preserve"> which relate to traceability of products. In view of the possibility of serious risk to human health and to the environment that would result if the regulations were not enforced or in place, </w:t>
      </w:r>
      <w:r w:rsidR="00170FF0">
        <w:rPr>
          <w:rFonts w:ascii="Arial" w:hAnsi="Arial" w:cs="Arial"/>
        </w:rPr>
        <w:t>it is considered</w:t>
      </w:r>
      <w:r w:rsidR="00CC3DCC" w:rsidRPr="003A5312">
        <w:rPr>
          <w:rFonts w:ascii="Arial" w:hAnsi="Arial" w:cs="Arial"/>
        </w:rPr>
        <w:t xml:space="preserve"> justifiable</w:t>
      </w:r>
      <w:r w:rsidR="00207805">
        <w:rPr>
          <w:rFonts w:ascii="Arial" w:hAnsi="Arial" w:cs="Arial"/>
        </w:rPr>
        <w:t xml:space="preserve"> and</w:t>
      </w:r>
      <w:r w:rsidR="00CC3DCC" w:rsidRPr="003A5312">
        <w:rPr>
          <w:rFonts w:ascii="Arial" w:hAnsi="Arial" w:cs="Arial"/>
        </w:rPr>
        <w:t xml:space="preserve"> </w:t>
      </w:r>
      <w:r w:rsidR="00207805" w:rsidRPr="003A5312">
        <w:rPr>
          <w:rFonts w:ascii="Arial" w:hAnsi="Arial" w:cs="Arial"/>
        </w:rPr>
        <w:t xml:space="preserve">proportionate </w:t>
      </w:r>
      <w:r w:rsidR="00CC3DCC" w:rsidRPr="003A5312">
        <w:rPr>
          <w:rFonts w:ascii="Arial" w:hAnsi="Arial" w:cs="Arial"/>
        </w:rPr>
        <w:t>to include the powers of entry proposed.</w:t>
      </w:r>
      <w:r w:rsidR="00144833">
        <w:rPr>
          <w:rFonts w:ascii="Arial" w:hAnsi="Arial" w:cs="Arial"/>
        </w:rPr>
        <w:t xml:space="preserve"> As the powers relate to business premises, there is no anticipated impact on civil liberties.</w:t>
      </w:r>
    </w:p>
    <w:p w:rsidR="00610F70" w:rsidRPr="00CC3DCC" w:rsidRDefault="00610F70" w:rsidP="00CC3DCC">
      <w:pPr>
        <w:jc w:val="both"/>
        <w:rPr>
          <w:rFonts w:cs="Arial"/>
          <w:sz w:val="20"/>
          <w:szCs w:val="20"/>
        </w:rPr>
      </w:pPr>
    </w:p>
    <w:p w:rsidR="00DA3F65" w:rsidRPr="00251677" w:rsidRDefault="00DA3F65" w:rsidP="003A5312">
      <w:pPr>
        <w:pStyle w:val="ListParagraph"/>
        <w:numPr>
          <w:ilvl w:val="0"/>
          <w:numId w:val="9"/>
        </w:numPr>
        <w:spacing w:after="240" w:line="276" w:lineRule="auto"/>
        <w:contextualSpacing/>
        <w:jc w:val="both"/>
        <w:rPr>
          <w:rFonts w:ascii="Arial" w:hAnsi="Arial" w:cs="Arial"/>
          <w:b/>
          <w:sz w:val="24"/>
        </w:rPr>
      </w:pPr>
      <w:r w:rsidRPr="00251677">
        <w:rPr>
          <w:rFonts w:ascii="Arial" w:hAnsi="Arial" w:cs="Arial"/>
          <w:b/>
          <w:sz w:val="24"/>
        </w:rPr>
        <w:t>Costs</w:t>
      </w:r>
      <w:r w:rsidR="00646E3C">
        <w:rPr>
          <w:rFonts w:ascii="Arial" w:hAnsi="Arial" w:cs="Arial"/>
          <w:b/>
          <w:sz w:val="24"/>
        </w:rPr>
        <w:t xml:space="preserve"> of Policy</w:t>
      </w:r>
      <w:r w:rsidR="00354B38">
        <w:rPr>
          <w:rFonts w:ascii="Arial" w:hAnsi="Arial" w:cs="Arial"/>
          <w:b/>
          <w:sz w:val="24"/>
        </w:rPr>
        <w:t xml:space="preserve"> Options</w:t>
      </w:r>
    </w:p>
    <w:p w:rsidR="005A2338" w:rsidRPr="00251677" w:rsidRDefault="005A2338" w:rsidP="00251677">
      <w:pPr>
        <w:pStyle w:val="ListParagraph"/>
        <w:spacing w:after="240" w:line="276" w:lineRule="auto"/>
        <w:ind w:left="360"/>
        <w:contextualSpacing/>
        <w:jc w:val="both"/>
        <w:rPr>
          <w:rFonts w:ascii="Arial" w:hAnsi="Arial" w:cs="Arial"/>
          <w:b/>
        </w:rPr>
      </w:pPr>
    </w:p>
    <w:p w:rsidR="00DA3F65" w:rsidRDefault="005A2338" w:rsidP="003A5312">
      <w:pPr>
        <w:pStyle w:val="ListParagraph"/>
        <w:numPr>
          <w:ilvl w:val="1"/>
          <w:numId w:val="9"/>
        </w:numPr>
        <w:spacing w:after="240" w:line="276" w:lineRule="auto"/>
        <w:jc w:val="both"/>
        <w:rPr>
          <w:rFonts w:ascii="Arial" w:hAnsi="Arial" w:cs="Arial"/>
        </w:rPr>
      </w:pPr>
      <w:r w:rsidRPr="00251677">
        <w:rPr>
          <w:rFonts w:ascii="Arial" w:hAnsi="Arial" w:cs="Arial"/>
        </w:rPr>
        <w:t xml:space="preserve">Analysis is carried out over a 10 year period as per Green Book guidance; so the analysis period is 2014-2023. The revised CMO will be reviewed in 2019 by Defra and by the commission in 2022. </w:t>
      </w:r>
      <w:r w:rsidRPr="00251677">
        <w:rPr>
          <w:rFonts w:ascii="Arial" w:hAnsi="Arial" w:cs="Arial"/>
        </w:rPr>
        <w:lastRenderedPageBreak/>
        <w:t xml:space="preserve">Overall, implementation in E &amp; W is expected to affect approximately 48,000 businesses but these effects will be individually minor. </w:t>
      </w:r>
      <w:r w:rsidR="0008742A" w:rsidRPr="00251677">
        <w:rPr>
          <w:rFonts w:ascii="Arial" w:hAnsi="Arial" w:cs="Arial"/>
        </w:rPr>
        <w:t>Costs are discounted at the treasury discount rate of 3.5%.</w:t>
      </w:r>
    </w:p>
    <w:p w:rsidR="00416FC0" w:rsidRPr="00B23F41" w:rsidRDefault="00416FC0" w:rsidP="00B23F41">
      <w:pPr>
        <w:pStyle w:val="ListParagraph"/>
        <w:numPr>
          <w:ilvl w:val="1"/>
          <w:numId w:val="9"/>
        </w:numPr>
        <w:spacing w:after="240" w:line="276" w:lineRule="auto"/>
        <w:jc w:val="both"/>
        <w:rPr>
          <w:rFonts w:ascii="Arial" w:hAnsi="Arial" w:cs="Arial"/>
        </w:rPr>
      </w:pPr>
      <w:r w:rsidRPr="007D2214">
        <w:rPr>
          <w:rFonts w:ascii="Arial" w:hAnsi="Arial" w:cs="Arial"/>
        </w:rPr>
        <w:t>The costs of this option have been informed by preliminary industry consultations including multiple requests for evidence and a face-to-face meeting with POs in October 2013. In addition expert advice was provided by the MMO, the Food and Drink Federation (FDF), the Fishmongers’ Company (FMC), the Food Standards Agency (FSA) and Welsh Government. Costs will be further refined</w:t>
      </w:r>
      <w:r>
        <w:rPr>
          <w:rFonts w:ascii="Arial" w:hAnsi="Arial" w:cs="Arial"/>
        </w:rPr>
        <w:t xml:space="preserve"> following consultation</w:t>
      </w:r>
      <w:r w:rsidR="008A0AB8">
        <w:rPr>
          <w:rFonts w:ascii="Arial" w:hAnsi="Arial" w:cs="Arial"/>
        </w:rPr>
        <w:t xml:space="preserve"> if evidence is provided that refinements are necessary</w:t>
      </w:r>
      <w:r w:rsidRPr="007D2214">
        <w:rPr>
          <w:rFonts w:ascii="Arial" w:hAnsi="Arial" w:cs="Arial"/>
        </w:rPr>
        <w:t>.</w:t>
      </w:r>
    </w:p>
    <w:p w:rsidR="0010284A" w:rsidRPr="00251677" w:rsidRDefault="0010284A" w:rsidP="00251677">
      <w:pPr>
        <w:spacing w:after="240" w:line="276" w:lineRule="auto"/>
        <w:jc w:val="both"/>
        <w:rPr>
          <w:rFonts w:cs="Arial"/>
          <w:b/>
          <w:sz w:val="22"/>
          <w:szCs w:val="22"/>
        </w:rPr>
      </w:pPr>
      <w:r w:rsidRPr="00251677">
        <w:rPr>
          <w:rFonts w:cs="Arial"/>
          <w:b/>
          <w:sz w:val="22"/>
          <w:szCs w:val="22"/>
        </w:rPr>
        <w:t>Option 0 (</w:t>
      </w:r>
      <w:r w:rsidR="001F522C" w:rsidRPr="00251677">
        <w:rPr>
          <w:rFonts w:cs="Arial"/>
          <w:b/>
          <w:sz w:val="22"/>
          <w:szCs w:val="22"/>
        </w:rPr>
        <w:t>baseline</w:t>
      </w:r>
      <w:r w:rsidRPr="00251677">
        <w:rPr>
          <w:rFonts w:cs="Arial"/>
          <w:b/>
          <w:sz w:val="22"/>
          <w:szCs w:val="22"/>
        </w:rPr>
        <w:t>)</w:t>
      </w:r>
    </w:p>
    <w:p w:rsidR="0010284A" w:rsidRPr="00251677" w:rsidRDefault="0010284A" w:rsidP="003A5312">
      <w:pPr>
        <w:pStyle w:val="ListParagraph"/>
        <w:numPr>
          <w:ilvl w:val="1"/>
          <w:numId w:val="9"/>
        </w:numPr>
        <w:spacing w:after="240" w:line="276" w:lineRule="auto"/>
        <w:jc w:val="both"/>
        <w:rPr>
          <w:rFonts w:ascii="Arial" w:hAnsi="Arial" w:cs="Arial"/>
        </w:rPr>
      </w:pPr>
      <w:r w:rsidRPr="00251677">
        <w:rPr>
          <w:rFonts w:ascii="Arial" w:hAnsi="Arial" w:cs="Arial"/>
        </w:rPr>
        <w:t>The amended CMO came into force 1</w:t>
      </w:r>
      <w:r w:rsidRPr="00251677">
        <w:rPr>
          <w:rFonts w:ascii="Arial" w:hAnsi="Arial" w:cs="Arial"/>
          <w:vertAlign w:val="superscript"/>
        </w:rPr>
        <w:t>st</w:t>
      </w:r>
      <w:r w:rsidRPr="00251677">
        <w:rPr>
          <w:rFonts w:ascii="Arial" w:hAnsi="Arial" w:cs="Arial"/>
        </w:rPr>
        <w:t xml:space="preserve"> January 2014. Some parts of the reformed CMO (the PMP changes and PO reporting requirements that require no amendments to legislation) are already applicable in E &amp; W. The elements of the amended CMO that are the focus of this analysis are those aspects which require changes in legislation, in particular </w:t>
      </w:r>
      <w:r w:rsidR="00207805">
        <w:rPr>
          <w:rFonts w:ascii="Arial" w:hAnsi="Arial" w:cs="Arial"/>
        </w:rPr>
        <w:t xml:space="preserve">updating the </w:t>
      </w:r>
      <w:r w:rsidR="00207805" w:rsidRPr="00251677">
        <w:rPr>
          <w:rFonts w:ascii="Arial" w:hAnsi="Arial" w:cs="Arial"/>
        </w:rPr>
        <w:t>marketing standards regulation</w:t>
      </w:r>
      <w:r w:rsidR="00207805">
        <w:rPr>
          <w:rFonts w:ascii="Arial" w:hAnsi="Arial" w:cs="Arial"/>
        </w:rPr>
        <w:t>s</w:t>
      </w:r>
      <w:r w:rsidR="00207805" w:rsidRPr="00251677">
        <w:rPr>
          <w:rFonts w:ascii="Arial" w:hAnsi="Arial" w:cs="Arial"/>
        </w:rPr>
        <w:t xml:space="preserve"> </w:t>
      </w:r>
      <w:r w:rsidR="00207805">
        <w:rPr>
          <w:rFonts w:ascii="Arial" w:hAnsi="Arial" w:cs="Arial"/>
        </w:rPr>
        <w:t xml:space="preserve">and reflecting </w:t>
      </w:r>
      <w:r w:rsidRPr="00251677">
        <w:rPr>
          <w:rFonts w:ascii="Arial" w:hAnsi="Arial" w:cs="Arial"/>
        </w:rPr>
        <w:t xml:space="preserve">the </w:t>
      </w:r>
      <w:r w:rsidR="00207805">
        <w:rPr>
          <w:rFonts w:ascii="Arial" w:hAnsi="Arial" w:cs="Arial"/>
        </w:rPr>
        <w:t xml:space="preserve">necessary </w:t>
      </w:r>
      <w:r w:rsidRPr="00251677">
        <w:rPr>
          <w:rFonts w:ascii="Arial" w:hAnsi="Arial" w:cs="Arial"/>
        </w:rPr>
        <w:t>labelling changes which come into force 13</w:t>
      </w:r>
      <w:r w:rsidRPr="00251677">
        <w:rPr>
          <w:rFonts w:ascii="Arial" w:hAnsi="Arial" w:cs="Arial"/>
          <w:vertAlign w:val="superscript"/>
        </w:rPr>
        <w:t>th</w:t>
      </w:r>
      <w:r w:rsidR="008C0AB3">
        <w:rPr>
          <w:rFonts w:ascii="Arial" w:hAnsi="Arial" w:cs="Arial"/>
        </w:rPr>
        <w:t xml:space="preserve"> December 2014</w:t>
      </w:r>
      <w:r w:rsidRPr="00251677">
        <w:rPr>
          <w:rFonts w:ascii="Arial" w:hAnsi="Arial" w:cs="Arial"/>
        </w:rPr>
        <w:t>. Therefore the relevant baseline costs are</w:t>
      </w:r>
      <w:r w:rsidR="00251677" w:rsidRPr="00251677">
        <w:rPr>
          <w:rFonts w:ascii="Arial" w:hAnsi="Arial" w:cs="Arial"/>
        </w:rPr>
        <w:t xml:space="preserve"> the costs of complying with and enforcing</w:t>
      </w:r>
      <w:r w:rsidRPr="00251677">
        <w:rPr>
          <w:rFonts w:ascii="Arial" w:hAnsi="Arial" w:cs="Arial"/>
        </w:rPr>
        <w:t xml:space="preserve"> the labelling requir</w:t>
      </w:r>
      <w:r w:rsidR="00251677" w:rsidRPr="00251677">
        <w:rPr>
          <w:rFonts w:ascii="Arial" w:hAnsi="Arial" w:cs="Arial"/>
        </w:rPr>
        <w:t>ements and marketing standards</w:t>
      </w:r>
      <w:r w:rsidRPr="00251677">
        <w:rPr>
          <w:rFonts w:ascii="Arial" w:hAnsi="Arial" w:cs="Arial"/>
        </w:rPr>
        <w:t xml:space="preserve"> under the previous CMO</w:t>
      </w:r>
      <w:r w:rsidR="00416FC0">
        <w:rPr>
          <w:rFonts w:ascii="Arial" w:hAnsi="Arial" w:cs="Arial"/>
        </w:rPr>
        <w:t xml:space="preserve">, the enforcement costs are not anticipated to be any greater under option 1 than option 0 </w:t>
      </w:r>
      <w:r w:rsidR="00B23F41">
        <w:rPr>
          <w:rFonts w:ascii="Arial" w:hAnsi="Arial" w:cs="Arial"/>
        </w:rPr>
        <w:t>based on advice from the MMO, WG, and FSA.</w:t>
      </w:r>
      <w:r w:rsidR="00251677" w:rsidRPr="00251677">
        <w:rPr>
          <w:rFonts w:ascii="Arial" w:hAnsi="Arial" w:cs="Arial"/>
        </w:rPr>
        <w:t xml:space="preserve"> Baseline costs have not been quantified as they will occur regardless of implementation of the CMO under Option 1.</w:t>
      </w:r>
    </w:p>
    <w:p w:rsidR="00DA3F65" w:rsidRPr="00251677" w:rsidRDefault="00DA3F65" w:rsidP="00251677">
      <w:pPr>
        <w:pStyle w:val="ListParagraph"/>
        <w:spacing w:line="276" w:lineRule="auto"/>
        <w:ind w:left="0"/>
        <w:jc w:val="both"/>
        <w:rPr>
          <w:rFonts w:ascii="Arial" w:hAnsi="Arial" w:cs="Arial"/>
          <w:b/>
        </w:rPr>
      </w:pPr>
      <w:r w:rsidRPr="00251677">
        <w:rPr>
          <w:rFonts w:ascii="Arial" w:hAnsi="Arial" w:cs="Arial"/>
          <w:b/>
        </w:rPr>
        <w:t>Option 1</w:t>
      </w:r>
      <w:r w:rsidR="00AA52D1" w:rsidRPr="00251677">
        <w:rPr>
          <w:rFonts w:ascii="Arial" w:hAnsi="Arial" w:cs="Arial"/>
          <w:b/>
        </w:rPr>
        <w:t xml:space="preserve"> (preferred)</w:t>
      </w:r>
    </w:p>
    <w:p w:rsidR="00690C38" w:rsidRPr="00251677" w:rsidRDefault="00690C38" w:rsidP="00251677">
      <w:pPr>
        <w:pStyle w:val="ListParagraph"/>
        <w:spacing w:line="276" w:lineRule="auto"/>
        <w:ind w:left="0"/>
        <w:jc w:val="both"/>
        <w:rPr>
          <w:rFonts w:ascii="Arial" w:hAnsi="Arial" w:cs="Arial"/>
          <w:b/>
        </w:rPr>
      </w:pPr>
    </w:p>
    <w:p w:rsidR="00EF5DA6" w:rsidRPr="005A0A54" w:rsidRDefault="00EF5DA6" w:rsidP="00EF5DA6">
      <w:pPr>
        <w:spacing w:after="240" w:line="276" w:lineRule="auto"/>
        <w:jc w:val="both"/>
        <w:rPr>
          <w:rFonts w:cs="Arial"/>
          <w:sz w:val="22"/>
          <w:u w:val="single"/>
        </w:rPr>
      </w:pPr>
      <w:r w:rsidRPr="005A0A54">
        <w:rPr>
          <w:rFonts w:cs="Arial"/>
          <w:sz w:val="22"/>
          <w:u w:val="single"/>
        </w:rPr>
        <w:t>Industry Costs</w:t>
      </w:r>
    </w:p>
    <w:p w:rsidR="00431475" w:rsidRDefault="0008742A" w:rsidP="003A5312">
      <w:pPr>
        <w:pStyle w:val="ListParagraph"/>
        <w:numPr>
          <w:ilvl w:val="1"/>
          <w:numId w:val="9"/>
        </w:numPr>
        <w:spacing w:after="240" w:line="276" w:lineRule="auto"/>
        <w:contextualSpacing/>
        <w:jc w:val="both"/>
        <w:rPr>
          <w:rFonts w:ascii="Arial" w:hAnsi="Arial" w:cs="Arial"/>
        </w:rPr>
      </w:pPr>
      <w:r w:rsidRPr="00251677">
        <w:rPr>
          <w:rFonts w:ascii="Arial" w:hAnsi="Arial" w:cs="Arial"/>
        </w:rPr>
        <w:t>Industry will be affected due to the minor labelling changes resulting from the</w:t>
      </w:r>
      <w:r w:rsidR="007D2214">
        <w:rPr>
          <w:rFonts w:ascii="Arial" w:hAnsi="Arial" w:cs="Arial"/>
        </w:rPr>
        <w:t xml:space="preserve"> implementation of the</w:t>
      </w:r>
      <w:r w:rsidRPr="00251677">
        <w:rPr>
          <w:rFonts w:ascii="Arial" w:hAnsi="Arial" w:cs="Arial"/>
        </w:rPr>
        <w:t xml:space="preserve"> reformed CMO</w:t>
      </w:r>
      <w:r w:rsidR="00431475">
        <w:rPr>
          <w:rFonts w:ascii="Arial" w:hAnsi="Arial" w:cs="Arial"/>
        </w:rPr>
        <w:t xml:space="preserve"> in E &amp; W</w:t>
      </w:r>
      <w:r w:rsidRPr="00251677">
        <w:rPr>
          <w:rFonts w:ascii="Arial" w:hAnsi="Arial" w:cs="Arial"/>
        </w:rPr>
        <w:t>. This analysis follows the methodology from the impact assessments on Provision of Food Information to Consumers Regulation (FIC)</w:t>
      </w:r>
      <w:r w:rsidRPr="00251677">
        <w:rPr>
          <w:rStyle w:val="FootnoteReference"/>
          <w:rFonts w:ascii="Arial" w:hAnsi="Arial" w:cs="Arial"/>
        </w:rPr>
        <w:footnoteReference w:id="19"/>
      </w:r>
      <w:r w:rsidRPr="00251677">
        <w:rPr>
          <w:rFonts w:ascii="Arial" w:hAnsi="Arial" w:cs="Arial"/>
        </w:rPr>
        <w:t xml:space="preserve"> and Amending the Fish Labelling Regulations (England) 2010</w:t>
      </w:r>
      <w:r w:rsidRPr="00251677">
        <w:rPr>
          <w:rFonts w:ascii="Arial" w:hAnsi="Arial" w:cs="Arial"/>
          <w:vertAlign w:val="superscript"/>
        </w:rPr>
        <w:t>9</w:t>
      </w:r>
      <w:r w:rsidRPr="00251677">
        <w:rPr>
          <w:rFonts w:ascii="Arial" w:hAnsi="Arial" w:cs="Arial"/>
        </w:rPr>
        <w:t xml:space="preserve"> and the Campden 2010</w:t>
      </w:r>
      <w:r w:rsidRPr="00251677">
        <w:rPr>
          <w:rStyle w:val="FootnoteReference"/>
          <w:rFonts w:ascii="Arial" w:hAnsi="Arial" w:cs="Arial"/>
        </w:rPr>
        <w:footnoteReference w:id="20"/>
      </w:r>
      <w:r w:rsidRPr="00251677">
        <w:rPr>
          <w:rFonts w:ascii="Arial" w:hAnsi="Arial" w:cs="Arial"/>
        </w:rPr>
        <w:t xml:space="preserve"> Defra commissioned report on the costs of labelling changes in the UK. Labelling changes can be classed as major or minor. Following advice from the FDF, the FMC and FSA, the labelling changes resulting from the CMO can be classed as minor, meaning only the text will change on a single face of the label and no packaging size modification is required to accommodate this (Campden 2010). </w:t>
      </w:r>
    </w:p>
    <w:p w:rsidR="00431475" w:rsidRDefault="00431475" w:rsidP="00431475">
      <w:pPr>
        <w:pStyle w:val="ListParagraph"/>
        <w:spacing w:after="240" w:line="276" w:lineRule="auto"/>
        <w:ind w:left="435"/>
        <w:contextualSpacing/>
        <w:jc w:val="both"/>
        <w:rPr>
          <w:rFonts w:ascii="Arial" w:hAnsi="Arial" w:cs="Arial"/>
        </w:rPr>
      </w:pPr>
    </w:p>
    <w:p w:rsidR="008A1C18" w:rsidRDefault="00E22318" w:rsidP="003A5312">
      <w:pPr>
        <w:pStyle w:val="ListParagraph"/>
        <w:numPr>
          <w:ilvl w:val="1"/>
          <w:numId w:val="9"/>
        </w:numPr>
        <w:spacing w:after="240" w:line="276" w:lineRule="auto"/>
        <w:contextualSpacing/>
        <w:jc w:val="both"/>
        <w:rPr>
          <w:rFonts w:ascii="Arial" w:hAnsi="Arial" w:cs="Arial"/>
        </w:rPr>
      </w:pPr>
      <w:r w:rsidRPr="004854F9">
        <w:rPr>
          <w:rFonts w:ascii="Arial" w:hAnsi="Arial" w:cs="Arial"/>
        </w:rPr>
        <w:t>It is assumed that information</w:t>
      </w:r>
      <w:r>
        <w:rPr>
          <w:rFonts w:ascii="Arial" w:hAnsi="Arial" w:cs="Arial"/>
        </w:rPr>
        <w:t xml:space="preserve"> on</w:t>
      </w:r>
      <w:r w:rsidR="00431475">
        <w:rPr>
          <w:rFonts w:ascii="Arial" w:hAnsi="Arial" w:cs="Arial"/>
        </w:rPr>
        <w:t xml:space="preserve"> generic</w:t>
      </w:r>
      <w:r>
        <w:rPr>
          <w:rFonts w:ascii="Arial" w:hAnsi="Arial" w:cs="Arial"/>
        </w:rPr>
        <w:t xml:space="preserve"> gear types is already held</w:t>
      </w:r>
      <w:r w:rsidR="00431475">
        <w:rPr>
          <w:rFonts w:ascii="Arial" w:hAnsi="Arial" w:cs="Arial"/>
        </w:rPr>
        <w:t xml:space="preserve"> by businesses (or can be easily obtained</w:t>
      </w:r>
      <w:r w:rsidR="002C50F6">
        <w:rPr>
          <w:rFonts w:ascii="Arial" w:hAnsi="Arial" w:cs="Arial"/>
        </w:rPr>
        <w:t xml:space="preserve"> from</w:t>
      </w:r>
      <w:r w:rsidR="00431475">
        <w:rPr>
          <w:rFonts w:ascii="Arial" w:hAnsi="Arial" w:cs="Arial"/>
        </w:rPr>
        <w:t xml:space="preserve"> the supply chain) and</w:t>
      </w:r>
      <w:r>
        <w:rPr>
          <w:rFonts w:ascii="Arial" w:hAnsi="Arial" w:cs="Arial"/>
        </w:rPr>
        <w:t xml:space="preserve"> dates of minimum durability</w:t>
      </w:r>
      <w:r w:rsidRPr="004854F9">
        <w:rPr>
          <w:rFonts w:ascii="Arial" w:hAnsi="Arial" w:cs="Arial"/>
        </w:rPr>
        <w:t xml:space="preserve"> can be estimated by producers, processors and retailers</w:t>
      </w:r>
      <w:r>
        <w:rPr>
          <w:rFonts w:ascii="Arial" w:hAnsi="Arial" w:cs="Arial"/>
        </w:rPr>
        <w:t xml:space="preserve"> at no extra cost</w:t>
      </w:r>
      <w:r w:rsidR="002C50F6">
        <w:rPr>
          <w:rFonts w:ascii="Arial" w:hAnsi="Arial" w:cs="Arial"/>
        </w:rPr>
        <w:t xml:space="preserve"> since</w:t>
      </w:r>
      <w:r w:rsidR="001A1090">
        <w:rPr>
          <w:rFonts w:ascii="Arial" w:hAnsi="Arial" w:cs="Arial"/>
        </w:rPr>
        <w:t>,</w:t>
      </w:r>
      <w:r w:rsidR="002C50F6">
        <w:rPr>
          <w:rFonts w:ascii="Arial" w:hAnsi="Arial" w:cs="Arial"/>
        </w:rPr>
        <w:t xml:space="preserve"> for packaged products</w:t>
      </w:r>
      <w:r w:rsidR="001A1090">
        <w:rPr>
          <w:rFonts w:ascii="Arial" w:hAnsi="Arial" w:cs="Arial"/>
        </w:rPr>
        <w:t>,</w:t>
      </w:r>
      <w:r w:rsidR="002C50F6">
        <w:rPr>
          <w:rFonts w:ascii="Arial" w:hAnsi="Arial" w:cs="Arial"/>
        </w:rPr>
        <w:t xml:space="preserve"> they have to display a date of minimum durability anyway</w:t>
      </w:r>
      <w:r w:rsidRPr="004854F9">
        <w:rPr>
          <w:rFonts w:ascii="Arial" w:hAnsi="Arial" w:cs="Arial"/>
        </w:rPr>
        <w:t>.</w:t>
      </w:r>
      <w:r w:rsidR="00431475">
        <w:rPr>
          <w:rFonts w:ascii="Arial" w:hAnsi="Arial" w:cs="Arial"/>
        </w:rPr>
        <w:t xml:space="preserve"> </w:t>
      </w:r>
      <w:r w:rsidR="00431475" w:rsidRPr="004854F9">
        <w:rPr>
          <w:rFonts w:ascii="Arial" w:hAnsi="Arial" w:cs="Arial"/>
        </w:rPr>
        <w:t xml:space="preserve">Freshness of fish is determined by many factors such as handling, processing, whether previously frozen or not and time since caught or produced. </w:t>
      </w:r>
      <w:r w:rsidR="002C50F6">
        <w:rPr>
          <w:rFonts w:ascii="Arial" w:hAnsi="Arial" w:cs="Arial"/>
        </w:rPr>
        <w:t>For fish mongers, there</w:t>
      </w:r>
      <w:r w:rsidR="00431475" w:rsidRPr="004854F9">
        <w:rPr>
          <w:rFonts w:ascii="Arial" w:hAnsi="Arial" w:cs="Arial"/>
        </w:rPr>
        <w:t xml:space="preserve"> are potentially additional complications resulting from the possible mixing of batches of slightly different freshness and new products being added to the counter throughout the day. However, the</w:t>
      </w:r>
      <w:r w:rsidR="002C50F6">
        <w:rPr>
          <w:rFonts w:ascii="Arial" w:hAnsi="Arial" w:cs="Arial"/>
        </w:rPr>
        <w:t xml:space="preserve"> FDF</w:t>
      </w:r>
      <w:r w:rsidR="00431475" w:rsidRPr="004854F9">
        <w:rPr>
          <w:rFonts w:ascii="Arial" w:hAnsi="Arial" w:cs="Arial"/>
        </w:rPr>
        <w:t xml:space="preserve"> advised that businesses could take a pragmatic and precautionary approach and advise that customers consume all products on the day or within a few days of purchase at no additional cost to them. Therefore these labelling costs are expected to be neg</w:t>
      </w:r>
      <w:r w:rsidR="001A1090">
        <w:rPr>
          <w:rFonts w:ascii="Arial" w:hAnsi="Arial" w:cs="Arial"/>
        </w:rPr>
        <w:t>ligible and are not quantified.</w:t>
      </w:r>
      <w:r w:rsidR="00431475" w:rsidRPr="004854F9">
        <w:rPr>
          <w:rFonts w:ascii="Arial" w:hAnsi="Arial" w:cs="Arial"/>
        </w:rPr>
        <w:t xml:space="preserve"> </w:t>
      </w:r>
      <w:r w:rsidR="0008742A" w:rsidRPr="001A1090">
        <w:rPr>
          <w:rFonts w:ascii="Arial" w:hAnsi="Arial" w:cs="Arial"/>
        </w:rPr>
        <w:t>MS costs are also expected to be negligible as the requirements broadly align with pre-existing legislation (i.e. products already have to meet these standards).</w:t>
      </w:r>
    </w:p>
    <w:p w:rsidR="00035123" w:rsidRPr="00035123" w:rsidRDefault="00035123" w:rsidP="00035123">
      <w:pPr>
        <w:pStyle w:val="ListParagraph"/>
        <w:spacing w:after="240" w:line="276" w:lineRule="auto"/>
        <w:ind w:left="435"/>
        <w:contextualSpacing/>
        <w:jc w:val="both"/>
        <w:rPr>
          <w:rFonts w:ascii="Arial" w:hAnsi="Arial" w:cs="Arial"/>
        </w:rPr>
      </w:pPr>
    </w:p>
    <w:p w:rsidR="007B7399" w:rsidRDefault="00035123" w:rsidP="006070C4">
      <w:pPr>
        <w:pStyle w:val="ListParagraph"/>
        <w:numPr>
          <w:ilvl w:val="1"/>
          <w:numId w:val="9"/>
        </w:numPr>
        <w:spacing w:after="240" w:line="276" w:lineRule="auto"/>
        <w:contextualSpacing/>
        <w:jc w:val="both"/>
        <w:rPr>
          <w:rFonts w:ascii="Arial" w:hAnsi="Arial" w:cs="Arial"/>
        </w:rPr>
      </w:pPr>
      <w:r w:rsidRPr="00035123">
        <w:rPr>
          <w:rFonts w:ascii="Arial" w:hAnsi="Arial" w:cs="Arial"/>
        </w:rPr>
        <w:t>The enforcement powers proposed are also not expected to place costs on businesses above baseline costs.</w:t>
      </w:r>
      <w:r w:rsidR="00C16525">
        <w:rPr>
          <w:rFonts w:ascii="Arial" w:hAnsi="Arial" w:cs="Arial"/>
        </w:rPr>
        <w:t xml:space="preserve"> While inspections may cause in</w:t>
      </w:r>
      <w:r w:rsidRPr="00035123">
        <w:rPr>
          <w:rFonts w:ascii="Arial" w:hAnsi="Arial" w:cs="Arial"/>
        </w:rPr>
        <w:t>convenience to industry, e</w:t>
      </w:r>
      <w:r w:rsidR="002F66A5" w:rsidRPr="00035123">
        <w:rPr>
          <w:rFonts w:ascii="Arial" w:hAnsi="Arial" w:cs="Arial"/>
        </w:rPr>
        <w:t>nforcement officers</w:t>
      </w:r>
      <w:r w:rsidRPr="00035123">
        <w:rPr>
          <w:rFonts w:ascii="Arial" w:hAnsi="Arial" w:cs="Arial"/>
        </w:rPr>
        <w:t xml:space="preserve"> </w:t>
      </w:r>
      <w:r w:rsidRPr="00035123">
        <w:rPr>
          <w:rFonts w:ascii="Arial" w:hAnsi="Arial" w:cs="Arial"/>
        </w:rPr>
        <w:lastRenderedPageBreak/>
        <w:t>already</w:t>
      </w:r>
      <w:r w:rsidR="002F66A5" w:rsidRPr="00035123">
        <w:rPr>
          <w:rFonts w:ascii="Arial" w:hAnsi="Arial" w:cs="Arial"/>
        </w:rPr>
        <w:t xml:space="preserve"> carry out routine visits to markets, processors and producer organisations to check that business complies with the legislation.  These enforcement officers may take enforcement action during a </w:t>
      </w:r>
      <w:r w:rsidR="002F66A5" w:rsidRPr="000C6227">
        <w:rPr>
          <w:rFonts w:ascii="Arial" w:hAnsi="Arial" w:cs="Arial"/>
        </w:rPr>
        <w:t>routine inspection.  The MMO and Trading Standard Officers also investigate alle</w:t>
      </w:r>
      <w:r w:rsidR="007B7399" w:rsidRPr="000C6227">
        <w:rPr>
          <w:rFonts w:ascii="Arial" w:hAnsi="Arial" w:cs="Arial"/>
        </w:rPr>
        <w:t>gations of illegal activities.</w:t>
      </w:r>
      <w:r w:rsidR="000C6227" w:rsidRPr="000C6227">
        <w:rPr>
          <w:rFonts w:ascii="Arial" w:hAnsi="Arial" w:cs="Arial"/>
        </w:rPr>
        <w:t xml:space="preserve"> The proposed enforcement framework will provide in England the Marine Management Organisation, as the principal enforcement body, and Trading Standards Officers, the power to ensure compliance with the marketing standards outlined in the CMO Regulation and its accompanying implementing legislation. The Marine Management Organisation will be the principal enforcement body for the marketing standards. Trading Standards Officers will have powers to enforce should they wish to do so e.g. for traceability. Enforcement in Wales will be the responsibility of the Welsh Government. The provisions in the CMO in respect of labelling will result in minor amendments to existing fish labelling legislation to ensure the mandatory information is included.</w:t>
      </w:r>
    </w:p>
    <w:p w:rsidR="007B7399" w:rsidRPr="007B7399" w:rsidRDefault="007B7399" w:rsidP="007B7399">
      <w:pPr>
        <w:pStyle w:val="ListParagraph"/>
        <w:rPr>
          <w:rFonts w:ascii="Arial" w:hAnsi="Arial" w:cs="Arial"/>
        </w:rPr>
      </w:pPr>
    </w:p>
    <w:p w:rsidR="006070C4" w:rsidRPr="0023133A" w:rsidRDefault="00035123" w:rsidP="0023133A">
      <w:pPr>
        <w:pStyle w:val="ListParagraph"/>
        <w:numPr>
          <w:ilvl w:val="1"/>
          <w:numId w:val="9"/>
        </w:numPr>
        <w:spacing w:after="240" w:line="276" w:lineRule="auto"/>
        <w:contextualSpacing/>
        <w:jc w:val="both"/>
        <w:rPr>
          <w:rFonts w:ascii="Arial" w:hAnsi="Arial" w:cs="Arial"/>
        </w:rPr>
      </w:pPr>
      <w:r w:rsidRPr="00035123">
        <w:rPr>
          <w:rFonts w:ascii="Arial" w:hAnsi="Arial" w:cs="Arial"/>
        </w:rPr>
        <w:t xml:space="preserve">The </w:t>
      </w:r>
      <w:r w:rsidR="002F66A5" w:rsidRPr="00035123">
        <w:rPr>
          <w:rFonts w:ascii="Arial" w:hAnsi="Arial" w:cs="Arial"/>
        </w:rPr>
        <w:t xml:space="preserve">enforcement strategy is proportionate and iterative. </w:t>
      </w:r>
      <w:r w:rsidR="005675AF">
        <w:rPr>
          <w:rFonts w:ascii="Arial" w:hAnsi="Arial" w:cs="Arial"/>
        </w:rPr>
        <w:t>No</w:t>
      </w:r>
      <w:r w:rsidR="002F66A5" w:rsidRPr="00035123">
        <w:rPr>
          <w:rFonts w:ascii="Arial" w:hAnsi="Arial" w:cs="Arial"/>
        </w:rPr>
        <w:t xml:space="preserve"> prosecutions have taken place in the last 14 years under the previous CMO EU Regulation</w:t>
      </w:r>
      <w:r w:rsidR="007B7399">
        <w:rPr>
          <w:rFonts w:ascii="Arial" w:hAnsi="Arial" w:cs="Arial"/>
        </w:rPr>
        <w:t>,</w:t>
      </w:r>
      <w:r w:rsidR="002F66A5" w:rsidRPr="00035123">
        <w:rPr>
          <w:rFonts w:ascii="Arial" w:hAnsi="Arial" w:cs="Arial"/>
        </w:rPr>
        <w:t xml:space="preserve"> which came into force in January 2000</w:t>
      </w:r>
      <w:r w:rsidR="007B7399">
        <w:rPr>
          <w:rFonts w:ascii="Arial" w:hAnsi="Arial" w:cs="Arial"/>
        </w:rPr>
        <w:t>, as compliance has been good</w:t>
      </w:r>
      <w:r w:rsidRPr="00035123">
        <w:rPr>
          <w:rFonts w:ascii="Arial" w:hAnsi="Arial" w:cs="Arial"/>
        </w:rPr>
        <w:t xml:space="preserve"> and therefore no additional costs to industry are envisaged</w:t>
      </w:r>
      <w:r w:rsidR="002F66A5" w:rsidRPr="00035123">
        <w:rPr>
          <w:rFonts w:ascii="Arial" w:hAnsi="Arial" w:cs="Arial"/>
        </w:rPr>
        <w:t>.</w:t>
      </w:r>
      <w:r w:rsidRPr="00035123">
        <w:rPr>
          <w:rFonts w:ascii="Arial" w:hAnsi="Arial" w:cs="Arial"/>
        </w:rPr>
        <w:t xml:space="preserve"> T</w:t>
      </w:r>
      <w:r w:rsidR="002F66A5" w:rsidRPr="00035123">
        <w:rPr>
          <w:rFonts w:ascii="Arial" w:hAnsi="Arial" w:cs="Arial"/>
        </w:rPr>
        <w:t xml:space="preserve">he new requirements </w:t>
      </w:r>
      <w:r w:rsidRPr="00035123">
        <w:rPr>
          <w:rFonts w:ascii="Arial" w:hAnsi="Arial" w:cs="Arial"/>
        </w:rPr>
        <w:t>are</w:t>
      </w:r>
      <w:r w:rsidR="002F66A5" w:rsidRPr="00035123">
        <w:rPr>
          <w:rFonts w:ascii="Arial" w:hAnsi="Arial" w:cs="Arial"/>
        </w:rPr>
        <w:t xml:space="preserve"> intend</w:t>
      </w:r>
      <w:r w:rsidRPr="00035123">
        <w:rPr>
          <w:rFonts w:ascii="Arial" w:hAnsi="Arial" w:cs="Arial"/>
        </w:rPr>
        <w:t>ed</w:t>
      </w:r>
      <w:r w:rsidR="002F66A5" w:rsidRPr="00035123">
        <w:rPr>
          <w:rFonts w:ascii="Arial" w:hAnsi="Arial" w:cs="Arial"/>
        </w:rPr>
        <w:t xml:space="preserve"> to stay within the scope of existing penalties – i.e. not having more severe penalties than exist for other </w:t>
      </w:r>
      <w:r w:rsidRPr="00035123">
        <w:rPr>
          <w:rFonts w:ascii="Arial" w:hAnsi="Arial" w:cs="Arial"/>
        </w:rPr>
        <w:t>aspects of the marketing regime.</w:t>
      </w:r>
      <w:r w:rsidR="00144833">
        <w:rPr>
          <w:rFonts w:ascii="Arial" w:hAnsi="Arial" w:cs="Arial"/>
        </w:rPr>
        <w:t xml:space="preserve"> Therefore, there are no anticipated impacts on the justice system </w:t>
      </w:r>
      <w:r w:rsidR="001F3E81">
        <w:rPr>
          <w:rFonts w:ascii="Arial" w:hAnsi="Arial" w:cs="Arial"/>
        </w:rPr>
        <w:t>but this is based on the assumption that compliance remains high as before</w:t>
      </w:r>
      <w:r w:rsidR="00144833">
        <w:rPr>
          <w:rFonts w:ascii="Arial" w:hAnsi="Arial" w:cs="Arial"/>
        </w:rPr>
        <w:t>.</w:t>
      </w:r>
    </w:p>
    <w:p w:rsidR="006070C4" w:rsidRPr="006070C4" w:rsidRDefault="006070C4" w:rsidP="006070C4">
      <w:pPr>
        <w:pStyle w:val="ListParagraph"/>
        <w:spacing w:after="240" w:line="276" w:lineRule="auto"/>
        <w:ind w:left="435"/>
        <w:contextualSpacing/>
        <w:jc w:val="both"/>
        <w:rPr>
          <w:rFonts w:ascii="Arial" w:hAnsi="Arial" w:cs="Arial"/>
        </w:rPr>
      </w:pPr>
    </w:p>
    <w:p w:rsidR="0008742A" w:rsidRPr="00251677" w:rsidRDefault="0008742A" w:rsidP="006070C4">
      <w:pPr>
        <w:pStyle w:val="ListParagraph"/>
        <w:numPr>
          <w:ilvl w:val="1"/>
          <w:numId w:val="9"/>
        </w:numPr>
        <w:spacing w:before="240" w:after="240" w:line="276" w:lineRule="auto"/>
        <w:contextualSpacing/>
        <w:jc w:val="both"/>
        <w:rPr>
          <w:rFonts w:ascii="Arial" w:hAnsi="Arial" w:cs="Arial"/>
        </w:rPr>
      </w:pPr>
      <w:r w:rsidRPr="00251677">
        <w:rPr>
          <w:rFonts w:ascii="Arial" w:hAnsi="Arial" w:cs="Arial"/>
        </w:rPr>
        <w:t xml:space="preserve">Therefore, all costs resulting from the additional mandatory labelling and MS requirements are one-off familiarisation costs. The time to familiarise is based on advice from MMO, which was informed by preliminary industry consultations, and Defra IA 1443. Stakeholders </w:t>
      </w:r>
      <w:r w:rsidR="001A1090">
        <w:rPr>
          <w:rFonts w:ascii="Arial" w:hAnsi="Arial" w:cs="Arial"/>
        </w:rPr>
        <w:t>are</w:t>
      </w:r>
      <w:r w:rsidRPr="00251677">
        <w:rPr>
          <w:rFonts w:ascii="Arial" w:hAnsi="Arial" w:cs="Arial"/>
        </w:rPr>
        <w:t xml:space="preserve"> invited to comment on these assumptions and they will be amended as necessary. </w:t>
      </w:r>
      <w:r w:rsidR="001A1090">
        <w:rPr>
          <w:rFonts w:ascii="Arial" w:hAnsi="Arial" w:cs="Arial"/>
        </w:rPr>
        <w:t>Familiarisation</w:t>
      </w:r>
      <w:r w:rsidRPr="00251677">
        <w:rPr>
          <w:rFonts w:ascii="Arial" w:hAnsi="Arial" w:cs="Arial"/>
        </w:rPr>
        <w:t xml:space="preserve"> is the time taken for responsible employees to read and familiarise themselves with the new legislation and disseminate the information to colleagues multiplied by their wage rate </w:t>
      </w:r>
      <w:r w:rsidR="00416FC0">
        <w:rPr>
          <w:rFonts w:ascii="Arial" w:hAnsi="Arial" w:cs="Arial"/>
        </w:rPr>
        <w:t>(</w:t>
      </w:r>
      <w:r w:rsidRPr="00251677">
        <w:rPr>
          <w:rFonts w:ascii="Arial" w:hAnsi="Arial" w:cs="Arial"/>
        </w:rPr>
        <w:t>+30% to account for other non</w:t>
      </w:r>
      <w:r w:rsidR="004F1AEB">
        <w:rPr>
          <w:rFonts w:ascii="Arial" w:hAnsi="Arial" w:cs="Arial"/>
        </w:rPr>
        <w:t>-wage overheads</w:t>
      </w:r>
      <w:r w:rsidR="00416FC0">
        <w:rPr>
          <w:rFonts w:ascii="Arial" w:hAnsi="Arial" w:cs="Arial"/>
        </w:rPr>
        <w:t>)</w:t>
      </w:r>
      <w:r w:rsidR="004F1AEB">
        <w:rPr>
          <w:rFonts w:ascii="Arial" w:hAnsi="Arial" w:cs="Arial"/>
        </w:rPr>
        <w:t xml:space="preserve"> (Table 6</w:t>
      </w:r>
      <w:r w:rsidRPr="00251677">
        <w:rPr>
          <w:rFonts w:ascii="Arial" w:hAnsi="Arial" w:cs="Arial"/>
        </w:rPr>
        <w:t>); multiplied by th</w:t>
      </w:r>
      <w:r w:rsidR="004F1AEB">
        <w:rPr>
          <w:rFonts w:ascii="Arial" w:hAnsi="Arial" w:cs="Arial"/>
        </w:rPr>
        <w:t>e n</w:t>
      </w:r>
      <w:r w:rsidR="00186106">
        <w:rPr>
          <w:rFonts w:ascii="Arial" w:hAnsi="Arial" w:cs="Arial"/>
        </w:rPr>
        <w:t>umber of businesses (tables 3–6</w:t>
      </w:r>
      <w:r w:rsidRPr="00251677">
        <w:rPr>
          <w:rFonts w:ascii="Arial" w:hAnsi="Arial" w:cs="Arial"/>
        </w:rPr>
        <w:t>); in line with standard cost methodology. Time to familiarise varies by business size as it is assumed that dissemination takes longer with more employees.</w:t>
      </w:r>
    </w:p>
    <w:p w:rsidR="0008742A" w:rsidRPr="0008742A" w:rsidRDefault="0008742A" w:rsidP="0008742A">
      <w:pPr>
        <w:pStyle w:val="ListParagraph"/>
        <w:rPr>
          <w:rFonts w:cs="Arial"/>
        </w:rPr>
      </w:pPr>
    </w:p>
    <w:p w:rsidR="0008742A" w:rsidRPr="00605608" w:rsidRDefault="00E60307" w:rsidP="004F1AEB">
      <w:pPr>
        <w:spacing w:after="240"/>
        <w:contextualSpacing/>
        <w:jc w:val="center"/>
        <w:rPr>
          <w:rFonts w:ascii="Calibri" w:hAnsi="Calibri" w:cs="Arial"/>
          <w:sz w:val="18"/>
        </w:rPr>
      </w:pPr>
      <w:r>
        <w:rPr>
          <w:rFonts w:cs="Arial"/>
          <w:bCs/>
          <w:color w:val="000000"/>
          <w:sz w:val="16"/>
        </w:rPr>
        <w:t>Table 7</w:t>
      </w:r>
      <w:r w:rsidR="0008742A" w:rsidRPr="00605608">
        <w:rPr>
          <w:rFonts w:cs="Arial"/>
          <w:bCs/>
          <w:color w:val="000000"/>
          <w:sz w:val="16"/>
        </w:rPr>
        <w:t>: Proxy hourly gross mean wages rates including overtime (Annual Survey of Hours and Earnings (ASHE) 2012) and time to familiarise (MMO, WG &amp; Defra, 2013).</w:t>
      </w:r>
    </w:p>
    <w:tbl>
      <w:tblPr>
        <w:tblW w:w="10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276"/>
        <w:gridCol w:w="3119"/>
        <w:gridCol w:w="1782"/>
      </w:tblGrid>
      <w:tr w:rsidR="0008742A" w:rsidRPr="00E12F91" w:rsidTr="006957C5">
        <w:trPr>
          <w:trHeight w:val="283"/>
          <w:jc w:val="center"/>
        </w:trPr>
        <w:tc>
          <w:tcPr>
            <w:tcW w:w="4644" w:type="dxa"/>
            <w:shd w:val="clear" w:color="auto" w:fill="auto"/>
            <w:vAlign w:val="center"/>
          </w:tcPr>
          <w:p w:rsidR="0008742A" w:rsidRPr="00E12F91" w:rsidRDefault="0008742A" w:rsidP="00605608">
            <w:pPr>
              <w:autoSpaceDE w:val="0"/>
              <w:autoSpaceDN w:val="0"/>
              <w:adjustRightInd w:val="0"/>
              <w:jc w:val="center"/>
              <w:rPr>
                <w:rFonts w:cs="Arial"/>
                <w:b/>
                <w:bCs/>
                <w:color w:val="000000"/>
                <w:sz w:val="16"/>
                <w:szCs w:val="16"/>
              </w:rPr>
            </w:pPr>
            <w:r w:rsidRPr="00E12F91">
              <w:rPr>
                <w:rFonts w:cs="Arial"/>
                <w:b/>
                <w:bCs/>
                <w:color w:val="000000"/>
                <w:sz w:val="16"/>
                <w:szCs w:val="16"/>
              </w:rPr>
              <w:t>Type of business</w:t>
            </w:r>
          </w:p>
        </w:tc>
        <w:tc>
          <w:tcPr>
            <w:tcW w:w="1276" w:type="dxa"/>
            <w:shd w:val="clear" w:color="auto" w:fill="auto"/>
            <w:vAlign w:val="center"/>
          </w:tcPr>
          <w:p w:rsidR="0008742A" w:rsidRPr="00E12F91" w:rsidRDefault="0008742A" w:rsidP="00605608">
            <w:pPr>
              <w:autoSpaceDE w:val="0"/>
              <w:autoSpaceDN w:val="0"/>
              <w:adjustRightInd w:val="0"/>
              <w:jc w:val="center"/>
              <w:rPr>
                <w:rFonts w:cs="Arial"/>
                <w:b/>
                <w:bCs/>
                <w:color w:val="000000"/>
                <w:sz w:val="16"/>
                <w:szCs w:val="16"/>
              </w:rPr>
            </w:pPr>
            <w:r w:rsidRPr="00E12F91">
              <w:rPr>
                <w:rFonts w:cs="Arial"/>
                <w:b/>
                <w:bCs/>
                <w:color w:val="000000"/>
                <w:sz w:val="16"/>
                <w:szCs w:val="16"/>
              </w:rPr>
              <w:t>Hourly wage rate</w:t>
            </w:r>
          </w:p>
        </w:tc>
        <w:tc>
          <w:tcPr>
            <w:tcW w:w="3119" w:type="dxa"/>
            <w:shd w:val="clear" w:color="auto" w:fill="auto"/>
            <w:vAlign w:val="center"/>
          </w:tcPr>
          <w:p w:rsidR="0008742A" w:rsidRPr="00E12F91" w:rsidRDefault="0008742A" w:rsidP="00605608">
            <w:pPr>
              <w:autoSpaceDE w:val="0"/>
              <w:autoSpaceDN w:val="0"/>
              <w:adjustRightInd w:val="0"/>
              <w:jc w:val="center"/>
              <w:rPr>
                <w:rFonts w:cs="Arial"/>
                <w:b/>
                <w:bCs/>
                <w:color w:val="000000"/>
                <w:sz w:val="16"/>
                <w:szCs w:val="16"/>
              </w:rPr>
            </w:pPr>
            <w:r w:rsidRPr="00E12F91">
              <w:rPr>
                <w:rFonts w:cs="Arial"/>
                <w:b/>
                <w:bCs/>
                <w:color w:val="000000"/>
                <w:sz w:val="16"/>
                <w:szCs w:val="16"/>
              </w:rPr>
              <w:t>Hourly wage rate plus 30% to include non-wage overheads</w:t>
            </w:r>
          </w:p>
        </w:tc>
        <w:tc>
          <w:tcPr>
            <w:tcW w:w="1782" w:type="dxa"/>
            <w:shd w:val="clear" w:color="auto" w:fill="auto"/>
            <w:vAlign w:val="center"/>
          </w:tcPr>
          <w:p w:rsidR="0008742A" w:rsidRPr="00E12F91" w:rsidRDefault="0008742A" w:rsidP="00605608">
            <w:pPr>
              <w:autoSpaceDE w:val="0"/>
              <w:autoSpaceDN w:val="0"/>
              <w:adjustRightInd w:val="0"/>
              <w:jc w:val="center"/>
              <w:rPr>
                <w:rFonts w:cs="Arial"/>
                <w:b/>
                <w:bCs/>
                <w:color w:val="000000"/>
                <w:sz w:val="16"/>
                <w:szCs w:val="16"/>
              </w:rPr>
            </w:pPr>
            <w:r w:rsidRPr="00E12F91">
              <w:rPr>
                <w:rFonts w:cs="Arial"/>
                <w:b/>
                <w:bCs/>
                <w:color w:val="000000"/>
                <w:sz w:val="16"/>
                <w:szCs w:val="16"/>
              </w:rPr>
              <w:t>Time to Familiarise (Hours)</w:t>
            </w:r>
          </w:p>
        </w:tc>
      </w:tr>
      <w:tr w:rsidR="0008742A" w:rsidRPr="00E12F91" w:rsidTr="006957C5">
        <w:trPr>
          <w:trHeight w:val="552"/>
          <w:jc w:val="center"/>
        </w:trPr>
        <w:tc>
          <w:tcPr>
            <w:tcW w:w="4644" w:type="dxa"/>
            <w:shd w:val="clear" w:color="auto" w:fill="auto"/>
            <w:vAlign w:val="center"/>
          </w:tcPr>
          <w:p w:rsidR="0008742A" w:rsidRPr="00E12F91" w:rsidRDefault="0008742A" w:rsidP="00605608">
            <w:pPr>
              <w:autoSpaceDE w:val="0"/>
              <w:autoSpaceDN w:val="0"/>
              <w:adjustRightInd w:val="0"/>
              <w:jc w:val="center"/>
              <w:rPr>
                <w:rFonts w:cs="Arial"/>
                <w:bCs/>
                <w:color w:val="000000"/>
                <w:sz w:val="16"/>
                <w:szCs w:val="16"/>
              </w:rPr>
            </w:pPr>
            <w:r w:rsidRPr="00E12F91">
              <w:rPr>
                <w:rFonts w:cs="Arial"/>
                <w:color w:val="000000"/>
                <w:sz w:val="16"/>
                <w:szCs w:val="16"/>
              </w:rPr>
              <w:t>Managers and proprietors in forestry, fishing and related services (proxy for aquaculture managers and fishers)</w:t>
            </w:r>
          </w:p>
        </w:tc>
        <w:tc>
          <w:tcPr>
            <w:tcW w:w="1276" w:type="dxa"/>
            <w:shd w:val="clear" w:color="auto" w:fill="auto"/>
            <w:vAlign w:val="center"/>
          </w:tcPr>
          <w:p w:rsidR="0008742A" w:rsidRPr="00E12F91" w:rsidRDefault="0008742A" w:rsidP="00605608">
            <w:pPr>
              <w:autoSpaceDE w:val="0"/>
              <w:autoSpaceDN w:val="0"/>
              <w:adjustRightInd w:val="0"/>
              <w:jc w:val="center"/>
              <w:rPr>
                <w:rFonts w:cs="Arial"/>
                <w:bCs/>
                <w:color w:val="000000"/>
                <w:sz w:val="16"/>
                <w:szCs w:val="16"/>
              </w:rPr>
            </w:pPr>
            <w:r w:rsidRPr="00E12F91">
              <w:rPr>
                <w:rFonts w:cs="Arial"/>
                <w:sz w:val="16"/>
                <w:szCs w:val="16"/>
              </w:rPr>
              <w:t>£15.73</w:t>
            </w:r>
          </w:p>
        </w:tc>
        <w:tc>
          <w:tcPr>
            <w:tcW w:w="3119" w:type="dxa"/>
            <w:shd w:val="clear" w:color="auto" w:fill="auto"/>
            <w:vAlign w:val="center"/>
          </w:tcPr>
          <w:p w:rsidR="0008742A" w:rsidRPr="00E12F91" w:rsidRDefault="0008742A" w:rsidP="00605608">
            <w:pPr>
              <w:autoSpaceDE w:val="0"/>
              <w:autoSpaceDN w:val="0"/>
              <w:adjustRightInd w:val="0"/>
              <w:jc w:val="center"/>
              <w:rPr>
                <w:rFonts w:cs="Arial"/>
                <w:bCs/>
                <w:color w:val="000000"/>
                <w:sz w:val="16"/>
                <w:szCs w:val="16"/>
              </w:rPr>
            </w:pPr>
            <w:r w:rsidRPr="00E12F91">
              <w:rPr>
                <w:rFonts w:cs="Arial"/>
                <w:sz w:val="16"/>
                <w:szCs w:val="16"/>
              </w:rPr>
              <w:t>£20.45</w:t>
            </w:r>
          </w:p>
        </w:tc>
        <w:tc>
          <w:tcPr>
            <w:tcW w:w="1782" w:type="dxa"/>
            <w:shd w:val="clear" w:color="auto" w:fill="auto"/>
            <w:vAlign w:val="center"/>
          </w:tcPr>
          <w:p w:rsidR="0008742A" w:rsidRPr="00E12F91" w:rsidRDefault="0008742A" w:rsidP="00605608">
            <w:pPr>
              <w:autoSpaceDE w:val="0"/>
              <w:autoSpaceDN w:val="0"/>
              <w:adjustRightInd w:val="0"/>
              <w:jc w:val="center"/>
              <w:rPr>
                <w:rFonts w:cs="Arial"/>
                <w:color w:val="000000"/>
                <w:sz w:val="16"/>
                <w:szCs w:val="16"/>
              </w:rPr>
            </w:pPr>
            <w:r w:rsidRPr="00E12F91">
              <w:rPr>
                <w:rFonts w:cs="Arial"/>
                <w:color w:val="000000"/>
                <w:sz w:val="16"/>
                <w:szCs w:val="16"/>
              </w:rPr>
              <w:t>fishers: 0.5</w:t>
            </w:r>
          </w:p>
          <w:p w:rsidR="0008742A" w:rsidRPr="00E12F91" w:rsidRDefault="0008742A" w:rsidP="00605608">
            <w:pPr>
              <w:autoSpaceDE w:val="0"/>
              <w:autoSpaceDN w:val="0"/>
              <w:adjustRightInd w:val="0"/>
              <w:jc w:val="center"/>
              <w:rPr>
                <w:rFonts w:cs="Arial"/>
                <w:bCs/>
                <w:color w:val="000000"/>
                <w:sz w:val="16"/>
                <w:szCs w:val="16"/>
              </w:rPr>
            </w:pPr>
            <w:r w:rsidRPr="00E12F91">
              <w:rPr>
                <w:rFonts w:cs="Arial"/>
                <w:color w:val="000000"/>
                <w:sz w:val="16"/>
                <w:szCs w:val="16"/>
              </w:rPr>
              <w:t>aquaculture: 1</w:t>
            </w:r>
          </w:p>
        </w:tc>
      </w:tr>
      <w:tr w:rsidR="0008742A" w:rsidRPr="00E12F91" w:rsidTr="006957C5">
        <w:trPr>
          <w:trHeight w:val="552"/>
          <w:jc w:val="center"/>
        </w:trPr>
        <w:tc>
          <w:tcPr>
            <w:tcW w:w="4644" w:type="dxa"/>
            <w:shd w:val="clear" w:color="auto" w:fill="auto"/>
            <w:vAlign w:val="center"/>
          </w:tcPr>
          <w:p w:rsidR="0008742A" w:rsidRPr="00E12F91" w:rsidRDefault="0008742A" w:rsidP="00605608">
            <w:pPr>
              <w:autoSpaceDE w:val="0"/>
              <w:autoSpaceDN w:val="0"/>
              <w:adjustRightInd w:val="0"/>
              <w:jc w:val="center"/>
              <w:rPr>
                <w:rFonts w:cs="Arial"/>
                <w:color w:val="000000"/>
                <w:sz w:val="16"/>
                <w:szCs w:val="16"/>
              </w:rPr>
            </w:pPr>
            <w:r w:rsidRPr="00E12F91">
              <w:rPr>
                <w:rFonts w:cs="Arial"/>
                <w:color w:val="000000"/>
                <w:sz w:val="16"/>
                <w:szCs w:val="16"/>
              </w:rPr>
              <w:t>Managers and directors in retail and wholesale (proxy for micro and small processors and wholesalers)</w:t>
            </w:r>
          </w:p>
        </w:tc>
        <w:tc>
          <w:tcPr>
            <w:tcW w:w="1276" w:type="dxa"/>
            <w:shd w:val="clear" w:color="auto" w:fill="auto"/>
            <w:vAlign w:val="center"/>
          </w:tcPr>
          <w:p w:rsidR="0008742A" w:rsidRPr="00E12F91" w:rsidRDefault="0008742A" w:rsidP="00605608">
            <w:pPr>
              <w:autoSpaceDE w:val="0"/>
              <w:autoSpaceDN w:val="0"/>
              <w:adjustRightInd w:val="0"/>
              <w:jc w:val="center"/>
              <w:rPr>
                <w:rFonts w:cs="Arial"/>
                <w:sz w:val="16"/>
                <w:szCs w:val="16"/>
              </w:rPr>
            </w:pPr>
            <w:r w:rsidRPr="00E12F91">
              <w:rPr>
                <w:rFonts w:cs="Arial"/>
                <w:sz w:val="16"/>
                <w:szCs w:val="16"/>
              </w:rPr>
              <w:t>£13.79</w:t>
            </w:r>
          </w:p>
        </w:tc>
        <w:tc>
          <w:tcPr>
            <w:tcW w:w="3119" w:type="dxa"/>
            <w:shd w:val="clear" w:color="auto" w:fill="auto"/>
            <w:vAlign w:val="center"/>
          </w:tcPr>
          <w:p w:rsidR="0008742A" w:rsidRPr="00E12F91" w:rsidRDefault="0008742A" w:rsidP="00605608">
            <w:pPr>
              <w:autoSpaceDE w:val="0"/>
              <w:autoSpaceDN w:val="0"/>
              <w:adjustRightInd w:val="0"/>
              <w:jc w:val="center"/>
              <w:rPr>
                <w:rFonts w:cs="Arial"/>
                <w:sz w:val="16"/>
                <w:szCs w:val="16"/>
              </w:rPr>
            </w:pPr>
            <w:r w:rsidRPr="00E12F91">
              <w:rPr>
                <w:rFonts w:cs="Arial"/>
                <w:sz w:val="16"/>
                <w:szCs w:val="16"/>
              </w:rPr>
              <w:t>£17.93</w:t>
            </w:r>
          </w:p>
        </w:tc>
        <w:tc>
          <w:tcPr>
            <w:tcW w:w="1782" w:type="dxa"/>
            <w:shd w:val="clear" w:color="auto" w:fill="auto"/>
            <w:vAlign w:val="center"/>
          </w:tcPr>
          <w:p w:rsidR="0008742A" w:rsidRPr="00E12F91" w:rsidRDefault="0008742A" w:rsidP="00605608">
            <w:pPr>
              <w:autoSpaceDE w:val="0"/>
              <w:autoSpaceDN w:val="0"/>
              <w:adjustRightInd w:val="0"/>
              <w:jc w:val="center"/>
              <w:rPr>
                <w:rFonts w:cs="Arial"/>
                <w:color w:val="000000"/>
                <w:sz w:val="16"/>
                <w:szCs w:val="16"/>
              </w:rPr>
            </w:pPr>
            <w:r w:rsidRPr="00E12F91">
              <w:rPr>
                <w:rFonts w:cs="Arial"/>
                <w:color w:val="000000"/>
                <w:sz w:val="16"/>
                <w:szCs w:val="16"/>
              </w:rPr>
              <w:t>micro: 0.5</w:t>
            </w:r>
          </w:p>
          <w:p w:rsidR="0008742A" w:rsidRPr="00E12F91" w:rsidRDefault="0008742A" w:rsidP="00605608">
            <w:pPr>
              <w:autoSpaceDE w:val="0"/>
              <w:autoSpaceDN w:val="0"/>
              <w:adjustRightInd w:val="0"/>
              <w:jc w:val="center"/>
              <w:rPr>
                <w:rFonts w:cs="Arial"/>
                <w:color w:val="000000"/>
                <w:sz w:val="16"/>
                <w:szCs w:val="16"/>
              </w:rPr>
            </w:pPr>
            <w:r w:rsidRPr="00E12F91">
              <w:rPr>
                <w:rFonts w:cs="Arial"/>
                <w:color w:val="000000"/>
                <w:sz w:val="16"/>
                <w:szCs w:val="16"/>
              </w:rPr>
              <w:t>small: 1</w:t>
            </w:r>
          </w:p>
        </w:tc>
      </w:tr>
      <w:tr w:rsidR="0008742A" w:rsidRPr="00E12F91" w:rsidTr="006957C5">
        <w:trPr>
          <w:trHeight w:val="552"/>
          <w:jc w:val="center"/>
        </w:trPr>
        <w:tc>
          <w:tcPr>
            <w:tcW w:w="4644" w:type="dxa"/>
            <w:shd w:val="clear" w:color="auto" w:fill="auto"/>
            <w:vAlign w:val="center"/>
          </w:tcPr>
          <w:p w:rsidR="0008742A" w:rsidRPr="00E12F91" w:rsidRDefault="0008742A" w:rsidP="00605608">
            <w:pPr>
              <w:autoSpaceDE w:val="0"/>
              <w:autoSpaceDN w:val="0"/>
              <w:adjustRightInd w:val="0"/>
              <w:jc w:val="center"/>
              <w:rPr>
                <w:rFonts w:cs="Arial"/>
                <w:color w:val="000000"/>
                <w:sz w:val="16"/>
                <w:szCs w:val="16"/>
              </w:rPr>
            </w:pPr>
            <w:r w:rsidRPr="00E12F91">
              <w:rPr>
                <w:rFonts w:cs="Arial"/>
                <w:color w:val="000000"/>
                <w:sz w:val="16"/>
                <w:szCs w:val="16"/>
              </w:rPr>
              <w:t>Shopkeepers and proprietors – wholesale and retail (proxy for micro and small retailers)</w:t>
            </w:r>
          </w:p>
        </w:tc>
        <w:tc>
          <w:tcPr>
            <w:tcW w:w="1276" w:type="dxa"/>
            <w:shd w:val="clear" w:color="auto" w:fill="auto"/>
            <w:vAlign w:val="center"/>
          </w:tcPr>
          <w:p w:rsidR="0008742A" w:rsidRPr="00E12F91" w:rsidRDefault="0008742A" w:rsidP="00605608">
            <w:pPr>
              <w:autoSpaceDE w:val="0"/>
              <w:autoSpaceDN w:val="0"/>
              <w:adjustRightInd w:val="0"/>
              <w:jc w:val="center"/>
              <w:rPr>
                <w:rFonts w:cs="Arial"/>
                <w:sz w:val="16"/>
                <w:szCs w:val="16"/>
              </w:rPr>
            </w:pPr>
            <w:r w:rsidRPr="00E12F91">
              <w:rPr>
                <w:rFonts w:cs="Arial"/>
                <w:sz w:val="16"/>
                <w:szCs w:val="16"/>
              </w:rPr>
              <w:t>£17.33</w:t>
            </w:r>
          </w:p>
        </w:tc>
        <w:tc>
          <w:tcPr>
            <w:tcW w:w="3119" w:type="dxa"/>
            <w:shd w:val="clear" w:color="auto" w:fill="auto"/>
            <w:vAlign w:val="center"/>
          </w:tcPr>
          <w:p w:rsidR="0008742A" w:rsidRPr="00E12F91" w:rsidRDefault="0008742A" w:rsidP="00605608">
            <w:pPr>
              <w:autoSpaceDE w:val="0"/>
              <w:autoSpaceDN w:val="0"/>
              <w:adjustRightInd w:val="0"/>
              <w:jc w:val="center"/>
              <w:rPr>
                <w:rFonts w:cs="Arial"/>
                <w:sz w:val="16"/>
                <w:szCs w:val="16"/>
              </w:rPr>
            </w:pPr>
            <w:r>
              <w:rPr>
                <w:rFonts w:cs="Arial"/>
                <w:color w:val="000000"/>
                <w:sz w:val="16"/>
                <w:szCs w:val="16"/>
              </w:rPr>
              <w:t>£22</w:t>
            </w:r>
            <w:r w:rsidRPr="00E12F91">
              <w:rPr>
                <w:rFonts w:cs="Arial"/>
                <w:color w:val="000000"/>
                <w:sz w:val="16"/>
                <w:szCs w:val="16"/>
              </w:rPr>
              <w:t>.53</w:t>
            </w:r>
          </w:p>
        </w:tc>
        <w:tc>
          <w:tcPr>
            <w:tcW w:w="1782" w:type="dxa"/>
            <w:shd w:val="clear" w:color="auto" w:fill="auto"/>
            <w:vAlign w:val="center"/>
          </w:tcPr>
          <w:p w:rsidR="0008742A" w:rsidRPr="00E12F91" w:rsidRDefault="0008742A" w:rsidP="00605608">
            <w:pPr>
              <w:autoSpaceDE w:val="0"/>
              <w:autoSpaceDN w:val="0"/>
              <w:adjustRightInd w:val="0"/>
              <w:jc w:val="center"/>
              <w:rPr>
                <w:rFonts w:cs="Arial"/>
                <w:color w:val="000000"/>
                <w:sz w:val="16"/>
                <w:szCs w:val="16"/>
              </w:rPr>
            </w:pPr>
            <w:r w:rsidRPr="00E12F91">
              <w:rPr>
                <w:rFonts w:cs="Arial"/>
                <w:color w:val="000000"/>
                <w:sz w:val="16"/>
                <w:szCs w:val="16"/>
              </w:rPr>
              <w:t>micro: 0.5</w:t>
            </w:r>
          </w:p>
          <w:p w:rsidR="0008742A" w:rsidRPr="00E12F91" w:rsidRDefault="0008742A" w:rsidP="00605608">
            <w:pPr>
              <w:autoSpaceDE w:val="0"/>
              <w:autoSpaceDN w:val="0"/>
              <w:adjustRightInd w:val="0"/>
              <w:jc w:val="center"/>
              <w:rPr>
                <w:rFonts w:cs="Arial"/>
                <w:color w:val="000000"/>
                <w:sz w:val="16"/>
                <w:szCs w:val="16"/>
              </w:rPr>
            </w:pPr>
            <w:r w:rsidRPr="00E12F91">
              <w:rPr>
                <w:rFonts w:cs="Arial"/>
                <w:color w:val="000000"/>
                <w:sz w:val="16"/>
                <w:szCs w:val="16"/>
              </w:rPr>
              <w:t xml:space="preserve"> small:1</w:t>
            </w:r>
          </w:p>
        </w:tc>
      </w:tr>
      <w:tr w:rsidR="0008742A" w:rsidRPr="00E12F91" w:rsidTr="006957C5">
        <w:trPr>
          <w:trHeight w:val="552"/>
          <w:jc w:val="center"/>
        </w:trPr>
        <w:tc>
          <w:tcPr>
            <w:tcW w:w="4644" w:type="dxa"/>
            <w:shd w:val="clear" w:color="auto" w:fill="auto"/>
            <w:vAlign w:val="center"/>
          </w:tcPr>
          <w:p w:rsidR="0008742A" w:rsidRPr="00E12F91" w:rsidRDefault="0008742A" w:rsidP="00605608">
            <w:pPr>
              <w:autoSpaceDE w:val="0"/>
              <w:autoSpaceDN w:val="0"/>
              <w:adjustRightInd w:val="0"/>
              <w:jc w:val="center"/>
              <w:rPr>
                <w:rFonts w:cs="Arial"/>
                <w:color w:val="000000"/>
                <w:sz w:val="16"/>
                <w:szCs w:val="16"/>
              </w:rPr>
            </w:pPr>
            <w:r w:rsidRPr="00E12F91">
              <w:rPr>
                <w:rFonts w:cs="Arial"/>
                <w:color w:val="000000"/>
                <w:sz w:val="16"/>
                <w:szCs w:val="16"/>
              </w:rPr>
              <w:t>Shopkeepers and proprietors – wholesale and retail (proxy for medium and large processors and wholesalers)</w:t>
            </w:r>
          </w:p>
        </w:tc>
        <w:tc>
          <w:tcPr>
            <w:tcW w:w="1276" w:type="dxa"/>
            <w:shd w:val="clear" w:color="auto" w:fill="auto"/>
            <w:vAlign w:val="center"/>
          </w:tcPr>
          <w:p w:rsidR="0008742A" w:rsidRPr="00E12F91" w:rsidRDefault="0008742A" w:rsidP="00605608">
            <w:pPr>
              <w:autoSpaceDE w:val="0"/>
              <w:autoSpaceDN w:val="0"/>
              <w:adjustRightInd w:val="0"/>
              <w:jc w:val="center"/>
              <w:rPr>
                <w:rFonts w:cs="Arial"/>
                <w:sz w:val="16"/>
                <w:szCs w:val="16"/>
              </w:rPr>
            </w:pPr>
            <w:r w:rsidRPr="00E12F91">
              <w:rPr>
                <w:rFonts w:cs="Arial"/>
                <w:sz w:val="16"/>
                <w:szCs w:val="16"/>
              </w:rPr>
              <w:t>£17.33</w:t>
            </w:r>
          </w:p>
        </w:tc>
        <w:tc>
          <w:tcPr>
            <w:tcW w:w="3119" w:type="dxa"/>
            <w:shd w:val="clear" w:color="auto" w:fill="auto"/>
            <w:vAlign w:val="center"/>
          </w:tcPr>
          <w:p w:rsidR="0008742A" w:rsidRPr="00E12F91" w:rsidRDefault="0008742A" w:rsidP="00605608">
            <w:pPr>
              <w:autoSpaceDE w:val="0"/>
              <w:autoSpaceDN w:val="0"/>
              <w:adjustRightInd w:val="0"/>
              <w:jc w:val="center"/>
              <w:rPr>
                <w:rFonts w:cs="Arial"/>
                <w:color w:val="000000"/>
                <w:sz w:val="16"/>
                <w:szCs w:val="16"/>
              </w:rPr>
            </w:pPr>
            <w:r>
              <w:rPr>
                <w:rFonts w:cs="Arial"/>
                <w:color w:val="000000"/>
                <w:sz w:val="16"/>
                <w:szCs w:val="16"/>
              </w:rPr>
              <w:t>£22</w:t>
            </w:r>
            <w:r w:rsidRPr="00E12F91">
              <w:rPr>
                <w:rFonts w:cs="Arial"/>
                <w:color w:val="000000"/>
                <w:sz w:val="16"/>
                <w:szCs w:val="16"/>
              </w:rPr>
              <w:t>.53</w:t>
            </w:r>
          </w:p>
        </w:tc>
        <w:tc>
          <w:tcPr>
            <w:tcW w:w="1782" w:type="dxa"/>
            <w:shd w:val="clear" w:color="auto" w:fill="auto"/>
            <w:vAlign w:val="center"/>
          </w:tcPr>
          <w:p w:rsidR="0008742A" w:rsidRPr="00E12F91" w:rsidRDefault="0008742A" w:rsidP="00605608">
            <w:pPr>
              <w:autoSpaceDE w:val="0"/>
              <w:autoSpaceDN w:val="0"/>
              <w:adjustRightInd w:val="0"/>
              <w:jc w:val="center"/>
              <w:rPr>
                <w:rFonts w:cs="Arial"/>
                <w:color w:val="000000"/>
                <w:sz w:val="16"/>
                <w:szCs w:val="16"/>
              </w:rPr>
            </w:pPr>
            <w:r w:rsidRPr="00E12F91">
              <w:rPr>
                <w:rFonts w:cs="Arial"/>
                <w:color w:val="000000"/>
                <w:sz w:val="16"/>
                <w:szCs w:val="16"/>
              </w:rPr>
              <w:t>medium: 1.5</w:t>
            </w:r>
          </w:p>
          <w:p w:rsidR="0008742A" w:rsidRPr="00E12F91" w:rsidRDefault="0008742A" w:rsidP="00605608">
            <w:pPr>
              <w:autoSpaceDE w:val="0"/>
              <w:autoSpaceDN w:val="0"/>
              <w:adjustRightInd w:val="0"/>
              <w:jc w:val="center"/>
              <w:rPr>
                <w:rFonts w:cs="Arial"/>
                <w:color w:val="000000"/>
                <w:sz w:val="16"/>
                <w:szCs w:val="16"/>
              </w:rPr>
            </w:pPr>
            <w:r w:rsidRPr="00E12F91">
              <w:rPr>
                <w:rFonts w:cs="Arial"/>
                <w:color w:val="000000"/>
                <w:sz w:val="16"/>
                <w:szCs w:val="16"/>
              </w:rPr>
              <w:t>large: 2</w:t>
            </w:r>
          </w:p>
        </w:tc>
      </w:tr>
      <w:tr w:rsidR="0008742A" w:rsidRPr="00E12F91" w:rsidTr="006957C5">
        <w:trPr>
          <w:trHeight w:val="552"/>
          <w:jc w:val="center"/>
        </w:trPr>
        <w:tc>
          <w:tcPr>
            <w:tcW w:w="4644" w:type="dxa"/>
            <w:shd w:val="clear" w:color="auto" w:fill="auto"/>
            <w:vAlign w:val="center"/>
          </w:tcPr>
          <w:p w:rsidR="0008742A" w:rsidRPr="00E12F91" w:rsidRDefault="0008742A" w:rsidP="00605608">
            <w:pPr>
              <w:autoSpaceDE w:val="0"/>
              <w:autoSpaceDN w:val="0"/>
              <w:adjustRightInd w:val="0"/>
              <w:jc w:val="center"/>
              <w:rPr>
                <w:rFonts w:cs="Arial"/>
                <w:color w:val="000000"/>
                <w:sz w:val="16"/>
                <w:szCs w:val="16"/>
              </w:rPr>
            </w:pPr>
            <w:r w:rsidRPr="00E12F91">
              <w:rPr>
                <w:rFonts w:cs="Arial"/>
                <w:color w:val="000000"/>
                <w:sz w:val="16"/>
                <w:szCs w:val="16"/>
              </w:rPr>
              <w:t>Quality assurance and regulatory professionals (proxy for PO managers and medium and large retailers)</w:t>
            </w:r>
          </w:p>
        </w:tc>
        <w:tc>
          <w:tcPr>
            <w:tcW w:w="1276" w:type="dxa"/>
            <w:shd w:val="clear" w:color="auto" w:fill="auto"/>
            <w:vAlign w:val="center"/>
          </w:tcPr>
          <w:p w:rsidR="0008742A" w:rsidRPr="00E12F91" w:rsidRDefault="0008742A" w:rsidP="00605608">
            <w:pPr>
              <w:autoSpaceDE w:val="0"/>
              <w:autoSpaceDN w:val="0"/>
              <w:adjustRightInd w:val="0"/>
              <w:jc w:val="center"/>
              <w:rPr>
                <w:rFonts w:cs="Arial"/>
                <w:sz w:val="16"/>
                <w:szCs w:val="16"/>
              </w:rPr>
            </w:pPr>
            <w:r w:rsidRPr="00E12F91">
              <w:rPr>
                <w:rFonts w:cs="Arial"/>
                <w:sz w:val="16"/>
                <w:szCs w:val="16"/>
              </w:rPr>
              <w:t>£21.01</w:t>
            </w:r>
          </w:p>
        </w:tc>
        <w:tc>
          <w:tcPr>
            <w:tcW w:w="3119" w:type="dxa"/>
            <w:shd w:val="clear" w:color="auto" w:fill="auto"/>
            <w:vAlign w:val="center"/>
          </w:tcPr>
          <w:p w:rsidR="0008742A" w:rsidRPr="00E12F91" w:rsidRDefault="0008742A" w:rsidP="00605608">
            <w:pPr>
              <w:autoSpaceDE w:val="0"/>
              <w:autoSpaceDN w:val="0"/>
              <w:adjustRightInd w:val="0"/>
              <w:jc w:val="center"/>
              <w:rPr>
                <w:rFonts w:cs="Arial"/>
                <w:color w:val="000000"/>
                <w:sz w:val="16"/>
                <w:szCs w:val="16"/>
              </w:rPr>
            </w:pPr>
            <w:r w:rsidRPr="00E12F91">
              <w:rPr>
                <w:rFonts w:cs="Arial"/>
                <w:color w:val="000000"/>
                <w:sz w:val="16"/>
                <w:szCs w:val="16"/>
              </w:rPr>
              <w:t>£27.31</w:t>
            </w:r>
          </w:p>
        </w:tc>
        <w:tc>
          <w:tcPr>
            <w:tcW w:w="1782" w:type="dxa"/>
            <w:shd w:val="clear" w:color="auto" w:fill="auto"/>
            <w:vAlign w:val="center"/>
          </w:tcPr>
          <w:p w:rsidR="0008742A" w:rsidRPr="00E12F91" w:rsidRDefault="0008742A" w:rsidP="00605608">
            <w:pPr>
              <w:autoSpaceDE w:val="0"/>
              <w:autoSpaceDN w:val="0"/>
              <w:adjustRightInd w:val="0"/>
              <w:jc w:val="center"/>
              <w:rPr>
                <w:rFonts w:cs="Arial"/>
                <w:color w:val="000000"/>
                <w:sz w:val="16"/>
                <w:szCs w:val="16"/>
              </w:rPr>
            </w:pPr>
            <w:r w:rsidRPr="00E12F91">
              <w:rPr>
                <w:rFonts w:cs="Arial"/>
                <w:color w:val="000000"/>
                <w:sz w:val="16"/>
                <w:szCs w:val="16"/>
              </w:rPr>
              <w:t>POs: 1</w:t>
            </w:r>
          </w:p>
          <w:p w:rsidR="0008742A" w:rsidRPr="00E12F91" w:rsidRDefault="0008742A" w:rsidP="00605608">
            <w:pPr>
              <w:autoSpaceDE w:val="0"/>
              <w:autoSpaceDN w:val="0"/>
              <w:adjustRightInd w:val="0"/>
              <w:jc w:val="center"/>
              <w:rPr>
                <w:rFonts w:cs="Arial"/>
                <w:color w:val="000000"/>
                <w:sz w:val="16"/>
                <w:szCs w:val="16"/>
              </w:rPr>
            </w:pPr>
            <w:r w:rsidRPr="00E12F91">
              <w:rPr>
                <w:rFonts w:cs="Arial"/>
                <w:color w:val="000000"/>
                <w:sz w:val="16"/>
                <w:szCs w:val="16"/>
              </w:rPr>
              <w:t>medium retailers: 1.5</w:t>
            </w:r>
          </w:p>
          <w:p w:rsidR="0008742A" w:rsidRPr="00E12F91" w:rsidRDefault="0008742A" w:rsidP="00605608">
            <w:pPr>
              <w:autoSpaceDE w:val="0"/>
              <w:autoSpaceDN w:val="0"/>
              <w:adjustRightInd w:val="0"/>
              <w:jc w:val="center"/>
              <w:rPr>
                <w:rFonts w:cs="Arial"/>
                <w:color w:val="000000"/>
                <w:sz w:val="16"/>
                <w:szCs w:val="16"/>
              </w:rPr>
            </w:pPr>
            <w:r w:rsidRPr="00E12F91">
              <w:rPr>
                <w:rFonts w:cs="Arial"/>
                <w:color w:val="000000"/>
                <w:sz w:val="16"/>
                <w:szCs w:val="16"/>
              </w:rPr>
              <w:t>large retailers: 2</w:t>
            </w:r>
          </w:p>
        </w:tc>
      </w:tr>
      <w:tr w:rsidR="0008742A" w:rsidRPr="00E12F91" w:rsidTr="006957C5">
        <w:trPr>
          <w:trHeight w:val="552"/>
          <w:jc w:val="center"/>
        </w:trPr>
        <w:tc>
          <w:tcPr>
            <w:tcW w:w="4644" w:type="dxa"/>
            <w:shd w:val="clear" w:color="auto" w:fill="auto"/>
            <w:vAlign w:val="center"/>
          </w:tcPr>
          <w:p w:rsidR="0008742A" w:rsidRPr="00E12F91" w:rsidRDefault="0008742A" w:rsidP="00605608">
            <w:pPr>
              <w:autoSpaceDE w:val="0"/>
              <w:autoSpaceDN w:val="0"/>
              <w:adjustRightInd w:val="0"/>
              <w:jc w:val="center"/>
              <w:rPr>
                <w:rFonts w:cs="Arial"/>
                <w:color w:val="000000"/>
                <w:sz w:val="16"/>
                <w:szCs w:val="16"/>
              </w:rPr>
            </w:pPr>
            <w:r w:rsidRPr="00E12F91">
              <w:rPr>
                <w:rFonts w:cs="Arial"/>
                <w:color w:val="000000"/>
                <w:sz w:val="16"/>
                <w:szCs w:val="16"/>
              </w:rPr>
              <w:t>Quality assurance and regulatory professionals (proxy for TS officers and MMO</w:t>
            </w:r>
            <w:r>
              <w:rPr>
                <w:rFonts w:cs="Arial"/>
                <w:color w:val="000000"/>
                <w:sz w:val="16"/>
                <w:szCs w:val="16"/>
              </w:rPr>
              <w:t>/Welsh Government</w:t>
            </w:r>
            <w:r w:rsidRPr="00E12F91">
              <w:rPr>
                <w:rFonts w:cs="Arial"/>
                <w:color w:val="000000"/>
                <w:sz w:val="16"/>
                <w:szCs w:val="16"/>
              </w:rPr>
              <w:t xml:space="preserve"> officers)</w:t>
            </w:r>
          </w:p>
        </w:tc>
        <w:tc>
          <w:tcPr>
            <w:tcW w:w="1276" w:type="dxa"/>
            <w:shd w:val="clear" w:color="auto" w:fill="auto"/>
            <w:vAlign w:val="center"/>
          </w:tcPr>
          <w:p w:rsidR="0008742A" w:rsidRPr="00E12F91" w:rsidRDefault="0008742A" w:rsidP="00605608">
            <w:pPr>
              <w:autoSpaceDE w:val="0"/>
              <w:autoSpaceDN w:val="0"/>
              <w:adjustRightInd w:val="0"/>
              <w:jc w:val="center"/>
              <w:rPr>
                <w:rFonts w:cs="Arial"/>
                <w:sz w:val="16"/>
                <w:szCs w:val="16"/>
              </w:rPr>
            </w:pPr>
            <w:r w:rsidRPr="00E12F91">
              <w:rPr>
                <w:rFonts w:cs="Arial"/>
                <w:sz w:val="16"/>
                <w:szCs w:val="16"/>
              </w:rPr>
              <w:t>£21.01</w:t>
            </w:r>
          </w:p>
        </w:tc>
        <w:tc>
          <w:tcPr>
            <w:tcW w:w="3119" w:type="dxa"/>
            <w:shd w:val="clear" w:color="auto" w:fill="auto"/>
            <w:vAlign w:val="center"/>
          </w:tcPr>
          <w:p w:rsidR="0008742A" w:rsidRPr="00E12F91" w:rsidRDefault="0008742A" w:rsidP="00605608">
            <w:pPr>
              <w:autoSpaceDE w:val="0"/>
              <w:autoSpaceDN w:val="0"/>
              <w:adjustRightInd w:val="0"/>
              <w:jc w:val="center"/>
              <w:rPr>
                <w:rFonts w:cs="Arial"/>
                <w:color w:val="000000"/>
                <w:sz w:val="16"/>
                <w:szCs w:val="16"/>
              </w:rPr>
            </w:pPr>
            <w:r w:rsidRPr="00E12F91">
              <w:rPr>
                <w:rFonts w:cs="Arial"/>
                <w:color w:val="000000"/>
                <w:sz w:val="16"/>
                <w:szCs w:val="16"/>
              </w:rPr>
              <w:t>£27.31</w:t>
            </w:r>
          </w:p>
        </w:tc>
        <w:tc>
          <w:tcPr>
            <w:tcW w:w="1782" w:type="dxa"/>
            <w:shd w:val="clear" w:color="auto" w:fill="auto"/>
            <w:vAlign w:val="center"/>
          </w:tcPr>
          <w:p w:rsidR="0008742A" w:rsidRPr="00E12F91" w:rsidRDefault="0008742A" w:rsidP="00605608">
            <w:pPr>
              <w:autoSpaceDE w:val="0"/>
              <w:autoSpaceDN w:val="0"/>
              <w:adjustRightInd w:val="0"/>
              <w:jc w:val="center"/>
              <w:rPr>
                <w:rFonts w:cs="Arial"/>
                <w:color w:val="000000"/>
                <w:sz w:val="16"/>
                <w:szCs w:val="16"/>
              </w:rPr>
            </w:pPr>
            <w:r w:rsidRPr="00E12F91">
              <w:rPr>
                <w:rFonts w:cs="Arial"/>
                <w:color w:val="000000"/>
                <w:sz w:val="16"/>
                <w:szCs w:val="16"/>
              </w:rPr>
              <w:t>TS officers: 2</w:t>
            </w:r>
          </w:p>
          <w:p w:rsidR="0008742A" w:rsidRPr="00E12F91" w:rsidRDefault="0008742A" w:rsidP="00605608">
            <w:pPr>
              <w:autoSpaceDE w:val="0"/>
              <w:autoSpaceDN w:val="0"/>
              <w:adjustRightInd w:val="0"/>
              <w:jc w:val="center"/>
              <w:rPr>
                <w:rFonts w:cs="Arial"/>
                <w:color w:val="000000"/>
                <w:sz w:val="16"/>
                <w:szCs w:val="16"/>
              </w:rPr>
            </w:pPr>
            <w:r w:rsidRPr="00E12F91">
              <w:rPr>
                <w:rFonts w:cs="Arial"/>
                <w:color w:val="000000"/>
                <w:sz w:val="16"/>
                <w:szCs w:val="16"/>
              </w:rPr>
              <w:t>MMO</w:t>
            </w:r>
            <w:r>
              <w:rPr>
                <w:rFonts w:cs="Arial"/>
                <w:color w:val="000000"/>
                <w:sz w:val="16"/>
                <w:szCs w:val="16"/>
              </w:rPr>
              <w:t>/WG</w:t>
            </w:r>
            <w:r w:rsidRPr="00E12F91">
              <w:rPr>
                <w:rFonts w:cs="Arial"/>
                <w:color w:val="000000"/>
                <w:sz w:val="16"/>
                <w:szCs w:val="16"/>
              </w:rPr>
              <w:t xml:space="preserve"> Officers: 4</w:t>
            </w:r>
          </w:p>
        </w:tc>
      </w:tr>
    </w:tbl>
    <w:p w:rsidR="001A1090" w:rsidRDefault="001A1090" w:rsidP="003A5312">
      <w:pPr>
        <w:pStyle w:val="ListParagraph"/>
        <w:numPr>
          <w:ilvl w:val="1"/>
          <w:numId w:val="9"/>
        </w:numPr>
        <w:autoSpaceDE w:val="0"/>
        <w:autoSpaceDN w:val="0"/>
        <w:adjustRightInd w:val="0"/>
        <w:spacing w:before="240"/>
        <w:rPr>
          <w:rFonts w:ascii="Arial" w:hAnsi="Arial" w:cs="Arial"/>
        </w:rPr>
      </w:pPr>
      <w:r w:rsidRPr="001A1090">
        <w:rPr>
          <w:rFonts w:ascii="Arial" w:hAnsi="Arial" w:cs="Arial"/>
        </w:rPr>
        <w:t>Using the assumptions in Table 6 above and the number of businesses affected, the following industry familiarisation costs are obtained:</w:t>
      </w:r>
    </w:p>
    <w:p w:rsidR="00186106" w:rsidRDefault="00186106" w:rsidP="00186106">
      <w:pPr>
        <w:autoSpaceDE w:val="0"/>
        <w:autoSpaceDN w:val="0"/>
        <w:adjustRightInd w:val="0"/>
        <w:spacing w:before="240"/>
        <w:rPr>
          <w:rFonts w:cs="Arial"/>
        </w:rPr>
      </w:pPr>
    </w:p>
    <w:p w:rsidR="00186106" w:rsidRDefault="00186106" w:rsidP="00186106">
      <w:pPr>
        <w:autoSpaceDE w:val="0"/>
        <w:autoSpaceDN w:val="0"/>
        <w:adjustRightInd w:val="0"/>
        <w:spacing w:before="240"/>
        <w:rPr>
          <w:rFonts w:cs="Arial"/>
        </w:rPr>
      </w:pPr>
    </w:p>
    <w:p w:rsidR="00186106" w:rsidRPr="00186106" w:rsidRDefault="00186106" w:rsidP="00186106">
      <w:pPr>
        <w:autoSpaceDE w:val="0"/>
        <w:autoSpaceDN w:val="0"/>
        <w:adjustRightInd w:val="0"/>
        <w:spacing w:before="240"/>
        <w:rPr>
          <w:rFonts w:cs="Arial"/>
        </w:rPr>
      </w:pPr>
    </w:p>
    <w:p w:rsidR="0008742A" w:rsidRPr="00605608" w:rsidRDefault="00605608" w:rsidP="004F1AEB">
      <w:pPr>
        <w:autoSpaceDE w:val="0"/>
        <w:autoSpaceDN w:val="0"/>
        <w:adjustRightInd w:val="0"/>
        <w:spacing w:before="240"/>
        <w:jc w:val="center"/>
        <w:rPr>
          <w:rFonts w:cs="Arial"/>
          <w:bCs/>
          <w:color w:val="000000"/>
          <w:sz w:val="16"/>
          <w:szCs w:val="16"/>
        </w:rPr>
      </w:pPr>
      <w:r w:rsidRPr="00605608">
        <w:rPr>
          <w:rFonts w:cs="Arial"/>
          <w:sz w:val="16"/>
          <w:szCs w:val="16"/>
        </w:rPr>
        <w:lastRenderedPageBreak/>
        <w:t>Tabl</w:t>
      </w:r>
      <w:r w:rsidR="00E60307">
        <w:rPr>
          <w:rFonts w:cs="Arial"/>
          <w:sz w:val="16"/>
          <w:szCs w:val="16"/>
        </w:rPr>
        <w:t>e 8</w:t>
      </w:r>
      <w:r w:rsidR="0008742A" w:rsidRPr="00605608">
        <w:rPr>
          <w:rFonts w:cs="Arial"/>
          <w:sz w:val="16"/>
          <w:szCs w:val="16"/>
        </w:rPr>
        <w:t>: Familiarisation costs to Seafood processors and preservers in England and Wales</w:t>
      </w:r>
    </w:p>
    <w:tbl>
      <w:tblPr>
        <w:tblW w:w="9829" w:type="dxa"/>
        <w:jc w:val="center"/>
        <w:tblInd w:w="93" w:type="dxa"/>
        <w:tblLayout w:type="fixed"/>
        <w:tblLook w:val="04A0" w:firstRow="1" w:lastRow="0" w:firstColumn="1" w:lastColumn="0" w:noHBand="0" w:noVBand="1"/>
      </w:tblPr>
      <w:tblGrid>
        <w:gridCol w:w="1274"/>
        <w:gridCol w:w="1134"/>
        <w:gridCol w:w="1436"/>
        <w:gridCol w:w="1738"/>
        <w:gridCol w:w="1289"/>
        <w:gridCol w:w="941"/>
        <w:gridCol w:w="2017"/>
      </w:tblGrid>
      <w:tr w:rsidR="0008742A" w:rsidRPr="00605608" w:rsidTr="006957C5">
        <w:trPr>
          <w:trHeight w:val="283"/>
          <w:jc w:val="center"/>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b/>
                <w:bCs/>
                <w:sz w:val="16"/>
                <w:szCs w:val="16"/>
              </w:rPr>
            </w:pPr>
            <w:r w:rsidRPr="00605608">
              <w:rPr>
                <w:rFonts w:cs="Arial"/>
                <w:b/>
                <w:bCs/>
                <w:sz w:val="16"/>
                <w:szCs w:val="16"/>
              </w:rPr>
              <w:t>Region/ size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b/>
                <w:bCs/>
                <w:sz w:val="16"/>
                <w:szCs w:val="16"/>
              </w:rPr>
            </w:pPr>
            <w:r w:rsidRPr="00605608">
              <w:rPr>
                <w:rFonts w:cs="Arial"/>
                <w:b/>
                <w:bCs/>
                <w:sz w:val="16"/>
                <w:szCs w:val="16"/>
              </w:rPr>
              <w:t>Micro</w:t>
            </w:r>
          </w:p>
          <w:p w:rsidR="0008742A" w:rsidRPr="00605608" w:rsidRDefault="0008742A" w:rsidP="00605608">
            <w:pPr>
              <w:jc w:val="center"/>
              <w:rPr>
                <w:rFonts w:cs="Arial"/>
                <w:b/>
                <w:bCs/>
                <w:sz w:val="16"/>
                <w:szCs w:val="16"/>
              </w:rPr>
            </w:pPr>
            <w:r w:rsidRPr="00605608">
              <w:rPr>
                <w:rFonts w:cs="Arial"/>
                <w:b/>
                <w:bCs/>
                <w:sz w:val="16"/>
                <w:szCs w:val="16"/>
              </w:rPr>
              <w:t>(0-9)</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b/>
                <w:bCs/>
                <w:sz w:val="16"/>
                <w:szCs w:val="16"/>
              </w:rPr>
            </w:pPr>
            <w:r w:rsidRPr="00605608">
              <w:rPr>
                <w:rFonts w:cs="Arial"/>
                <w:b/>
                <w:bCs/>
                <w:sz w:val="16"/>
                <w:szCs w:val="16"/>
              </w:rPr>
              <w:t>Small</w:t>
            </w:r>
          </w:p>
          <w:p w:rsidR="0008742A" w:rsidRPr="00605608" w:rsidRDefault="0008742A" w:rsidP="00605608">
            <w:pPr>
              <w:jc w:val="center"/>
              <w:rPr>
                <w:rFonts w:cs="Arial"/>
                <w:b/>
                <w:bCs/>
                <w:sz w:val="16"/>
                <w:szCs w:val="16"/>
              </w:rPr>
            </w:pPr>
            <w:r w:rsidRPr="00605608">
              <w:rPr>
                <w:rFonts w:cs="Arial"/>
                <w:b/>
                <w:bCs/>
                <w:sz w:val="16"/>
                <w:szCs w:val="16"/>
              </w:rPr>
              <w:t>(10 - 49)</w:t>
            </w:r>
          </w:p>
        </w:tc>
        <w:tc>
          <w:tcPr>
            <w:tcW w:w="1738" w:type="dxa"/>
            <w:tcBorders>
              <w:top w:val="single" w:sz="4" w:space="0" w:color="auto"/>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b/>
                <w:bCs/>
                <w:sz w:val="16"/>
                <w:szCs w:val="16"/>
              </w:rPr>
            </w:pPr>
            <w:r w:rsidRPr="00605608">
              <w:rPr>
                <w:rFonts w:cs="Arial"/>
                <w:b/>
                <w:bCs/>
                <w:sz w:val="16"/>
                <w:szCs w:val="16"/>
              </w:rPr>
              <w:t>Medium</w:t>
            </w:r>
          </w:p>
          <w:p w:rsidR="0008742A" w:rsidRPr="00605608" w:rsidRDefault="0008742A" w:rsidP="00605608">
            <w:pPr>
              <w:jc w:val="center"/>
              <w:rPr>
                <w:rFonts w:cs="Arial"/>
                <w:b/>
                <w:bCs/>
                <w:sz w:val="16"/>
                <w:szCs w:val="16"/>
              </w:rPr>
            </w:pPr>
            <w:r w:rsidRPr="00605608">
              <w:rPr>
                <w:rFonts w:cs="Arial"/>
                <w:b/>
                <w:bCs/>
                <w:sz w:val="16"/>
                <w:szCs w:val="16"/>
              </w:rPr>
              <w:t>(50 - 249)</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b/>
                <w:bCs/>
                <w:sz w:val="16"/>
                <w:szCs w:val="16"/>
              </w:rPr>
            </w:pPr>
            <w:r w:rsidRPr="00605608">
              <w:rPr>
                <w:rFonts w:cs="Arial"/>
                <w:b/>
                <w:bCs/>
                <w:sz w:val="16"/>
                <w:szCs w:val="16"/>
              </w:rPr>
              <w:t>Large (250+)</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b/>
                <w:bCs/>
                <w:sz w:val="16"/>
                <w:szCs w:val="16"/>
              </w:rPr>
            </w:pPr>
            <w:r w:rsidRPr="00605608">
              <w:rPr>
                <w:rFonts w:cs="Arial"/>
                <w:b/>
                <w:bCs/>
                <w:sz w:val="16"/>
                <w:szCs w:val="16"/>
              </w:rPr>
              <w:t>Total</w:t>
            </w:r>
          </w:p>
        </w:tc>
        <w:tc>
          <w:tcPr>
            <w:tcW w:w="2017" w:type="dxa"/>
            <w:tcBorders>
              <w:top w:val="single" w:sz="4" w:space="0" w:color="auto"/>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b/>
                <w:bCs/>
                <w:sz w:val="16"/>
                <w:szCs w:val="16"/>
              </w:rPr>
            </w:pPr>
            <w:r w:rsidRPr="00605608">
              <w:rPr>
                <w:rFonts w:cs="Arial"/>
                <w:b/>
                <w:bCs/>
                <w:sz w:val="16"/>
                <w:szCs w:val="16"/>
              </w:rPr>
              <w:t>Annual Equivalent</w:t>
            </w:r>
          </w:p>
          <w:p w:rsidR="0008742A" w:rsidRPr="00605608" w:rsidRDefault="0008742A" w:rsidP="00605608">
            <w:pPr>
              <w:jc w:val="center"/>
              <w:rPr>
                <w:rFonts w:cs="Arial"/>
                <w:b/>
                <w:bCs/>
                <w:sz w:val="16"/>
                <w:szCs w:val="16"/>
              </w:rPr>
            </w:pPr>
            <w:r w:rsidRPr="00605608">
              <w:rPr>
                <w:rFonts w:cs="Arial"/>
                <w:b/>
                <w:bCs/>
                <w:sz w:val="16"/>
                <w:szCs w:val="16"/>
              </w:rPr>
              <w:t>(10 years)</w:t>
            </w:r>
          </w:p>
        </w:tc>
      </w:tr>
      <w:tr w:rsidR="0008742A" w:rsidRPr="00605608" w:rsidTr="006957C5">
        <w:trPr>
          <w:trHeight w:val="283"/>
          <w:jc w:val="center"/>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b/>
                <w:bCs/>
                <w:sz w:val="16"/>
                <w:szCs w:val="16"/>
              </w:rPr>
            </w:pPr>
            <w:r w:rsidRPr="00605608">
              <w:rPr>
                <w:rFonts w:cs="Arial"/>
                <w:b/>
                <w:bCs/>
                <w:sz w:val="16"/>
                <w:szCs w:val="16"/>
              </w:rPr>
              <w:t>England</w:t>
            </w:r>
          </w:p>
        </w:tc>
        <w:tc>
          <w:tcPr>
            <w:tcW w:w="1134" w:type="dxa"/>
            <w:tcBorders>
              <w:top w:val="nil"/>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sz w:val="16"/>
                <w:szCs w:val="16"/>
              </w:rPr>
            </w:pPr>
            <w:r w:rsidRPr="00605608">
              <w:rPr>
                <w:rFonts w:cs="Arial"/>
                <w:sz w:val="16"/>
                <w:szCs w:val="16"/>
              </w:rPr>
              <w:t>£941</w:t>
            </w:r>
          </w:p>
        </w:tc>
        <w:tc>
          <w:tcPr>
            <w:tcW w:w="1436" w:type="dxa"/>
            <w:tcBorders>
              <w:top w:val="nil"/>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sz w:val="16"/>
                <w:szCs w:val="16"/>
              </w:rPr>
            </w:pPr>
            <w:r w:rsidRPr="00605608">
              <w:rPr>
                <w:rFonts w:cs="Arial"/>
                <w:sz w:val="16"/>
                <w:szCs w:val="16"/>
              </w:rPr>
              <w:t>£807</w:t>
            </w:r>
          </w:p>
        </w:tc>
        <w:tc>
          <w:tcPr>
            <w:tcW w:w="1738" w:type="dxa"/>
            <w:tcBorders>
              <w:top w:val="nil"/>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sz w:val="16"/>
                <w:szCs w:val="16"/>
              </w:rPr>
            </w:pPr>
            <w:r w:rsidRPr="00605608">
              <w:rPr>
                <w:rFonts w:cs="Arial"/>
                <w:sz w:val="16"/>
                <w:szCs w:val="16"/>
              </w:rPr>
              <w:t>£676</w:t>
            </w:r>
          </w:p>
        </w:tc>
        <w:tc>
          <w:tcPr>
            <w:tcW w:w="1289" w:type="dxa"/>
            <w:tcBorders>
              <w:top w:val="nil"/>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sz w:val="16"/>
                <w:szCs w:val="16"/>
              </w:rPr>
            </w:pPr>
            <w:r w:rsidRPr="00605608">
              <w:rPr>
                <w:rFonts w:cs="Arial"/>
                <w:sz w:val="16"/>
                <w:szCs w:val="16"/>
              </w:rPr>
              <w:t>£225</w:t>
            </w:r>
          </w:p>
        </w:tc>
        <w:tc>
          <w:tcPr>
            <w:tcW w:w="941" w:type="dxa"/>
            <w:tcBorders>
              <w:top w:val="nil"/>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sz w:val="16"/>
                <w:szCs w:val="16"/>
              </w:rPr>
            </w:pPr>
            <w:r w:rsidRPr="00605608">
              <w:rPr>
                <w:rFonts w:cs="Arial"/>
                <w:sz w:val="16"/>
                <w:szCs w:val="16"/>
              </w:rPr>
              <w:t>£2,649</w:t>
            </w:r>
          </w:p>
        </w:tc>
        <w:tc>
          <w:tcPr>
            <w:tcW w:w="2017" w:type="dxa"/>
            <w:tcBorders>
              <w:top w:val="nil"/>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sz w:val="16"/>
                <w:szCs w:val="16"/>
              </w:rPr>
            </w:pPr>
            <w:r w:rsidRPr="00605608">
              <w:rPr>
                <w:rFonts w:cs="Arial"/>
                <w:sz w:val="16"/>
                <w:szCs w:val="16"/>
              </w:rPr>
              <w:t>£265</w:t>
            </w:r>
          </w:p>
        </w:tc>
      </w:tr>
      <w:tr w:rsidR="0008742A" w:rsidRPr="00605608" w:rsidTr="006957C5">
        <w:trPr>
          <w:trHeight w:val="283"/>
          <w:jc w:val="center"/>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b/>
                <w:bCs/>
                <w:sz w:val="16"/>
                <w:szCs w:val="16"/>
              </w:rPr>
            </w:pPr>
            <w:r w:rsidRPr="00605608">
              <w:rPr>
                <w:rFonts w:cs="Arial"/>
                <w:b/>
                <w:bCs/>
                <w:sz w:val="16"/>
                <w:szCs w:val="16"/>
              </w:rPr>
              <w:t>Wales</w:t>
            </w:r>
          </w:p>
        </w:tc>
        <w:tc>
          <w:tcPr>
            <w:tcW w:w="1134" w:type="dxa"/>
            <w:tcBorders>
              <w:top w:val="nil"/>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sz w:val="16"/>
                <w:szCs w:val="16"/>
              </w:rPr>
            </w:pPr>
            <w:r w:rsidRPr="00605608">
              <w:rPr>
                <w:rFonts w:cs="Arial"/>
                <w:sz w:val="16"/>
                <w:szCs w:val="16"/>
              </w:rPr>
              <w:t>£27</w:t>
            </w:r>
          </w:p>
        </w:tc>
        <w:tc>
          <w:tcPr>
            <w:tcW w:w="1436" w:type="dxa"/>
            <w:tcBorders>
              <w:top w:val="nil"/>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sz w:val="16"/>
                <w:szCs w:val="16"/>
              </w:rPr>
            </w:pPr>
            <w:r w:rsidRPr="00605608">
              <w:rPr>
                <w:rFonts w:cs="Arial"/>
                <w:sz w:val="16"/>
                <w:szCs w:val="16"/>
              </w:rPr>
              <w:t>£18</w:t>
            </w:r>
          </w:p>
        </w:tc>
        <w:tc>
          <w:tcPr>
            <w:tcW w:w="1738" w:type="dxa"/>
            <w:tcBorders>
              <w:top w:val="nil"/>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sz w:val="16"/>
                <w:szCs w:val="16"/>
              </w:rPr>
            </w:pPr>
            <w:r w:rsidRPr="00605608">
              <w:rPr>
                <w:rFonts w:cs="Arial"/>
                <w:sz w:val="16"/>
                <w:szCs w:val="16"/>
              </w:rPr>
              <w:t>£34</w:t>
            </w:r>
          </w:p>
        </w:tc>
        <w:tc>
          <w:tcPr>
            <w:tcW w:w="1289" w:type="dxa"/>
            <w:tcBorders>
              <w:top w:val="nil"/>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sz w:val="16"/>
                <w:szCs w:val="16"/>
              </w:rPr>
            </w:pPr>
            <w:r w:rsidRPr="00605608">
              <w:rPr>
                <w:rFonts w:cs="Arial"/>
                <w:sz w:val="16"/>
                <w:szCs w:val="16"/>
              </w:rPr>
              <w:t>£0</w:t>
            </w:r>
          </w:p>
        </w:tc>
        <w:tc>
          <w:tcPr>
            <w:tcW w:w="941" w:type="dxa"/>
            <w:tcBorders>
              <w:top w:val="nil"/>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sz w:val="16"/>
                <w:szCs w:val="16"/>
              </w:rPr>
            </w:pPr>
            <w:r w:rsidRPr="00605608">
              <w:rPr>
                <w:rFonts w:cs="Arial"/>
                <w:sz w:val="16"/>
                <w:szCs w:val="16"/>
              </w:rPr>
              <w:t>£79</w:t>
            </w:r>
          </w:p>
        </w:tc>
        <w:tc>
          <w:tcPr>
            <w:tcW w:w="2017" w:type="dxa"/>
            <w:tcBorders>
              <w:top w:val="nil"/>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sz w:val="16"/>
                <w:szCs w:val="16"/>
              </w:rPr>
            </w:pPr>
            <w:r w:rsidRPr="00605608">
              <w:rPr>
                <w:rFonts w:cs="Arial"/>
                <w:sz w:val="16"/>
                <w:szCs w:val="16"/>
              </w:rPr>
              <w:t>£8</w:t>
            </w:r>
          </w:p>
        </w:tc>
      </w:tr>
      <w:tr w:rsidR="0008742A" w:rsidRPr="00605608" w:rsidTr="006957C5">
        <w:trPr>
          <w:trHeight w:val="283"/>
          <w:jc w:val="center"/>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b/>
                <w:bCs/>
                <w:sz w:val="16"/>
                <w:szCs w:val="16"/>
              </w:rPr>
            </w:pPr>
            <w:r w:rsidRPr="00605608">
              <w:rPr>
                <w:rFonts w:cs="Arial"/>
                <w:b/>
                <w:bCs/>
                <w:sz w:val="16"/>
                <w:szCs w:val="16"/>
              </w:rPr>
              <w:t>Total</w:t>
            </w:r>
          </w:p>
        </w:tc>
        <w:tc>
          <w:tcPr>
            <w:tcW w:w="1134" w:type="dxa"/>
            <w:tcBorders>
              <w:top w:val="nil"/>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sz w:val="16"/>
                <w:szCs w:val="16"/>
              </w:rPr>
            </w:pPr>
            <w:r w:rsidRPr="00605608">
              <w:rPr>
                <w:rFonts w:cs="Arial"/>
                <w:sz w:val="16"/>
                <w:szCs w:val="16"/>
              </w:rPr>
              <w:t>£968</w:t>
            </w:r>
          </w:p>
        </w:tc>
        <w:tc>
          <w:tcPr>
            <w:tcW w:w="1436" w:type="dxa"/>
            <w:tcBorders>
              <w:top w:val="nil"/>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sz w:val="16"/>
                <w:szCs w:val="16"/>
              </w:rPr>
            </w:pPr>
            <w:r w:rsidRPr="00605608">
              <w:rPr>
                <w:rFonts w:cs="Arial"/>
                <w:sz w:val="16"/>
                <w:szCs w:val="16"/>
              </w:rPr>
              <w:t>£825</w:t>
            </w:r>
          </w:p>
        </w:tc>
        <w:tc>
          <w:tcPr>
            <w:tcW w:w="1738" w:type="dxa"/>
            <w:tcBorders>
              <w:top w:val="nil"/>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sz w:val="16"/>
                <w:szCs w:val="16"/>
              </w:rPr>
            </w:pPr>
            <w:r w:rsidRPr="00605608">
              <w:rPr>
                <w:rFonts w:cs="Arial"/>
                <w:sz w:val="16"/>
                <w:szCs w:val="16"/>
              </w:rPr>
              <w:t>£710</w:t>
            </w:r>
          </w:p>
        </w:tc>
        <w:tc>
          <w:tcPr>
            <w:tcW w:w="1289" w:type="dxa"/>
            <w:tcBorders>
              <w:top w:val="nil"/>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sz w:val="16"/>
                <w:szCs w:val="16"/>
              </w:rPr>
            </w:pPr>
            <w:r w:rsidRPr="00605608">
              <w:rPr>
                <w:rFonts w:cs="Arial"/>
                <w:sz w:val="16"/>
                <w:szCs w:val="16"/>
              </w:rPr>
              <w:t>£225</w:t>
            </w:r>
          </w:p>
        </w:tc>
        <w:tc>
          <w:tcPr>
            <w:tcW w:w="941" w:type="dxa"/>
            <w:tcBorders>
              <w:top w:val="nil"/>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b/>
                <w:sz w:val="16"/>
                <w:szCs w:val="16"/>
              </w:rPr>
            </w:pPr>
            <w:r w:rsidRPr="00605608">
              <w:rPr>
                <w:rFonts w:cs="Arial"/>
                <w:b/>
                <w:sz w:val="16"/>
                <w:szCs w:val="16"/>
              </w:rPr>
              <w:t>£2,728</w:t>
            </w:r>
          </w:p>
        </w:tc>
        <w:tc>
          <w:tcPr>
            <w:tcW w:w="2017" w:type="dxa"/>
            <w:tcBorders>
              <w:top w:val="nil"/>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b/>
                <w:sz w:val="16"/>
                <w:szCs w:val="16"/>
              </w:rPr>
            </w:pPr>
            <w:r w:rsidRPr="00605608">
              <w:rPr>
                <w:rFonts w:cs="Arial"/>
                <w:b/>
                <w:sz w:val="16"/>
                <w:szCs w:val="16"/>
              </w:rPr>
              <w:t>£273</w:t>
            </w:r>
          </w:p>
        </w:tc>
      </w:tr>
    </w:tbl>
    <w:p w:rsidR="0008742A" w:rsidRPr="00605608" w:rsidRDefault="00E60307" w:rsidP="001A1090">
      <w:pPr>
        <w:spacing w:before="240"/>
        <w:jc w:val="center"/>
        <w:rPr>
          <w:rFonts w:cs="Arial"/>
          <w:sz w:val="16"/>
          <w:szCs w:val="16"/>
        </w:rPr>
      </w:pPr>
      <w:r>
        <w:rPr>
          <w:rFonts w:cs="Arial"/>
          <w:sz w:val="16"/>
          <w:szCs w:val="16"/>
        </w:rPr>
        <w:t>Table 9</w:t>
      </w:r>
      <w:r w:rsidR="0008742A" w:rsidRPr="00605608">
        <w:rPr>
          <w:rFonts w:cs="Arial"/>
          <w:sz w:val="16"/>
          <w:szCs w:val="16"/>
        </w:rPr>
        <w:t>: Familiarisation costs to Seafood wholesalers in England and Wales</w:t>
      </w:r>
    </w:p>
    <w:tbl>
      <w:tblPr>
        <w:tblW w:w="9829" w:type="dxa"/>
        <w:jc w:val="center"/>
        <w:tblInd w:w="93" w:type="dxa"/>
        <w:tblLayout w:type="fixed"/>
        <w:tblLook w:val="04A0" w:firstRow="1" w:lastRow="0" w:firstColumn="1" w:lastColumn="0" w:noHBand="0" w:noVBand="1"/>
      </w:tblPr>
      <w:tblGrid>
        <w:gridCol w:w="1274"/>
        <w:gridCol w:w="1134"/>
        <w:gridCol w:w="1436"/>
        <w:gridCol w:w="1738"/>
        <w:gridCol w:w="1289"/>
        <w:gridCol w:w="941"/>
        <w:gridCol w:w="2017"/>
      </w:tblGrid>
      <w:tr w:rsidR="0008742A" w:rsidRPr="00605608" w:rsidTr="006957C5">
        <w:trPr>
          <w:trHeight w:val="283"/>
          <w:jc w:val="center"/>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b/>
                <w:bCs/>
                <w:sz w:val="16"/>
                <w:szCs w:val="16"/>
              </w:rPr>
            </w:pPr>
            <w:r w:rsidRPr="00605608">
              <w:rPr>
                <w:rFonts w:cs="Arial"/>
                <w:b/>
                <w:bCs/>
                <w:sz w:val="16"/>
                <w:szCs w:val="16"/>
              </w:rPr>
              <w:t>Region/ size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b/>
                <w:bCs/>
                <w:sz w:val="16"/>
                <w:szCs w:val="16"/>
              </w:rPr>
            </w:pPr>
            <w:r w:rsidRPr="00605608">
              <w:rPr>
                <w:rFonts w:cs="Arial"/>
                <w:b/>
                <w:bCs/>
                <w:sz w:val="16"/>
                <w:szCs w:val="16"/>
              </w:rPr>
              <w:t>Micro</w:t>
            </w:r>
          </w:p>
          <w:p w:rsidR="0008742A" w:rsidRPr="00605608" w:rsidRDefault="0008742A" w:rsidP="00605608">
            <w:pPr>
              <w:jc w:val="center"/>
              <w:rPr>
                <w:rFonts w:cs="Arial"/>
                <w:b/>
                <w:bCs/>
                <w:sz w:val="16"/>
                <w:szCs w:val="16"/>
              </w:rPr>
            </w:pPr>
            <w:r w:rsidRPr="00605608">
              <w:rPr>
                <w:rFonts w:cs="Arial"/>
                <w:b/>
                <w:bCs/>
                <w:sz w:val="16"/>
                <w:szCs w:val="16"/>
              </w:rPr>
              <w:t>(0-9)</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b/>
                <w:bCs/>
                <w:sz w:val="16"/>
                <w:szCs w:val="16"/>
              </w:rPr>
            </w:pPr>
            <w:r w:rsidRPr="00605608">
              <w:rPr>
                <w:rFonts w:cs="Arial"/>
                <w:b/>
                <w:bCs/>
                <w:sz w:val="16"/>
                <w:szCs w:val="16"/>
              </w:rPr>
              <w:t>Small</w:t>
            </w:r>
          </w:p>
          <w:p w:rsidR="0008742A" w:rsidRPr="00605608" w:rsidRDefault="0008742A" w:rsidP="00605608">
            <w:pPr>
              <w:jc w:val="center"/>
              <w:rPr>
                <w:rFonts w:cs="Arial"/>
                <w:b/>
                <w:bCs/>
                <w:sz w:val="16"/>
                <w:szCs w:val="16"/>
              </w:rPr>
            </w:pPr>
            <w:r w:rsidRPr="00605608">
              <w:rPr>
                <w:rFonts w:cs="Arial"/>
                <w:b/>
                <w:bCs/>
                <w:sz w:val="16"/>
                <w:szCs w:val="16"/>
              </w:rPr>
              <w:t>(10 - 49)</w:t>
            </w:r>
          </w:p>
        </w:tc>
        <w:tc>
          <w:tcPr>
            <w:tcW w:w="1738" w:type="dxa"/>
            <w:tcBorders>
              <w:top w:val="single" w:sz="4" w:space="0" w:color="auto"/>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b/>
                <w:bCs/>
                <w:sz w:val="16"/>
                <w:szCs w:val="16"/>
              </w:rPr>
            </w:pPr>
            <w:r w:rsidRPr="00605608">
              <w:rPr>
                <w:rFonts w:cs="Arial"/>
                <w:b/>
                <w:bCs/>
                <w:sz w:val="16"/>
                <w:szCs w:val="16"/>
              </w:rPr>
              <w:t>Medium</w:t>
            </w:r>
          </w:p>
          <w:p w:rsidR="0008742A" w:rsidRPr="00605608" w:rsidRDefault="0008742A" w:rsidP="00605608">
            <w:pPr>
              <w:jc w:val="center"/>
              <w:rPr>
                <w:rFonts w:cs="Arial"/>
                <w:b/>
                <w:bCs/>
                <w:sz w:val="16"/>
                <w:szCs w:val="16"/>
              </w:rPr>
            </w:pPr>
            <w:r w:rsidRPr="00605608">
              <w:rPr>
                <w:rFonts w:cs="Arial"/>
                <w:b/>
                <w:bCs/>
                <w:sz w:val="16"/>
                <w:szCs w:val="16"/>
              </w:rPr>
              <w:t>(50 - 249)</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b/>
                <w:bCs/>
                <w:sz w:val="16"/>
                <w:szCs w:val="16"/>
              </w:rPr>
            </w:pPr>
            <w:r w:rsidRPr="00605608">
              <w:rPr>
                <w:rFonts w:cs="Arial"/>
                <w:b/>
                <w:bCs/>
                <w:sz w:val="16"/>
                <w:szCs w:val="16"/>
              </w:rPr>
              <w:t>Large (250+)</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b/>
                <w:bCs/>
                <w:sz w:val="16"/>
                <w:szCs w:val="16"/>
              </w:rPr>
            </w:pPr>
            <w:r w:rsidRPr="00605608">
              <w:rPr>
                <w:rFonts w:cs="Arial"/>
                <w:b/>
                <w:bCs/>
                <w:sz w:val="16"/>
                <w:szCs w:val="16"/>
              </w:rPr>
              <w:t>Total</w:t>
            </w:r>
          </w:p>
        </w:tc>
        <w:tc>
          <w:tcPr>
            <w:tcW w:w="2017" w:type="dxa"/>
            <w:tcBorders>
              <w:top w:val="single" w:sz="4" w:space="0" w:color="auto"/>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b/>
                <w:bCs/>
                <w:sz w:val="16"/>
                <w:szCs w:val="16"/>
              </w:rPr>
            </w:pPr>
            <w:r w:rsidRPr="00605608">
              <w:rPr>
                <w:rFonts w:cs="Arial"/>
                <w:b/>
                <w:bCs/>
                <w:sz w:val="16"/>
                <w:szCs w:val="16"/>
              </w:rPr>
              <w:t>Annual Equivalent</w:t>
            </w:r>
          </w:p>
          <w:p w:rsidR="0008742A" w:rsidRPr="00605608" w:rsidRDefault="0008742A" w:rsidP="00605608">
            <w:pPr>
              <w:jc w:val="center"/>
              <w:rPr>
                <w:rFonts w:cs="Arial"/>
                <w:b/>
                <w:bCs/>
                <w:sz w:val="16"/>
                <w:szCs w:val="16"/>
              </w:rPr>
            </w:pPr>
            <w:r w:rsidRPr="00605608">
              <w:rPr>
                <w:rFonts w:cs="Arial"/>
                <w:b/>
                <w:bCs/>
                <w:sz w:val="16"/>
                <w:szCs w:val="16"/>
              </w:rPr>
              <w:t>(10 years)</w:t>
            </w:r>
          </w:p>
        </w:tc>
      </w:tr>
      <w:tr w:rsidR="0008742A" w:rsidRPr="00605608" w:rsidTr="006957C5">
        <w:trPr>
          <w:trHeight w:val="283"/>
          <w:jc w:val="center"/>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b/>
                <w:bCs/>
                <w:sz w:val="16"/>
                <w:szCs w:val="16"/>
              </w:rPr>
            </w:pPr>
            <w:r w:rsidRPr="00605608">
              <w:rPr>
                <w:rFonts w:cs="Arial"/>
                <w:b/>
                <w:bCs/>
                <w:sz w:val="16"/>
                <w:szCs w:val="16"/>
              </w:rPr>
              <w:t>England</w:t>
            </w:r>
          </w:p>
        </w:tc>
        <w:tc>
          <w:tcPr>
            <w:tcW w:w="1134"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sz w:val="16"/>
                <w:szCs w:val="16"/>
              </w:rPr>
            </w:pPr>
            <w:r w:rsidRPr="00605608">
              <w:rPr>
                <w:rFonts w:cs="Arial"/>
                <w:sz w:val="16"/>
                <w:szCs w:val="16"/>
              </w:rPr>
              <w:t>£9,008</w:t>
            </w:r>
          </w:p>
        </w:tc>
        <w:tc>
          <w:tcPr>
            <w:tcW w:w="1436"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sz w:val="16"/>
                <w:szCs w:val="16"/>
              </w:rPr>
            </w:pPr>
            <w:r w:rsidRPr="00605608">
              <w:rPr>
                <w:rFonts w:cs="Arial"/>
                <w:sz w:val="16"/>
                <w:szCs w:val="16"/>
              </w:rPr>
              <w:t>£3,944</w:t>
            </w:r>
          </w:p>
        </w:tc>
        <w:tc>
          <w:tcPr>
            <w:tcW w:w="1738"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sz w:val="16"/>
                <w:szCs w:val="16"/>
              </w:rPr>
            </w:pPr>
            <w:r w:rsidRPr="00605608">
              <w:rPr>
                <w:rFonts w:cs="Arial"/>
                <w:sz w:val="16"/>
                <w:szCs w:val="16"/>
              </w:rPr>
              <w:t>£1,014</w:t>
            </w:r>
          </w:p>
        </w:tc>
        <w:tc>
          <w:tcPr>
            <w:tcW w:w="1289"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sz w:val="16"/>
                <w:szCs w:val="16"/>
              </w:rPr>
            </w:pPr>
            <w:r w:rsidRPr="00605608">
              <w:rPr>
                <w:rFonts w:cs="Arial"/>
                <w:sz w:val="16"/>
                <w:szCs w:val="16"/>
              </w:rPr>
              <w:t>£225</w:t>
            </w:r>
          </w:p>
        </w:tc>
        <w:tc>
          <w:tcPr>
            <w:tcW w:w="941"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sz w:val="16"/>
                <w:szCs w:val="16"/>
              </w:rPr>
            </w:pPr>
            <w:r w:rsidRPr="00605608">
              <w:rPr>
                <w:rFonts w:cs="Arial"/>
                <w:sz w:val="16"/>
                <w:szCs w:val="16"/>
              </w:rPr>
              <w:t>£14,191</w:t>
            </w:r>
          </w:p>
        </w:tc>
        <w:tc>
          <w:tcPr>
            <w:tcW w:w="2017"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sz w:val="16"/>
                <w:szCs w:val="16"/>
              </w:rPr>
            </w:pPr>
            <w:r w:rsidRPr="00605608">
              <w:rPr>
                <w:rFonts w:cs="Arial"/>
                <w:sz w:val="16"/>
                <w:szCs w:val="16"/>
              </w:rPr>
              <w:t>£1,419</w:t>
            </w:r>
          </w:p>
        </w:tc>
      </w:tr>
      <w:tr w:rsidR="0008742A" w:rsidRPr="00605608" w:rsidTr="006957C5">
        <w:trPr>
          <w:trHeight w:val="283"/>
          <w:jc w:val="center"/>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b/>
                <w:bCs/>
                <w:sz w:val="16"/>
                <w:szCs w:val="16"/>
              </w:rPr>
            </w:pPr>
            <w:r w:rsidRPr="00605608">
              <w:rPr>
                <w:rFonts w:cs="Arial"/>
                <w:b/>
                <w:bCs/>
                <w:sz w:val="16"/>
                <w:szCs w:val="16"/>
              </w:rPr>
              <w:t>Wales</w:t>
            </w:r>
          </w:p>
        </w:tc>
        <w:tc>
          <w:tcPr>
            <w:tcW w:w="1134"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sz w:val="16"/>
                <w:szCs w:val="16"/>
              </w:rPr>
            </w:pPr>
            <w:r w:rsidRPr="00605608">
              <w:rPr>
                <w:rFonts w:cs="Arial"/>
                <w:sz w:val="16"/>
                <w:szCs w:val="16"/>
              </w:rPr>
              <w:t>£359</w:t>
            </w:r>
          </w:p>
        </w:tc>
        <w:tc>
          <w:tcPr>
            <w:tcW w:w="1436"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sz w:val="16"/>
                <w:szCs w:val="16"/>
              </w:rPr>
            </w:pPr>
            <w:r w:rsidRPr="00605608">
              <w:rPr>
                <w:rFonts w:cs="Arial"/>
                <w:sz w:val="16"/>
                <w:szCs w:val="16"/>
              </w:rPr>
              <w:t>£161</w:t>
            </w:r>
          </w:p>
        </w:tc>
        <w:tc>
          <w:tcPr>
            <w:tcW w:w="1738"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sz w:val="16"/>
                <w:szCs w:val="16"/>
              </w:rPr>
            </w:pPr>
            <w:r w:rsidRPr="00605608">
              <w:rPr>
                <w:rFonts w:cs="Arial"/>
                <w:sz w:val="16"/>
                <w:szCs w:val="16"/>
              </w:rPr>
              <w:t>£68</w:t>
            </w:r>
          </w:p>
        </w:tc>
        <w:tc>
          <w:tcPr>
            <w:tcW w:w="1289"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sz w:val="16"/>
                <w:szCs w:val="16"/>
              </w:rPr>
            </w:pPr>
            <w:r w:rsidRPr="00605608">
              <w:rPr>
                <w:rFonts w:cs="Arial"/>
                <w:sz w:val="16"/>
                <w:szCs w:val="16"/>
              </w:rPr>
              <w:t>£0</w:t>
            </w:r>
          </w:p>
        </w:tc>
        <w:tc>
          <w:tcPr>
            <w:tcW w:w="941"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sz w:val="16"/>
                <w:szCs w:val="16"/>
              </w:rPr>
            </w:pPr>
            <w:r w:rsidRPr="00605608">
              <w:rPr>
                <w:rFonts w:cs="Arial"/>
                <w:sz w:val="16"/>
                <w:szCs w:val="16"/>
              </w:rPr>
              <w:t>£587</w:t>
            </w:r>
          </w:p>
        </w:tc>
        <w:tc>
          <w:tcPr>
            <w:tcW w:w="2017"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sz w:val="16"/>
                <w:szCs w:val="16"/>
              </w:rPr>
            </w:pPr>
            <w:r w:rsidRPr="00605608">
              <w:rPr>
                <w:rFonts w:cs="Arial"/>
                <w:sz w:val="16"/>
                <w:szCs w:val="16"/>
              </w:rPr>
              <w:t>£59</w:t>
            </w:r>
          </w:p>
        </w:tc>
      </w:tr>
      <w:tr w:rsidR="0008742A" w:rsidRPr="00605608" w:rsidTr="006957C5">
        <w:trPr>
          <w:trHeight w:val="283"/>
          <w:jc w:val="center"/>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b/>
                <w:bCs/>
                <w:sz w:val="16"/>
                <w:szCs w:val="16"/>
              </w:rPr>
            </w:pPr>
            <w:r w:rsidRPr="00605608">
              <w:rPr>
                <w:rFonts w:cs="Arial"/>
                <w:b/>
                <w:bCs/>
                <w:sz w:val="16"/>
                <w:szCs w:val="16"/>
              </w:rPr>
              <w:t>Total</w:t>
            </w:r>
          </w:p>
        </w:tc>
        <w:tc>
          <w:tcPr>
            <w:tcW w:w="1134"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sz w:val="16"/>
                <w:szCs w:val="16"/>
              </w:rPr>
            </w:pPr>
            <w:r w:rsidRPr="00605608">
              <w:rPr>
                <w:rFonts w:cs="Arial"/>
                <w:sz w:val="16"/>
                <w:szCs w:val="16"/>
              </w:rPr>
              <w:t>£9,367</w:t>
            </w:r>
          </w:p>
        </w:tc>
        <w:tc>
          <w:tcPr>
            <w:tcW w:w="1436"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sz w:val="16"/>
                <w:szCs w:val="16"/>
              </w:rPr>
            </w:pPr>
            <w:r w:rsidRPr="00605608">
              <w:rPr>
                <w:rFonts w:cs="Arial"/>
                <w:sz w:val="16"/>
                <w:szCs w:val="16"/>
              </w:rPr>
              <w:t>£4,105</w:t>
            </w:r>
          </w:p>
        </w:tc>
        <w:tc>
          <w:tcPr>
            <w:tcW w:w="1738"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sz w:val="16"/>
                <w:szCs w:val="16"/>
              </w:rPr>
            </w:pPr>
            <w:r w:rsidRPr="00605608">
              <w:rPr>
                <w:rFonts w:cs="Arial"/>
                <w:sz w:val="16"/>
                <w:szCs w:val="16"/>
              </w:rPr>
              <w:t>£1,081</w:t>
            </w:r>
          </w:p>
        </w:tc>
        <w:tc>
          <w:tcPr>
            <w:tcW w:w="1289"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sz w:val="16"/>
                <w:szCs w:val="16"/>
              </w:rPr>
            </w:pPr>
            <w:r w:rsidRPr="00605608">
              <w:rPr>
                <w:rFonts w:cs="Arial"/>
                <w:sz w:val="16"/>
                <w:szCs w:val="16"/>
              </w:rPr>
              <w:t>£225</w:t>
            </w:r>
          </w:p>
        </w:tc>
        <w:tc>
          <w:tcPr>
            <w:tcW w:w="941"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b/>
                <w:sz w:val="16"/>
                <w:szCs w:val="16"/>
              </w:rPr>
            </w:pPr>
            <w:r w:rsidRPr="00605608">
              <w:rPr>
                <w:rFonts w:cs="Arial"/>
                <w:b/>
                <w:sz w:val="16"/>
                <w:szCs w:val="16"/>
              </w:rPr>
              <w:t>£14,779</w:t>
            </w:r>
          </w:p>
        </w:tc>
        <w:tc>
          <w:tcPr>
            <w:tcW w:w="2017"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b/>
                <w:sz w:val="16"/>
                <w:szCs w:val="16"/>
              </w:rPr>
            </w:pPr>
            <w:r w:rsidRPr="00605608">
              <w:rPr>
                <w:rFonts w:cs="Arial"/>
                <w:b/>
                <w:sz w:val="16"/>
                <w:szCs w:val="16"/>
              </w:rPr>
              <w:t>£1,478</w:t>
            </w:r>
          </w:p>
        </w:tc>
      </w:tr>
    </w:tbl>
    <w:p w:rsidR="0008742A" w:rsidRPr="00605608" w:rsidRDefault="00E60307" w:rsidP="00610F70">
      <w:pPr>
        <w:spacing w:before="240"/>
        <w:jc w:val="center"/>
        <w:rPr>
          <w:rFonts w:cs="Arial"/>
          <w:sz w:val="16"/>
          <w:szCs w:val="16"/>
          <w:u w:val="single"/>
        </w:rPr>
      </w:pPr>
      <w:r>
        <w:rPr>
          <w:rFonts w:cs="Arial"/>
          <w:sz w:val="16"/>
          <w:szCs w:val="16"/>
        </w:rPr>
        <w:t>Table 10</w:t>
      </w:r>
      <w:r w:rsidR="0008742A" w:rsidRPr="00605608">
        <w:rPr>
          <w:rFonts w:cs="Arial"/>
          <w:sz w:val="16"/>
          <w:szCs w:val="16"/>
        </w:rPr>
        <w:t>: Familiarisation costs to Retailers in England and Wales</w:t>
      </w:r>
    </w:p>
    <w:tbl>
      <w:tblPr>
        <w:tblW w:w="10042" w:type="dxa"/>
        <w:jc w:val="center"/>
        <w:tblInd w:w="93" w:type="dxa"/>
        <w:tblLayout w:type="fixed"/>
        <w:tblLook w:val="04A0" w:firstRow="1" w:lastRow="0" w:firstColumn="1" w:lastColumn="0" w:noHBand="0" w:noVBand="1"/>
      </w:tblPr>
      <w:tblGrid>
        <w:gridCol w:w="1274"/>
        <w:gridCol w:w="1134"/>
        <w:gridCol w:w="1436"/>
        <w:gridCol w:w="1738"/>
        <w:gridCol w:w="1289"/>
        <w:gridCol w:w="1163"/>
        <w:gridCol w:w="2008"/>
      </w:tblGrid>
      <w:tr w:rsidR="0008742A" w:rsidRPr="00605608" w:rsidTr="006957C5">
        <w:trPr>
          <w:trHeight w:val="283"/>
          <w:jc w:val="center"/>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b/>
                <w:bCs/>
                <w:sz w:val="16"/>
                <w:szCs w:val="16"/>
              </w:rPr>
            </w:pPr>
            <w:r w:rsidRPr="00605608">
              <w:rPr>
                <w:rFonts w:cs="Arial"/>
                <w:b/>
                <w:bCs/>
                <w:sz w:val="16"/>
                <w:szCs w:val="16"/>
              </w:rPr>
              <w:t>Region/ size</w:t>
            </w:r>
          </w:p>
          <w:p w:rsidR="0008742A" w:rsidRPr="00605608" w:rsidRDefault="0008742A" w:rsidP="00605608">
            <w:pPr>
              <w:jc w:val="center"/>
              <w:rPr>
                <w:rFonts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b/>
                <w:bCs/>
                <w:sz w:val="16"/>
                <w:szCs w:val="16"/>
              </w:rPr>
            </w:pPr>
            <w:r w:rsidRPr="00605608">
              <w:rPr>
                <w:rFonts w:cs="Arial"/>
                <w:b/>
                <w:bCs/>
                <w:sz w:val="16"/>
                <w:szCs w:val="16"/>
              </w:rPr>
              <w:t>Micro</w:t>
            </w:r>
          </w:p>
          <w:p w:rsidR="0008742A" w:rsidRPr="00605608" w:rsidRDefault="0008742A" w:rsidP="00605608">
            <w:pPr>
              <w:jc w:val="center"/>
              <w:rPr>
                <w:rFonts w:cs="Arial"/>
                <w:b/>
                <w:bCs/>
                <w:sz w:val="16"/>
                <w:szCs w:val="16"/>
              </w:rPr>
            </w:pPr>
            <w:r w:rsidRPr="00605608">
              <w:rPr>
                <w:rFonts w:cs="Arial"/>
                <w:b/>
                <w:bCs/>
                <w:sz w:val="16"/>
                <w:szCs w:val="16"/>
              </w:rPr>
              <w:t>(0-9)</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b/>
                <w:bCs/>
                <w:sz w:val="16"/>
                <w:szCs w:val="16"/>
              </w:rPr>
            </w:pPr>
            <w:r w:rsidRPr="00605608">
              <w:rPr>
                <w:rFonts w:cs="Arial"/>
                <w:b/>
                <w:bCs/>
                <w:sz w:val="16"/>
                <w:szCs w:val="16"/>
              </w:rPr>
              <w:t>Small</w:t>
            </w:r>
          </w:p>
          <w:p w:rsidR="0008742A" w:rsidRPr="00605608" w:rsidRDefault="0008742A" w:rsidP="00605608">
            <w:pPr>
              <w:jc w:val="center"/>
              <w:rPr>
                <w:rFonts w:cs="Arial"/>
                <w:b/>
                <w:bCs/>
                <w:sz w:val="16"/>
                <w:szCs w:val="16"/>
              </w:rPr>
            </w:pPr>
            <w:r w:rsidRPr="00605608">
              <w:rPr>
                <w:rFonts w:cs="Arial"/>
                <w:b/>
                <w:bCs/>
                <w:sz w:val="16"/>
                <w:szCs w:val="16"/>
              </w:rPr>
              <w:t>(10 - 49)</w:t>
            </w:r>
          </w:p>
        </w:tc>
        <w:tc>
          <w:tcPr>
            <w:tcW w:w="1738" w:type="dxa"/>
            <w:tcBorders>
              <w:top w:val="single" w:sz="4" w:space="0" w:color="auto"/>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b/>
                <w:bCs/>
                <w:sz w:val="16"/>
                <w:szCs w:val="16"/>
              </w:rPr>
            </w:pPr>
            <w:r w:rsidRPr="00605608">
              <w:rPr>
                <w:rFonts w:cs="Arial"/>
                <w:b/>
                <w:bCs/>
                <w:sz w:val="16"/>
                <w:szCs w:val="16"/>
              </w:rPr>
              <w:t>Medium</w:t>
            </w:r>
          </w:p>
          <w:p w:rsidR="0008742A" w:rsidRPr="00605608" w:rsidRDefault="0008742A" w:rsidP="00605608">
            <w:pPr>
              <w:jc w:val="center"/>
              <w:rPr>
                <w:rFonts w:cs="Arial"/>
                <w:b/>
                <w:bCs/>
                <w:sz w:val="16"/>
                <w:szCs w:val="16"/>
              </w:rPr>
            </w:pPr>
            <w:r w:rsidRPr="00605608">
              <w:rPr>
                <w:rFonts w:cs="Arial"/>
                <w:b/>
                <w:bCs/>
                <w:sz w:val="16"/>
                <w:szCs w:val="16"/>
              </w:rPr>
              <w:t>(50 - 249)</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b/>
                <w:bCs/>
                <w:sz w:val="16"/>
                <w:szCs w:val="16"/>
              </w:rPr>
            </w:pPr>
            <w:r w:rsidRPr="00605608">
              <w:rPr>
                <w:rFonts w:cs="Arial"/>
                <w:b/>
                <w:bCs/>
                <w:sz w:val="16"/>
                <w:szCs w:val="16"/>
              </w:rPr>
              <w:t>Large (250+)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b/>
                <w:bCs/>
                <w:sz w:val="16"/>
                <w:szCs w:val="16"/>
              </w:rPr>
            </w:pPr>
            <w:r w:rsidRPr="00605608">
              <w:rPr>
                <w:rFonts w:cs="Arial"/>
                <w:b/>
                <w:bCs/>
                <w:sz w:val="16"/>
                <w:szCs w:val="16"/>
              </w:rPr>
              <w:t>Total</w:t>
            </w:r>
          </w:p>
        </w:tc>
        <w:tc>
          <w:tcPr>
            <w:tcW w:w="2008" w:type="dxa"/>
            <w:tcBorders>
              <w:top w:val="single" w:sz="4" w:space="0" w:color="auto"/>
              <w:left w:val="nil"/>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b/>
                <w:bCs/>
                <w:sz w:val="16"/>
                <w:szCs w:val="16"/>
              </w:rPr>
            </w:pPr>
            <w:r w:rsidRPr="00605608">
              <w:rPr>
                <w:rFonts w:cs="Arial"/>
                <w:b/>
                <w:bCs/>
                <w:sz w:val="16"/>
                <w:szCs w:val="16"/>
              </w:rPr>
              <w:t>Annual Equivalent</w:t>
            </w:r>
          </w:p>
          <w:p w:rsidR="0008742A" w:rsidRPr="00605608" w:rsidRDefault="0008742A" w:rsidP="00605608">
            <w:pPr>
              <w:jc w:val="center"/>
              <w:rPr>
                <w:rFonts w:cs="Arial"/>
                <w:b/>
                <w:bCs/>
                <w:sz w:val="16"/>
                <w:szCs w:val="16"/>
              </w:rPr>
            </w:pPr>
            <w:r w:rsidRPr="00605608">
              <w:rPr>
                <w:rFonts w:cs="Arial"/>
                <w:b/>
                <w:bCs/>
                <w:sz w:val="16"/>
                <w:szCs w:val="16"/>
              </w:rPr>
              <w:t>(10 years)</w:t>
            </w:r>
          </w:p>
        </w:tc>
      </w:tr>
      <w:tr w:rsidR="0008742A" w:rsidRPr="00605608" w:rsidTr="006957C5">
        <w:trPr>
          <w:trHeight w:val="283"/>
          <w:jc w:val="center"/>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b/>
                <w:bCs/>
                <w:sz w:val="16"/>
                <w:szCs w:val="16"/>
              </w:rPr>
            </w:pPr>
            <w:r w:rsidRPr="00605608">
              <w:rPr>
                <w:rFonts w:cs="Arial"/>
                <w:b/>
                <w:bCs/>
                <w:sz w:val="16"/>
                <w:szCs w:val="16"/>
              </w:rPr>
              <w:t>England</w:t>
            </w:r>
          </w:p>
        </w:tc>
        <w:tc>
          <w:tcPr>
            <w:tcW w:w="1134"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sz w:val="16"/>
                <w:szCs w:val="16"/>
              </w:rPr>
            </w:pPr>
            <w:r w:rsidRPr="00605608">
              <w:rPr>
                <w:rFonts w:cs="Arial"/>
                <w:sz w:val="16"/>
                <w:szCs w:val="16"/>
              </w:rPr>
              <w:t>£431,318</w:t>
            </w:r>
          </w:p>
        </w:tc>
        <w:tc>
          <w:tcPr>
            <w:tcW w:w="1436"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sz w:val="16"/>
                <w:szCs w:val="16"/>
              </w:rPr>
            </w:pPr>
            <w:r w:rsidRPr="00605608">
              <w:rPr>
                <w:rFonts w:cs="Arial"/>
                <w:sz w:val="16"/>
                <w:szCs w:val="16"/>
              </w:rPr>
              <w:t>£43,256</w:t>
            </w:r>
          </w:p>
        </w:tc>
        <w:tc>
          <w:tcPr>
            <w:tcW w:w="1738"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sz w:val="16"/>
                <w:szCs w:val="16"/>
              </w:rPr>
            </w:pPr>
            <w:r w:rsidRPr="00605608">
              <w:rPr>
                <w:rFonts w:cs="Arial"/>
                <w:sz w:val="16"/>
                <w:szCs w:val="16"/>
              </w:rPr>
              <w:t>£5,941</w:t>
            </w:r>
          </w:p>
        </w:tc>
        <w:tc>
          <w:tcPr>
            <w:tcW w:w="1289"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sz w:val="16"/>
                <w:szCs w:val="16"/>
              </w:rPr>
            </w:pPr>
            <w:r w:rsidRPr="00605608">
              <w:rPr>
                <w:rFonts w:cs="Arial"/>
                <w:sz w:val="16"/>
                <w:szCs w:val="16"/>
              </w:rPr>
              <w:t>£2,458</w:t>
            </w:r>
          </w:p>
        </w:tc>
        <w:tc>
          <w:tcPr>
            <w:tcW w:w="1163"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sz w:val="16"/>
                <w:szCs w:val="16"/>
              </w:rPr>
            </w:pPr>
            <w:r w:rsidRPr="00605608">
              <w:rPr>
                <w:rFonts w:cs="Arial"/>
                <w:sz w:val="16"/>
                <w:szCs w:val="16"/>
              </w:rPr>
              <w:t>£482,972</w:t>
            </w:r>
          </w:p>
        </w:tc>
        <w:tc>
          <w:tcPr>
            <w:tcW w:w="2008"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sz w:val="16"/>
                <w:szCs w:val="16"/>
              </w:rPr>
            </w:pPr>
            <w:r w:rsidRPr="00605608">
              <w:rPr>
                <w:rFonts w:cs="Arial"/>
                <w:sz w:val="16"/>
                <w:szCs w:val="16"/>
              </w:rPr>
              <w:t>£48,297</w:t>
            </w:r>
          </w:p>
        </w:tc>
      </w:tr>
      <w:tr w:rsidR="0008742A" w:rsidRPr="00605608" w:rsidTr="006957C5">
        <w:trPr>
          <w:trHeight w:val="283"/>
          <w:jc w:val="center"/>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b/>
                <w:bCs/>
                <w:sz w:val="16"/>
                <w:szCs w:val="16"/>
              </w:rPr>
            </w:pPr>
            <w:r w:rsidRPr="00605608">
              <w:rPr>
                <w:rFonts w:cs="Arial"/>
                <w:b/>
                <w:bCs/>
                <w:sz w:val="16"/>
                <w:szCs w:val="16"/>
              </w:rPr>
              <w:t>Wales</w:t>
            </w:r>
          </w:p>
        </w:tc>
        <w:tc>
          <w:tcPr>
            <w:tcW w:w="1134"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sz w:val="16"/>
                <w:szCs w:val="16"/>
              </w:rPr>
            </w:pPr>
            <w:r w:rsidRPr="00605608">
              <w:rPr>
                <w:rFonts w:cs="Arial"/>
                <w:sz w:val="16"/>
                <w:szCs w:val="16"/>
              </w:rPr>
              <w:t>£25,841</w:t>
            </w:r>
          </w:p>
        </w:tc>
        <w:tc>
          <w:tcPr>
            <w:tcW w:w="1436"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sz w:val="16"/>
                <w:szCs w:val="16"/>
              </w:rPr>
            </w:pPr>
            <w:r w:rsidRPr="00605608">
              <w:rPr>
                <w:rFonts w:cs="Arial"/>
                <w:sz w:val="16"/>
                <w:szCs w:val="16"/>
              </w:rPr>
              <w:t>£4,145</w:t>
            </w:r>
          </w:p>
        </w:tc>
        <w:tc>
          <w:tcPr>
            <w:tcW w:w="1738"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sz w:val="16"/>
                <w:szCs w:val="16"/>
              </w:rPr>
            </w:pPr>
            <w:r w:rsidRPr="00605608">
              <w:rPr>
                <w:rFonts w:cs="Arial"/>
                <w:sz w:val="16"/>
                <w:szCs w:val="16"/>
              </w:rPr>
              <w:t>£533</w:t>
            </w:r>
          </w:p>
        </w:tc>
        <w:tc>
          <w:tcPr>
            <w:tcW w:w="1289"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sz w:val="16"/>
                <w:szCs w:val="16"/>
              </w:rPr>
            </w:pPr>
            <w:r w:rsidRPr="00605608">
              <w:rPr>
                <w:rFonts w:cs="Arial"/>
                <w:sz w:val="16"/>
                <w:szCs w:val="16"/>
              </w:rPr>
              <w:t>£219</w:t>
            </w:r>
          </w:p>
        </w:tc>
        <w:tc>
          <w:tcPr>
            <w:tcW w:w="1163"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sz w:val="16"/>
                <w:szCs w:val="16"/>
              </w:rPr>
            </w:pPr>
            <w:r w:rsidRPr="00605608">
              <w:rPr>
                <w:rFonts w:cs="Arial"/>
                <w:sz w:val="16"/>
                <w:szCs w:val="16"/>
              </w:rPr>
              <w:t>£30,737</w:t>
            </w:r>
          </w:p>
        </w:tc>
        <w:tc>
          <w:tcPr>
            <w:tcW w:w="2008"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sz w:val="16"/>
                <w:szCs w:val="16"/>
              </w:rPr>
            </w:pPr>
            <w:r w:rsidRPr="00605608">
              <w:rPr>
                <w:rFonts w:cs="Arial"/>
                <w:sz w:val="16"/>
                <w:szCs w:val="16"/>
              </w:rPr>
              <w:t>£3,074</w:t>
            </w:r>
          </w:p>
        </w:tc>
      </w:tr>
      <w:tr w:rsidR="0008742A" w:rsidRPr="00605608" w:rsidTr="006957C5">
        <w:trPr>
          <w:trHeight w:val="283"/>
          <w:jc w:val="center"/>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08742A" w:rsidRPr="00605608" w:rsidRDefault="0008742A" w:rsidP="00605608">
            <w:pPr>
              <w:jc w:val="center"/>
              <w:rPr>
                <w:rFonts w:cs="Arial"/>
                <w:b/>
                <w:bCs/>
                <w:sz w:val="16"/>
                <w:szCs w:val="16"/>
              </w:rPr>
            </w:pPr>
            <w:r w:rsidRPr="00605608">
              <w:rPr>
                <w:rFonts w:cs="Arial"/>
                <w:b/>
                <w:bCs/>
                <w:sz w:val="16"/>
                <w:szCs w:val="16"/>
              </w:rPr>
              <w:t>Total</w:t>
            </w:r>
          </w:p>
        </w:tc>
        <w:tc>
          <w:tcPr>
            <w:tcW w:w="1134"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sz w:val="16"/>
                <w:szCs w:val="16"/>
              </w:rPr>
            </w:pPr>
            <w:r w:rsidRPr="00605608">
              <w:rPr>
                <w:rFonts w:cs="Arial"/>
                <w:sz w:val="16"/>
                <w:szCs w:val="16"/>
              </w:rPr>
              <w:t>£457,158</w:t>
            </w:r>
          </w:p>
        </w:tc>
        <w:tc>
          <w:tcPr>
            <w:tcW w:w="1436"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sz w:val="16"/>
                <w:szCs w:val="16"/>
              </w:rPr>
            </w:pPr>
            <w:r w:rsidRPr="00605608">
              <w:rPr>
                <w:rFonts w:cs="Arial"/>
                <w:sz w:val="16"/>
                <w:szCs w:val="16"/>
              </w:rPr>
              <w:t>£47,401</w:t>
            </w:r>
          </w:p>
        </w:tc>
        <w:tc>
          <w:tcPr>
            <w:tcW w:w="1738"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sz w:val="16"/>
                <w:szCs w:val="16"/>
              </w:rPr>
            </w:pPr>
            <w:r w:rsidRPr="00605608">
              <w:rPr>
                <w:rFonts w:cs="Arial"/>
                <w:sz w:val="16"/>
                <w:szCs w:val="16"/>
              </w:rPr>
              <w:t>£6,473</w:t>
            </w:r>
          </w:p>
        </w:tc>
        <w:tc>
          <w:tcPr>
            <w:tcW w:w="1289"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sz w:val="16"/>
                <w:szCs w:val="16"/>
              </w:rPr>
            </w:pPr>
            <w:r w:rsidRPr="00605608">
              <w:rPr>
                <w:rFonts w:cs="Arial"/>
                <w:sz w:val="16"/>
                <w:szCs w:val="16"/>
              </w:rPr>
              <w:t>£2,677</w:t>
            </w:r>
          </w:p>
        </w:tc>
        <w:tc>
          <w:tcPr>
            <w:tcW w:w="1163"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b/>
                <w:sz w:val="16"/>
                <w:szCs w:val="16"/>
              </w:rPr>
            </w:pPr>
            <w:r w:rsidRPr="00605608">
              <w:rPr>
                <w:rFonts w:cs="Arial"/>
                <w:b/>
                <w:sz w:val="16"/>
                <w:szCs w:val="16"/>
              </w:rPr>
              <w:t>£513,709</w:t>
            </w:r>
          </w:p>
        </w:tc>
        <w:tc>
          <w:tcPr>
            <w:tcW w:w="2008" w:type="dxa"/>
            <w:tcBorders>
              <w:top w:val="nil"/>
              <w:left w:val="nil"/>
              <w:bottom w:val="single" w:sz="4" w:space="0" w:color="auto"/>
              <w:right w:val="single" w:sz="4" w:space="0" w:color="auto"/>
            </w:tcBorders>
            <w:shd w:val="clear" w:color="auto" w:fill="auto"/>
            <w:noWrap/>
            <w:vAlign w:val="center"/>
          </w:tcPr>
          <w:p w:rsidR="0008742A" w:rsidRPr="00605608" w:rsidRDefault="0008742A" w:rsidP="00605608">
            <w:pPr>
              <w:jc w:val="center"/>
              <w:rPr>
                <w:rFonts w:cs="Arial"/>
                <w:b/>
                <w:sz w:val="16"/>
                <w:szCs w:val="16"/>
              </w:rPr>
            </w:pPr>
            <w:r w:rsidRPr="00605608">
              <w:rPr>
                <w:rFonts w:cs="Arial"/>
                <w:b/>
                <w:sz w:val="16"/>
                <w:szCs w:val="16"/>
              </w:rPr>
              <w:t>£51,371</w:t>
            </w:r>
          </w:p>
        </w:tc>
      </w:tr>
    </w:tbl>
    <w:p w:rsidR="006070C4" w:rsidRPr="001F3E81" w:rsidRDefault="0008742A" w:rsidP="006070C4">
      <w:pPr>
        <w:pStyle w:val="ListParagraph"/>
        <w:numPr>
          <w:ilvl w:val="1"/>
          <w:numId w:val="9"/>
        </w:numPr>
        <w:spacing w:before="240" w:after="240" w:line="276" w:lineRule="auto"/>
        <w:jc w:val="both"/>
        <w:rPr>
          <w:rFonts w:ascii="Arial" w:hAnsi="Arial" w:cs="Arial"/>
        </w:rPr>
      </w:pPr>
      <w:r w:rsidRPr="008A1C18">
        <w:rPr>
          <w:rFonts w:ascii="Arial" w:hAnsi="Arial" w:cs="Arial"/>
        </w:rPr>
        <w:t>In addition, familiarisation costs are accrued by Producer Organisations (12 in total</w:t>
      </w:r>
      <w:r w:rsidR="00EF5DA6">
        <w:rPr>
          <w:rFonts w:ascii="Arial" w:hAnsi="Arial" w:cs="Arial"/>
        </w:rPr>
        <w:t xml:space="preserve"> with both FPOs and APOs</w:t>
      </w:r>
      <w:r w:rsidRPr="008A1C18">
        <w:rPr>
          <w:rFonts w:ascii="Arial" w:hAnsi="Arial" w:cs="Arial"/>
        </w:rPr>
        <w:t>), the fishing fleet (</w:t>
      </w:r>
      <w:r w:rsidR="004F1AEB" w:rsidRPr="008A1C18">
        <w:rPr>
          <w:rFonts w:ascii="Arial" w:hAnsi="Arial" w:cs="Arial"/>
        </w:rPr>
        <w:t xml:space="preserve">all </w:t>
      </w:r>
      <w:r w:rsidRPr="008A1C18">
        <w:rPr>
          <w:rFonts w:ascii="Arial" w:hAnsi="Arial" w:cs="Arial"/>
        </w:rPr>
        <w:t>3,592 vessels) and aquaculture businesses (292).  Based on wage rates and assumed familiarisation times i</w:t>
      </w:r>
      <w:r w:rsidR="00186106">
        <w:rPr>
          <w:rFonts w:ascii="Arial" w:hAnsi="Arial" w:cs="Arial"/>
        </w:rPr>
        <w:t>n Table 7</w:t>
      </w:r>
      <w:r w:rsidRPr="008A1C18">
        <w:rPr>
          <w:rFonts w:ascii="Arial" w:hAnsi="Arial" w:cs="Arial"/>
        </w:rPr>
        <w:t>, the following costs are obtained.</w:t>
      </w:r>
    </w:p>
    <w:p w:rsidR="0008742A" w:rsidRPr="004F1AEB" w:rsidRDefault="00E60307" w:rsidP="004F1AEB">
      <w:pPr>
        <w:spacing w:before="240"/>
        <w:jc w:val="center"/>
        <w:rPr>
          <w:rFonts w:cs="Arial"/>
          <w:sz w:val="16"/>
          <w:szCs w:val="16"/>
        </w:rPr>
      </w:pPr>
      <w:r>
        <w:rPr>
          <w:rFonts w:cs="Arial"/>
          <w:sz w:val="16"/>
          <w:szCs w:val="16"/>
        </w:rPr>
        <w:t>Table 11</w:t>
      </w:r>
      <w:r w:rsidR="0008742A" w:rsidRPr="004F1AEB">
        <w:rPr>
          <w:rFonts w:cs="Arial"/>
          <w:sz w:val="16"/>
          <w:szCs w:val="16"/>
        </w:rPr>
        <w:t>: Fishers and Aquaculture business costs from CMO familiarisation.</w:t>
      </w:r>
    </w:p>
    <w:tbl>
      <w:tblPr>
        <w:tblW w:w="5848" w:type="dxa"/>
        <w:jc w:val="center"/>
        <w:tblInd w:w="-193" w:type="dxa"/>
        <w:tblLayout w:type="fixed"/>
        <w:tblLook w:val="04A0" w:firstRow="1" w:lastRow="0" w:firstColumn="1" w:lastColumn="0" w:noHBand="0" w:noVBand="1"/>
      </w:tblPr>
      <w:tblGrid>
        <w:gridCol w:w="2126"/>
        <w:gridCol w:w="1696"/>
        <w:gridCol w:w="2026"/>
      </w:tblGrid>
      <w:tr w:rsidR="0008742A" w:rsidRPr="004F1AEB" w:rsidTr="006957C5">
        <w:trPr>
          <w:trHeight w:val="283"/>
          <w:jc w:val="center"/>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42A" w:rsidRPr="004F1AEB" w:rsidRDefault="0008742A" w:rsidP="004F1AEB">
            <w:pPr>
              <w:jc w:val="center"/>
              <w:rPr>
                <w:rFonts w:cs="Arial"/>
                <w:b/>
                <w:bCs/>
                <w:sz w:val="16"/>
                <w:szCs w:val="16"/>
              </w:rPr>
            </w:pPr>
            <w:r w:rsidRPr="004F1AEB">
              <w:rPr>
                <w:rFonts w:cs="Arial"/>
                <w:b/>
                <w:bCs/>
                <w:sz w:val="16"/>
                <w:szCs w:val="16"/>
              </w:rPr>
              <w:t>Type</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08742A" w:rsidRPr="004F1AEB" w:rsidRDefault="0008742A" w:rsidP="004F1AEB">
            <w:pPr>
              <w:jc w:val="center"/>
              <w:rPr>
                <w:rFonts w:cs="Arial"/>
                <w:b/>
                <w:bCs/>
                <w:sz w:val="16"/>
                <w:szCs w:val="16"/>
              </w:rPr>
            </w:pPr>
            <w:r w:rsidRPr="004F1AEB">
              <w:rPr>
                <w:rFonts w:cs="Arial"/>
                <w:b/>
                <w:bCs/>
                <w:sz w:val="16"/>
                <w:szCs w:val="16"/>
              </w:rPr>
              <w:t>Total</w:t>
            </w:r>
          </w:p>
        </w:tc>
        <w:tc>
          <w:tcPr>
            <w:tcW w:w="2026" w:type="dxa"/>
            <w:tcBorders>
              <w:top w:val="single" w:sz="4" w:space="0" w:color="auto"/>
              <w:left w:val="nil"/>
              <w:bottom w:val="single" w:sz="4" w:space="0" w:color="auto"/>
              <w:right w:val="single" w:sz="4" w:space="0" w:color="auto"/>
            </w:tcBorders>
            <w:shd w:val="clear" w:color="auto" w:fill="auto"/>
            <w:vAlign w:val="center"/>
            <w:hideMark/>
          </w:tcPr>
          <w:p w:rsidR="0008742A" w:rsidRPr="004F1AEB" w:rsidRDefault="0008742A" w:rsidP="004F1AEB">
            <w:pPr>
              <w:jc w:val="center"/>
              <w:rPr>
                <w:rFonts w:cs="Arial"/>
                <w:b/>
                <w:bCs/>
                <w:sz w:val="16"/>
                <w:szCs w:val="16"/>
              </w:rPr>
            </w:pPr>
            <w:r w:rsidRPr="004F1AEB">
              <w:rPr>
                <w:rFonts w:cs="Arial"/>
                <w:b/>
                <w:bCs/>
                <w:sz w:val="16"/>
                <w:szCs w:val="16"/>
              </w:rPr>
              <w:t>Annual Equivalent (10 years)</w:t>
            </w:r>
          </w:p>
        </w:tc>
      </w:tr>
      <w:tr w:rsidR="0008742A" w:rsidRPr="004F1AEB" w:rsidTr="006957C5">
        <w:trPr>
          <w:trHeight w:val="283"/>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8742A" w:rsidRPr="004F1AEB" w:rsidRDefault="0008742A" w:rsidP="004F1AEB">
            <w:pPr>
              <w:jc w:val="center"/>
              <w:rPr>
                <w:rFonts w:cs="Arial"/>
                <w:bCs/>
                <w:sz w:val="16"/>
                <w:szCs w:val="16"/>
              </w:rPr>
            </w:pPr>
            <w:r w:rsidRPr="004F1AEB">
              <w:rPr>
                <w:rFonts w:cs="Arial"/>
                <w:bCs/>
                <w:sz w:val="16"/>
                <w:szCs w:val="16"/>
              </w:rPr>
              <w:t>Fishers</w:t>
            </w:r>
          </w:p>
        </w:tc>
        <w:tc>
          <w:tcPr>
            <w:tcW w:w="1696" w:type="dxa"/>
            <w:tcBorders>
              <w:top w:val="nil"/>
              <w:left w:val="nil"/>
              <w:bottom w:val="single" w:sz="4" w:space="0" w:color="auto"/>
              <w:right w:val="single" w:sz="4" w:space="0" w:color="auto"/>
            </w:tcBorders>
            <w:shd w:val="clear" w:color="auto" w:fill="auto"/>
            <w:noWrap/>
            <w:vAlign w:val="center"/>
            <w:hideMark/>
          </w:tcPr>
          <w:p w:rsidR="0008742A" w:rsidRPr="004F1AEB" w:rsidRDefault="0008742A" w:rsidP="004F1AEB">
            <w:pPr>
              <w:jc w:val="center"/>
              <w:rPr>
                <w:rFonts w:cs="Arial"/>
                <w:sz w:val="16"/>
                <w:szCs w:val="16"/>
              </w:rPr>
            </w:pPr>
            <w:r w:rsidRPr="004F1AEB">
              <w:rPr>
                <w:rFonts w:cs="Arial"/>
                <w:sz w:val="16"/>
                <w:szCs w:val="16"/>
              </w:rPr>
              <w:t>£36,726</w:t>
            </w:r>
          </w:p>
        </w:tc>
        <w:tc>
          <w:tcPr>
            <w:tcW w:w="2026" w:type="dxa"/>
            <w:tcBorders>
              <w:top w:val="nil"/>
              <w:left w:val="nil"/>
              <w:bottom w:val="single" w:sz="4" w:space="0" w:color="auto"/>
              <w:right w:val="single" w:sz="4" w:space="0" w:color="auto"/>
            </w:tcBorders>
            <w:shd w:val="clear" w:color="auto" w:fill="auto"/>
            <w:noWrap/>
            <w:vAlign w:val="center"/>
            <w:hideMark/>
          </w:tcPr>
          <w:p w:rsidR="0008742A" w:rsidRPr="004F1AEB" w:rsidRDefault="0008742A" w:rsidP="004F1AEB">
            <w:pPr>
              <w:jc w:val="center"/>
              <w:rPr>
                <w:rFonts w:cs="Arial"/>
                <w:sz w:val="16"/>
                <w:szCs w:val="16"/>
              </w:rPr>
            </w:pPr>
            <w:r w:rsidRPr="004F1AEB">
              <w:rPr>
                <w:rFonts w:cs="Arial"/>
                <w:sz w:val="16"/>
                <w:szCs w:val="16"/>
              </w:rPr>
              <w:t>£3,673</w:t>
            </w:r>
          </w:p>
        </w:tc>
      </w:tr>
      <w:tr w:rsidR="0008742A" w:rsidRPr="004F1AEB" w:rsidTr="006957C5">
        <w:trPr>
          <w:trHeight w:val="283"/>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8742A" w:rsidRPr="004F1AEB" w:rsidRDefault="0008742A" w:rsidP="004F1AEB">
            <w:pPr>
              <w:jc w:val="center"/>
              <w:rPr>
                <w:rFonts w:cs="Arial"/>
                <w:bCs/>
                <w:sz w:val="16"/>
                <w:szCs w:val="16"/>
              </w:rPr>
            </w:pPr>
            <w:r w:rsidRPr="004F1AEB">
              <w:rPr>
                <w:rFonts w:cs="Arial"/>
                <w:bCs/>
                <w:sz w:val="16"/>
                <w:szCs w:val="16"/>
              </w:rPr>
              <w:t>Aquaculture</w:t>
            </w:r>
          </w:p>
        </w:tc>
        <w:tc>
          <w:tcPr>
            <w:tcW w:w="1696" w:type="dxa"/>
            <w:tcBorders>
              <w:top w:val="nil"/>
              <w:left w:val="nil"/>
              <w:bottom w:val="single" w:sz="4" w:space="0" w:color="auto"/>
              <w:right w:val="single" w:sz="4" w:space="0" w:color="auto"/>
            </w:tcBorders>
            <w:shd w:val="clear" w:color="auto" w:fill="auto"/>
            <w:noWrap/>
            <w:vAlign w:val="center"/>
            <w:hideMark/>
          </w:tcPr>
          <w:p w:rsidR="0008742A" w:rsidRPr="004F1AEB" w:rsidRDefault="0008742A" w:rsidP="004F1AEB">
            <w:pPr>
              <w:jc w:val="center"/>
              <w:rPr>
                <w:rFonts w:cs="Arial"/>
                <w:sz w:val="16"/>
                <w:szCs w:val="16"/>
              </w:rPr>
            </w:pPr>
            <w:r w:rsidRPr="004F1AEB">
              <w:rPr>
                <w:rFonts w:cs="Arial"/>
                <w:sz w:val="16"/>
                <w:szCs w:val="16"/>
              </w:rPr>
              <w:t>£5,971</w:t>
            </w:r>
          </w:p>
        </w:tc>
        <w:tc>
          <w:tcPr>
            <w:tcW w:w="2026" w:type="dxa"/>
            <w:tcBorders>
              <w:top w:val="nil"/>
              <w:left w:val="nil"/>
              <w:bottom w:val="single" w:sz="4" w:space="0" w:color="auto"/>
              <w:right w:val="single" w:sz="4" w:space="0" w:color="auto"/>
            </w:tcBorders>
            <w:shd w:val="clear" w:color="auto" w:fill="auto"/>
            <w:noWrap/>
            <w:vAlign w:val="center"/>
            <w:hideMark/>
          </w:tcPr>
          <w:p w:rsidR="0008742A" w:rsidRPr="004F1AEB" w:rsidRDefault="0008742A" w:rsidP="004F1AEB">
            <w:pPr>
              <w:jc w:val="center"/>
              <w:rPr>
                <w:rFonts w:cs="Arial"/>
                <w:sz w:val="16"/>
                <w:szCs w:val="16"/>
              </w:rPr>
            </w:pPr>
            <w:r w:rsidRPr="004F1AEB">
              <w:rPr>
                <w:rFonts w:cs="Arial"/>
                <w:sz w:val="16"/>
                <w:szCs w:val="16"/>
              </w:rPr>
              <w:t>£597</w:t>
            </w:r>
          </w:p>
        </w:tc>
      </w:tr>
      <w:tr w:rsidR="0008742A" w:rsidRPr="004F1AEB" w:rsidTr="006957C5">
        <w:trPr>
          <w:trHeight w:val="283"/>
          <w:jc w:val="center"/>
        </w:trPr>
        <w:tc>
          <w:tcPr>
            <w:tcW w:w="2126" w:type="dxa"/>
            <w:tcBorders>
              <w:top w:val="nil"/>
              <w:left w:val="single" w:sz="4" w:space="0" w:color="auto"/>
              <w:bottom w:val="single" w:sz="4" w:space="0" w:color="auto"/>
              <w:right w:val="single" w:sz="4" w:space="0" w:color="auto"/>
            </w:tcBorders>
            <w:shd w:val="clear" w:color="auto" w:fill="auto"/>
            <w:noWrap/>
            <w:vAlign w:val="center"/>
          </w:tcPr>
          <w:p w:rsidR="0008742A" w:rsidRPr="004F1AEB" w:rsidRDefault="0008742A" w:rsidP="004F1AEB">
            <w:pPr>
              <w:jc w:val="center"/>
              <w:rPr>
                <w:rFonts w:cs="Arial"/>
                <w:bCs/>
                <w:sz w:val="16"/>
                <w:szCs w:val="16"/>
              </w:rPr>
            </w:pPr>
            <w:r w:rsidRPr="004F1AEB">
              <w:rPr>
                <w:rFonts w:cs="Arial"/>
                <w:bCs/>
                <w:sz w:val="16"/>
                <w:szCs w:val="16"/>
              </w:rPr>
              <w:t>Producer Organisations</w:t>
            </w:r>
          </w:p>
        </w:tc>
        <w:tc>
          <w:tcPr>
            <w:tcW w:w="1696" w:type="dxa"/>
            <w:tcBorders>
              <w:top w:val="nil"/>
              <w:left w:val="nil"/>
              <w:bottom w:val="single" w:sz="4" w:space="0" w:color="auto"/>
              <w:right w:val="single" w:sz="4" w:space="0" w:color="auto"/>
            </w:tcBorders>
            <w:shd w:val="clear" w:color="auto" w:fill="auto"/>
            <w:noWrap/>
            <w:vAlign w:val="center"/>
          </w:tcPr>
          <w:p w:rsidR="0008742A" w:rsidRPr="004F1AEB" w:rsidRDefault="0008742A" w:rsidP="004F1AEB">
            <w:pPr>
              <w:jc w:val="center"/>
              <w:rPr>
                <w:rFonts w:cs="Arial"/>
                <w:sz w:val="16"/>
                <w:szCs w:val="16"/>
              </w:rPr>
            </w:pPr>
            <w:r w:rsidRPr="004F1AEB">
              <w:rPr>
                <w:rFonts w:cs="Arial"/>
                <w:sz w:val="16"/>
                <w:szCs w:val="16"/>
              </w:rPr>
              <w:t>£328</w:t>
            </w:r>
          </w:p>
        </w:tc>
        <w:tc>
          <w:tcPr>
            <w:tcW w:w="2026" w:type="dxa"/>
            <w:tcBorders>
              <w:top w:val="nil"/>
              <w:left w:val="nil"/>
              <w:bottom w:val="single" w:sz="4" w:space="0" w:color="auto"/>
              <w:right w:val="single" w:sz="4" w:space="0" w:color="auto"/>
            </w:tcBorders>
            <w:shd w:val="clear" w:color="auto" w:fill="auto"/>
            <w:noWrap/>
            <w:vAlign w:val="center"/>
          </w:tcPr>
          <w:p w:rsidR="0008742A" w:rsidRPr="004F1AEB" w:rsidRDefault="0008742A" w:rsidP="004F1AEB">
            <w:pPr>
              <w:jc w:val="center"/>
              <w:rPr>
                <w:rFonts w:cs="Arial"/>
                <w:sz w:val="16"/>
                <w:szCs w:val="16"/>
              </w:rPr>
            </w:pPr>
            <w:r w:rsidRPr="004F1AEB">
              <w:rPr>
                <w:rFonts w:cs="Arial"/>
                <w:sz w:val="16"/>
                <w:szCs w:val="16"/>
              </w:rPr>
              <w:t>£33</w:t>
            </w:r>
          </w:p>
        </w:tc>
      </w:tr>
      <w:tr w:rsidR="0008742A" w:rsidRPr="004F1AEB" w:rsidTr="006957C5">
        <w:trPr>
          <w:trHeight w:val="283"/>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8742A" w:rsidRPr="004F1AEB" w:rsidRDefault="0008742A" w:rsidP="004F1AEB">
            <w:pPr>
              <w:jc w:val="center"/>
              <w:rPr>
                <w:rFonts w:cs="Arial"/>
                <w:b/>
                <w:bCs/>
                <w:sz w:val="16"/>
                <w:szCs w:val="16"/>
              </w:rPr>
            </w:pPr>
            <w:r w:rsidRPr="004F1AEB">
              <w:rPr>
                <w:rFonts w:cs="Arial"/>
                <w:b/>
                <w:bCs/>
                <w:sz w:val="16"/>
                <w:szCs w:val="16"/>
              </w:rPr>
              <w:t>Total</w:t>
            </w:r>
          </w:p>
        </w:tc>
        <w:tc>
          <w:tcPr>
            <w:tcW w:w="1696" w:type="dxa"/>
            <w:tcBorders>
              <w:top w:val="nil"/>
              <w:left w:val="nil"/>
              <w:bottom w:val="single" w:sz="4" w:space="0" w:color="auto"/>
              <w:right w:val="single" w:sz="4" w:space="0" w:color="auto"/>
            </w:tcBorders>
            <w:shd w:val="clear" w:color="auto" w:fill="auto"/>
            <w:noWrap/>
            <w:vAlign w:val="center"/>
            <w:hideMark/>
          </w:tcPr>
          <w:p w:rsidR="0008742A" w:rsidRPr="004F1AEB" w:rsidRDefault="0008742A" w:rsidP="004F1AEB">
            <w:pPr>
              <w:jc w:val="center"/>
              <w:rPr>
                <w:rFonts w:cs="Arial"/>
                <w:b/>
                <w:sz w:val="16"/>
                <w:szCs w:val="16"/>
              </w:rPr>
            </w:pPr>
            <w:r w:rsidRPr="004F1AEB">
              <w:rPr>
                <w:rFonts w:cs="Arial"/>
                <w:b/>
                <w:sz w:val="16"/>
                <w:szCs w:val="16"/>
              </w:rPr>
              <w:t>£43,025</w:t>
            </w:r>
          </w:p>
        </w:tc>
        <w:tc>
          <w:tcPr>
            <w:tcW w:w="2026" w:type="dxa"/>
            <w:tcBorders>
              <w:top w:val="nil"/>
              <w:left w:val="nil"/>
              <w:bottom w:val="single" w:sz="4" w:space="0" w:color="auto"/>
              <w:right w:val="single" w:sz="4" w:space="0" w:color="auto"/>
            </w:tcBorders>
            <w:shd w:val="clear" w:color="auto" w:fill="auto"/>
            <w:noWrap/>
            <w:vAlign w:val="center"/>
            <w:hideMark/>
          </w:tcPr>
          <w:p w:rsidR="0008742A" w:rsidRPr="004F1AEB" w:rsidRDefault="0008742A" w:rsidP="004F1AEB">
            <w:pPr>
              <w:jc w:val="center"/>
              <w:rPr>
                <w:rFonts w:cs="Arial"/>
                <w:b/>
                <w:sz w:val="16"/>
                <w:szCs w:val="16"/>
              </w:rPr>
            </w:pPr>
            <w:r w:rsidRPr="004F1AEB">
              <w:rPr>
                <w:rFonts w:cs="Arial"/>
                <w:b/>
                <w:sz w:val="16"/>
                <w:szCs w:val="16"/>
              </w:rPr>
              <w:t>£4,303</w:t>
            </w:r>
          </w:p>
        </w:tc>
      </w:tr>
    </w:tbl>
    <w:p w:rsidR="00EF5DA6" w:rsidRPr="005A0A54" w:rsidRDefault="00EF5DA6" w:rsidP="00EF5DA6">
      <w:pPr>
        <w:spacing w:before="240" w:after="240"/>
        <w:jc w:val="both"/>
        <w:rPr>
          <w:rFonts w:cs="Arial"/>
          <w:sz w:val="22"/>
          <w:u w:val="single"/>
        </w:rPr>
      </w:pPr>
      <w:r w:rsidRPr="005A0A54">
        <w:rPr>
          <w:rFonts w:cs="Arial"/>
          <w:sz w:val="22"/>
          <w:u w:val="single"/>
        </w:rPr>
        <w:t>Government Costs</w:t>
      </w:r>
    </w:p>
    <w:p w:rsidR="00EF5DA6" w:rsidRPr="00EF5DA6" w:rsidRDefault="00EF5DA6" w:rsidP="003A5312">
      <w:pPr>
        <w:pStyle w:val="ListParagraph"/>
        <w:numPr>
          <w:ilvl w:val="1"/>
          <w:numId w:val="9"/>
        </w:numPr>
        <w:spacing w:before="240" w:after="240"/>
        <w:jc w:val="both"/>
        <w:rPr>
          <w:rFonts w:ascii="Arial" w:hAnsi="Arial" w:cs="Arial"/>
        </w:rPr>
      </w:pPr>
      <w:r w:rsidRPr="00EF5DA6">
        <w:rPr>
          <w:rFonts w:ascii="Arial" w:hAnsi="Arial" w:cs="Arial"/>
        </w:rPr>
        <w:t>Four hours of familiarisation time for 7 officers in 2014 are assumed (i.e. 28 hours) based on advice from MMO and WG. This is the time required for them to become familiar with the amendments that come into force 13</w:t>
      </w:r>
      <w:r w:rsidRPr="00EF5DA6">
        <w:rPr>
          <w:rFonts w:ascii="Arial" w:hAnsi="Arial" w:cs="Arial"/>
          <w:vertAlign w:val="superscript"/>
        </w:rPr>
        <w:t>th</w:t>
      </w:r>
      <w:r w:rsidRPr="00EF5DA6">
        <w:rPr>
          <w:rFonts w:ascii="Arial" w:hAnsi="Arial" w:cs="Arial"/>
        </w:rPr>
        <w:t xml:space="preserve"> December 2014. In addition, the equivalent of 100 extra hours in 2014 is estimated to be required for advice, education and focus groups with stakeholders to help them with compliance prior to 13</w:t>
      </w:r>
      <w:r w:rsidRPr="00EF5DA6">
        <w:rPr>
          <w:rFonts w:ascii="Arial" w:hAnsi="Arial" w:cs="Arial"/>
          <w:vertAlign w:val="superscript"/>
        </w:rPr>
        <w:t>th</w:t>
      </w:r>
      <w:r w:rsidRPr="00EF5DA6">
        <w:rPr>
          <w:rFonts w:ascii="Arial" w:hAnsi="Arial" w:cs="Arial"/>
        </w:rPr>
        <w:t xml:space="preserve"> December 2014. This equates to £3,496 in 2014. </w:t>
      </w:r>
      <w:r w:rsidR="006070C4">
        <w:rPr>
          <w:rFonts w:ascii="Arial" w:hAnsi="Arial" w:cs="Arial"/>
        </w:rPr>
        <w:t>There are no anticipated ongoing costs above baseline costs to the MMO or WG.</w:t>
      </w:r>
    </w:p>
    <w:p w:rsidR="00EF5DA6" w:rsidRPr="00E12F91" w:rsidRDefault="00EF5DA6" w:rsidP="003A5312">
      <w:pPr>
        <w:pStyle w:val="ListParagraph"/>
        <w:numPr>
          <w:ilvl w:val="1"/>
          <w:numId w:val="9"/>
        </w:numPr>
        <w:spacing w:before="240" w:after="240"/>
        <w:jc w:val="both"/>
        <w:rPr>
          <w:rFonts w:ascii="Arial" w:hAnsi="Arial" w:cs="Arial"/>
          <w:sz w:val="20"/>
        </w:rPr>
      </w:pPr>
      <w:r>
        <w:rPr>
          <w:rFonts w:ascii="Arial" w:hAnsi="Arial" w:cs="Arial"/>
        </w:rPr>
        <w:t>T</w:t>
      </w:r>
      <w:r w:rsidRPr="00E12F91">
        <w:rPr>
          <w:rFonts w:ascii="Arial" w:hAnsi="Arial" w:cs="Arial"/>
        </w:rPr>
        <w:t xml:space="preserve">he FSA, who work with the enforcement officers in the local Trading Standards agencies, </w:t>
      </w:r>
      <w:r>
        <w:rPr>
          <w:rFonts w:ascii="Arial" w:hAnsi="Arial" w:cs="Arial"/>
        </w:rPr>
        <w:t>have indicated that the</w:t>
      </w:r>
      <w:r w:rsidRPr="00E12F91">
        <w:rPr>
          <w:rFonts w:ascii="Arial" w:hAnsi="Arial" w:cs="Arial"/>
        </w:rPr>
        <w:t xml:space="preserve"> additional mandatory labelling and marketing standards requirements can be enforced under the existing system at no extra costs. This is because the labelling and MS changes are minor and broadly a</w:t>
      </w:r>
      <w:r>
        <w:rPr>
          <w:rFonts w:ascii="Arial" w:hAnsi="Arial" w:cs="Arial"/>
        </w:rPr>
        <w:t xml:space="preserve">lign with existing legislation. </w:t>
      </w:r>
      <w:r w:rsidRPr="00E12F91">
        <w:rPr>
          <w:rFonts w:ascii="Arial" w:hAnsi="Arial" w:cs="Arial"/>
        </w:rPr>
        <w:t>Therefore, the only costs to Trading Standards are familiarisation costs, which are assumed to be 2 hours and of TS officer’s time. It is assumed that local authorities in E &amp; W have 1 responsible officer and there are 455 LAs.</w:t>
      </w:r>
      <w:r w:rsidRPr="00E12F91">
        <w:rPr>
          <w:rFonts w:ascii="Arial" w:hAnsi="Arial" w:cs="Arial"/>
          <w:sz w:val="20"/>
        </w:rPr>
        <w:t xml:space="preserve"> </w:t>
      </w:r>
    </w:p>
    <w:p w:rsidR="00EF5DA6" w:rsidRPr="004A0768" w:rsidRDefault="00E60307" w:rsidP="00EF5DA6">
      <w:pPr>
        <w:pStyle w:val="ListParagraph"/>
        <w:ind w:left="435"/>
        <w:jc w:val="center"/>
        <w:rPr>
          <w:rFonts w:ascii="Arial" w:hAnsi="Arial" w:cs="Arial"/>
          <w:sz w:val="16"/>
          <w:szCs w:val="16"/>
          <w:u w:val="single"/>
        </w:rPr>
      </w:pPr>
      <w:r>
        <w:rPr>
          <w:rFonts w:ascii="Arial" w:hAnsi="Arial" w:cs="Arial"/>
          <w:sz w:val="16"/>
          <w:szCs w:val="16"/>
        </w:rPr>
        <w:t>Table 12</w:t>
      </w:r>
      <w:r w:rsidR="00EF5DA6" w:rsidRPr="004A0768">
        <w:rPr>
          <w:rFonts w:ascii="Arial" w:hAnsi="Arial" w:cs="Arial"/>
          <w:sz w:val="16"/>
          <w:szCs w:val="16"/>
        </w:rPr>
        <w:t>: Familiarisation costs to Trading Standards Officers in England and Wales</w:t>
      </w:r>
    </w:p>
    <w:tbl>
      <w:tblPr>
        <w:tblW w:w="5675" w:type="dxa"/>
        <w:jc w:val="center"/>
        <w:tblInd w:w="93" w:type="dxa"/>
        <w:tblLook w:val="04A0" w:firstRow="1" w:lastRow="0" w:firstColumn="1" w:lastColumn="0" w:noHBand="0" w:noVBand="1"/>
      </w:tblPr>
      <w:tblGrid>
        <w:gridCol w:w="1005"/>
        <w:gridCol w:w="2305"/>
        <w:gridCol w:w="2365"/>
      </w:tblGrid>
      <w:tr w:rsidR="00EF5DA6" w:rsidRPr="00E12F91" w:rsidTr="005109CC">
        <w:trPr>
          <w:trHeight w:val="283"/>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DA6" w:rsidRPr="00E12F91" w:rsidRDefault="00EF5DA6" w:rsidP="005109CC">
            <w:pPr>
              <w:jc w:val="center"/>
              <w:rPr>
                <w:rFonts w:cs="Arial"/>
                <w:b/>
                <w:bCs/>
                <w:sz w:val="16"/>
                <w:szCs w:val="16"/>
              </w:rPr>
            </w:pPr>
            <w:r w:rsidRPr="00E12F91">
              <w:rPr>
                <w:rFonts w:cs="Arial"/>
                <w:b/>
                <w:bCs/>
                <w:sz w:val="16"/>
                <w:szCs w:val="16"/>
              </w:rPr>
              <w:t>Region</w:t>
            </w:r>
          </w:p>
        </w:tc>
        <w:tc>
          <w:tcPr>
            <w:tcW w:w="2305" w:type="dxa"/>
            <w:tcBorders>
              <w:top w:val="single" w:sz="4" w:space="0" w:color="auto"/>
              <w:left w:val="nil"/>
              <w:bottom w:val="single" w:sz="4" w:space="0" w:color="auto"/>
              <w:right w:val="single" w:sz="4" w:space="0" w:color="auto"/>
            </w:tcBorders>
            <w:shd w:val="clear" w:color="auto" w:fill="auto"/>
            <w:noWrap/>
            <w:vAlign w:val="center"/>
            <w:hideMark/>
          </w:tcPr>
          <w:p w:rsidR="00EF5DA6" w:rsidRPr="00E12F91" w:rsidRDefault="00EF5DA6" w:rsidP="005109CC">
            <w:pPr>
              <w:jc w:val="center"/>
              <w:rPr>
                <w:rFonts w:cs="Arial"/>
                <w:b/>
                <w:bCs/>
                <w:sz w:val="16"/>
                <w:szCs w:val="16"/>
              </w:rPr>
            </w:pPr>
            <w:r w:rsidRPr="00E12F91">
              <w:rPr>
                <w:rFonts w:cs="Arial"/>
                <w:b/>
                <w:bCs/>
                <w:sz w:val="16"/>
                <w:szCs w:val="16"/>
              </w:rPr>
              <w:t>Total Familiarisation Costs</w:t>
            </w:r>
          </w:p>
        </w:tc>
        <w:tc>
          <w:tcPr>
            <w:tcW w:w="2365" w:type="dxa"/>
            <w:tcBorders>
              <w:top w:val="single" w:sz="4" w:space="0" w:color="auto"/>
              <w:left w:val="nil"/>
              <w:bottom w:val="single" w:sz="4" w:space="0" w:color="auto"/>
              <w:right w:val="single" w:sz="4" w:space="0" w:color="auto"/>
            </w:tcBorders>
            <w:shd w:val="clear" w:color="auto" w:fill="auto"/>
            <w:noWrap/>
            <w:vAlign w:val="center"/>
            <w:hideMark/>
          </w:tcPr>
          <w:p w:rsidR="00EF5DA6" w:rsidRPr="00E12F91" w:rsidRDefault="00EF5DA6" w:rsidP="005109CC">
            <w:pPr>
              <w:jc w:val="center"/>
              <w:rPr>
                <w:rFonts w:cs="Arial"/>
                <w:b/>
                <w:bCs/>
                <w:sz w:val="16"/>
                <w:szCs w:val="16"/>
              </w:rPr>
            </w:pPr>
            <w:r w:rsidRPr="00E12F91">
              <w:rPr>
                <w:rFonts w:cs="Arial"/>
                <w:b/>
                <w:bCs/>
                <w:sz w:val="16"/>
                <w:szCs w:val="16"/>
              </w:rPr>
              <w:t>Annual Equivalent</w:t>
            </w:r>
          </w:p>
          <w:p w:rsidR="00EF5DA6" w:rsidRPr="00E12F91" w:rsidRDefault="00EF5DA6" w:rsidP="005109CC">
            <w:pPr>
              <w:jc w:val="center"/>
              <w:rPr>
                <w:rFonts w:cs="Arial"/>
                <w:b/>
                <w:bCs/>
                <w:sz w:val="16"/>
                <w:szCs w:val="16"/>
              </w:rPr>
            </w:pPr>
            <w:r w:rsidRPr="00E12F91">
              <w:rPr>
                <w:rFonts w:cs="Arial"/>
                <w:b/>
                <w:bCs/>
                <w:sz w:val="16"/>
                <w:szCs w:val="16"/>
              </w:rPr>
              <w:t>(10 years)</w:t>
            </w:r>
          </w:p>
        </w:tc>
      </w:tr>
      <w:tr w:rsidR="00EF5DA6" w:rsidRPr="00E12F91" w:rsidTr="005109CC">
        <w:trPr>
          <w:trHeight w:val="283"/>
          <w:jc w:val="center"/>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EF5DA6" w:rsidRPr="00E12F91" w:rsidRDefault="00EF5DA6" w:rsidP="005109CC">
            <w:pPr>
              <w:jc w:val="center"/>
              <w:rPr>
                <w:rFonts w:cs="Arial"/>
                <w:b/>
                <w:bCs/>
                <w:sz w:val="16"/>
                <w:szCs w:val="16"/>
              </w:rPr>
            </w:pPr>
            <w:r w:rsidRPr="00E12F91">
              <w:rPr>
                <w:rFonts w:cs="Arial"/>
                <w:b/>
                <w:bCs/>
                <w:sz w:val="16"/>
                <w:szCs w:val="16"/>
              </w:rPr>
              <w:t>England</w:t>
            </w:r>
          </w:p>
        </w:tc>
        <w:tc>
          <w:tcPr>
            <w:tcW w:w="2305" w:type="dxa"/>
            <w:tcBorders>
              <w:top w:val="nil"/>
              <w:left w:val="nil"/>
              <w:bottom w:val="single" w:sz="4" w:space="0" w:color="auto"/>
              <w:right w:val="single" w:sz="4" w:space="0" w:color="auto"/>
            </w:tcBorders>
            <w:shd w:val="clear" w:color="auto" w:fill="auto"/>
            <w:noWrap/>
            <w:vAlign w:val="center"/>
            <w:hideMark/>
          </w:tcPr>
          <w:p w:rsidR="00EF5DA6" w:rsidRPr="00E12F91" w:rsidRDefault="00EF5DA6" w:rsidP="005109CC">
            <w:pPr>
              <w:jc w:val="center"/>
              <w:rPr>
                <w:rFonts w:cs="Arial"/>
                <w:sz w:val="16"/>
                <w:szCs w:val="16"/>
              </w:rPr>
            </w:pPr>
            <w:r w:rsidRPr="00E12F91">
              <w:rPr>
                <w:rFonts w:cs="Arial"/>
                <w:sz w:val="16"/>
                <w:szCs w:val="16"/>
              </w:rPr>
              <w:t>£23,653</w:t>
            </w:r>
          </w:p>
        </w:tc>
        <w:tc>
          <w:tcPr>
            <w:tcW w:w="2365" w:type="dxa"/>
            <w:tcBorders>
              <w:top w:val="nil"/>
              <w:left w:val="nil"/>
              <w:bottom w:val="single" w:sz="4" w:space="0" w:color="auto"/>
              <w:right w:val="single" w:sz="4" w:space="0" w:color="auto"/>
            </w:tcBorders>
            <w:shd w:val="clear" w:color="auto" w:fill="auto"/>
            <w:noWrap/>
            <w:vAlign w:val="center"/>
            <w:hideMark/>
          </w:tcPr>
          <w:p w:rsidR="00EF5DA6" w:rsidRPr="00E12F91" w:rsidRDefault="00EF5DA6" w:rsidP="005109CC">
            <w:pPr>
              <w:jc w:val="center"/>
              <w:rPr>
                <w:rFonts w:cs="Arial"/>
                <w:sz w:val="16"/>
                <w:szCs w:val="16"/>
              </w:rPr>
            </w:pPr>
            <w:r w:rsidRPr="00E12F91">
              <w:rPr>
                <w:rFonts w:cs="Arial"/>
                <w:sz w:val="16"/>
                <w:szCs w:val="16"/>
              </w:rPr>
              <w:t>£2,365</w:t>
            </w:r>
          </w:p>
        </w:tc>
      </w:tr>
      <w:tr w:rsidR="00EF5DA6" w:rsidRPr="00E12F91" w:rsidTr="005109CC">
        <w:trPr>
          <w:trHeight w:val="283"/>
          <w:jc w:val="center"/>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EF5DA6" w:rsidRPr="00E12F91" w:rsidRDefault="00EF5DA6" w:rsidP="005109CC">
            <w:pPr>
              <w:jc w:val="center"/>
              <w:rPr>
                <w:rFonts w:cs="Arial"/>
                <w:b/>
                <w:bCs/>
                <w:sz w:val="16"/>
                <w:szCs w:val="16"/>
              </w:rPr>
            </w:pPr>
            <w:r w:rsidRPr="00E12F91">
              <w:rPr>
                <w:rFonts w:cs="Arial"/>
                <w:b/>
                <w:bCs/>
                <w:sz w:val="16"/>
                <w:szCs w:val="16"/>
              </w:rPr>
              <w:t>Wales</w:t>
            </w:r>
          </w:p>
        </w:tc>
        <w:tc>
          <w:tcPr>
            <w:tcW w:w="2305" w:type="dxa"/>
            <w:tcBorders>
              <w:top w:val="nil"/>
              <w:left w:val="nil"/>
              <w:bottom w:val="single" w:sz="4" w:space="0" w:color="auto"/>
              <w:right w:val="single" w:sz="4" w:space="0" w:color="auto"/>
            </w:tcBorders>
            <w:shd w:val="clear" w:color="auto" w:fill="auto"/>
            <w:noWrap/>
            <w:vAlign w:val="center"/>
            <w:hideMark/>
          </w:tcPr>
          <w:p w:rsidR="00EF5DA6" w:rsidRPr="00E12F91" w:rsidRDefault="00EF5DA6" w:rsidP="005109CC">
            <w:pPr>
              <w:jc w:val="center"/>
              <w:rPr>
                <w:rFonts w:cs="Arial"/>
                <w:sz w:val="16"/>
                <w:szCs w:val="16"/>
              </w:rPr>
            </w:pPr>
            <w:r w:rsidRPr="00E12F91">
              <w:rPr>
                <w:rFonts w:cs="Arial"/>
                <w:sz w:val="16"/>
                <w:szCs w:val="16"/>
              </w:rPr>
              <w:t>£1,202</w:t>
            </w:r>
          </w:p>
        </w:tc>
        <w:tc>
          <w:tcPr>
            <w:tcW w:w="2365" w:type="dxa"/>
            <w:tcBorders>
              <w:top w:val="nil"/>
              <w:left w:val="nil"/>
              <w:bottom w:val="single" w:sz="4" w:space="0" w:color="auto"/>
              <w:right w:val="single" w:sz="4" w:space="0" w:color="auto"/>
            </w:tcBorders>
            <w:shd w:val="clear" w:color="auto" w:fill="auto"/>
            <w:noWrap/>
            <w:vAlign w:val="center"/>
            <w:hideMark/>
          </w:tcPr>
          <w:p w:rsidR="00EF5DA6" w:rsidRPr="00E12F91" w:rsidRDefault="00EF5DA6" w:rsidP="005109CC">
            <w:pPr>
              <w:jc w:val="center"/>
              <w:rPr>
                <w:rFonts w:cs="Arial"/>
                <w:sz w:val="16"/>
                <w:szCs w:val="16"/>
              </w:rPr>
            </w:pPr>
            <w:r w:rsidRPr="00E12F91">
              <w:rPr>
                <w:rFonts w:cs="Arial"/>
                <w:sz w:val="16"/>
                <w:szCs w:val="16"/>
              </w:rPr>
              <w:t>£120</w:t>
            </w:r>
          </w:p>
        </w:tc>
      </w:tr>
      <w:tr w:rsidR="00EF5DA6" w:rsidRPr="00E12F91" w:rsidTr="005109CC">
        <w:trPr>
          <w:trHeight w:val="283"/>
          <w:jc w:val="center"/>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EF5DA6" w:rsidRPr="00E12F91" w:rsidRDefault="00EF5DA6" w:rsidP="005109CC">
            <w:pPr>
              <w:jc w:val="center"/>
              <w:rPr>
                <w:rFonts w:cs="Arial"/>
                <w:b/>
                <w:bCs/>
                <w:sz w:val="16"/>
                <w:szCs w:val="16"/>
              </w:rPr>
            </w:pPr>
            <w:r w:rsidRPr="00E12F91">
              <w:rPr>
                <w:rFonts w:cs="Arial"/>
                <w:b/>
                <w:bCs/>
                <w:sz w:val="16"/>
                <w:szCs w:val="16"/>
              </w:rPr>
              <w:t>Total</w:t>
            </w:r>
          </w:p>
        </w:tc>
        <w:tc>
          <w:tcPr>
            <w:tcW w:w="2305" w:type="dxa"/>
            <w:tcBorders>
              <w:top w:val="nil"/>
              <w:left w:val="nil"/>
              <w:bottom w:val="single" w:sz="4" w:space="0" w:color="auto"/>
              <w:right w:val="single" w:sz="4" w:space="0" w:color="auto"/>
            </w:tcBorders>
            <w:shd w:val="clear" w:color="auto" w:fill="auto"/>
            <w:noWrap/>
            <w:vAlign w:val="center"/>
            <w:hideMark/>
          </w:tcPr>
          <w:p w:rsidR="00EF5DA6" w:rsidRPr="00E12F91" w:rsidRDefault="00EF5DA6" w:rsidP="005109CC">
            <w:pPr>
              <w:jc w:val="center"/>
              <w:rPr>
                <w:rFonts w:cs="Arial"/>
                <w:b/>
                <w:sz w:val="16"/>
                <w:szCs w:val="16"/>
              </w:rPr>
            </w:pPr>
            <w:r w:rsidRPr="00E12F91">
              <w:rPr>
                <w:rFonts w:cs="Arial"/>
                <w:b/>
                <w:sz w:val="16"/>
                <w:szCs w:val="16"/>
              </w:rPr>
              <w:t>£24,855</w:t>
            </w:r>
          </w:p>
        </w:tc>
        <w:tc>
          <w:tcPr>
            <w:tcW w:w="2365" w:type="dxa"/>
            <w:tcBorders>
              <w:top w:val="nil"/>
              <w:left w:val="nil"/>
              <w:bottom w:val="single" w:sz="4" w:space="0" w:color="auto"/>
              <w:right w:val="single" w:sz="4" w:space="0" w:color="auto"/>
            </w:tcBorders>
            <w:shd w:val="clear" w:color="auto" w:fill="auto"/>
            <w:noWrap/>
            <w:vAlign w:val="center"/>
            <w:hideMark/>
          </w:tcPr>
          <w:p w:rsidR="00EF5DA6" w:rsidRPr="00E12F91" w:rsidRDefault="00EF5DA6" w:rsidP="005109CC">
            <w:pPr>
              <w:jc w:val="center"/>
              <w:rPr>
                <w:rFonts w:cs="Arial"/>
                <w:b/>
                <w:sz w:val="16"/>
                <w:szCs w:val="16"/>
              </w:rPr>
            </w:pPr>
            <w:r w:rsidRPr="00E12F91">
              <w:rPr>
                <w:rFonts w:cs="Arial"/>
                <w:b/>
                <w:sz w:val="16"/>
                <w:szCs w:val="16"/>
              </w:rPr>
              <w:t>£2,485</w:t>
            </w:r>
          </w:p>
        </w:tc>
      </w:tr>
    </w:tbl>
    <w:p w:rsidR="004A0768" w:rsidRPr="005A0A54" w:rsidRDefault="004A0768" w:rsidP="004A0768">
      <w:pPr>
        <w:pStyle w:val="ListParagraph"/>
        <w:spacing w:before="240"/>
        <w:ind w:left="0"/>
        <w:jc w:val="both"/>
        <w:rPr>
          <w:rFonts w:ascii="Arial" w:hAnsi="Arial" w:cs="Arial"/>
          <w:u w:val="single"/>
        </w:rPr>
      </w:pPr>
      <w:r w:rsidRPr="005A0A54">
        <w:rPr>
          <w:rFonts w:ascii="Arial" w:hAnsi="Arial" w:cs="Arial"/>
          <w:u w:val="single"/>
        </w:rPr>
        <w:t>Summary</w:t>
      </w:r>
      <w:r w:rsidR="005A0A54">
        <w:rPr>
          <w:rFonts w:ascii="Arial" w:hAnsi="Arial" w:cs="Arial"/>
          <w:u w:val="single"/>
        </w:rPr>
        <w:t xml:space="preserve"> of Costs</w:t>
      </w:r>
    </w:p>
    <w:p w:rsidR="0023133A" w:rsidRPr="00610F70" w:rsidRDefault="004A0768" w:rsidP="0023133A">
      <w:pPr>
        <w:pStyle w:val="ListParagraph"/>
        <w:numPr>
          <w:ilvl w:val="1"/>
          <w:numId w:val="9"/>
        </w:numPr>
        <w:spacing w:before="240"/>
        <w:jc w:val="both"/>
        <w:rPr>
          <w:rFonts w:ascii="Arial" w:hAnsi="Arial" w:cs="Arial"/>
          <w:b/>
        </w:rPr>
      </w:pPr>
      <w:r w:rsidRPr="00AF766B">
        <w:rPr>
          <w:rFonts w:ascii="Arial" w:hAnsi="Arial" w:cs="Arial"/>
        </w:rPr>
        <w:t xml:space="preserve">As discussed, the net impacts of </w:t>
      </w:r>
      <w:r>
        <w:rPr>
          <w:rFonts w:ascii="Arial" w:hAnsi="Arial" w:cs="Arial"/>
        </w:rPr>
        <w:t>implementation of the</w:t>
      </w:r>
      <w:r w:rsidRPr="00AF766B">
        <w:rPr>
          <w:rFonts w:ascii="Arial" w:hAnsi="Arial" w:cs="Arial"/>
        </w:rPr>
        <w:t xml:space="preserve"> reformed CMO</w:t>
      </w:r>
      <w:r>
        <w:rPr>
          <w:rFonts w:ascii="Arial" w:hAnsi="Arial" w:cs="Arial"/>
        </w:rPr>
        <w:t xml:space="preserve"> in E &amp; W</w:t>
      </w:r>
      <w:r w:rsidRPr="00AF766B">
        <w:rPr>
          <w:rFonts w:ascii="Arial" w:hAnsi="Arial" w:cs="Arial"/>
        </w:rPr>
        <w:t xml:space="preserve"> are expected to be minimal as changes from the baseline are not significant and</w:t>
      </w:r>
      <w:r>
        <w:rPr>
          <w:rFonts w:ascii="Arial" w:hAnsi="Arial" w:cs="Arial"/>
        </w:rPr>
        <w:t xml:space="preserve"> costs here</w:t>
      </w:r>
      <w:r w:rsidRPr="00AF766B">
        <w:rPr>
          <w:rFonts w:ascii="Arial" w:hAnsi="Arial" w:cs="Arial"/>
        </w:rPr>
        <w:t xml:space="preserve"> are likely to be an overestimation</w:t>
      </w:r>
      <w:r>
        <w:rPr>
          <w:rFonts w:ascii="Arial" w:hAnsi="Arial" w:cs="Arial"/>
        </w:rPr>
        <w:t xml:space="preserve"> due to conservative assumptions on the number of businesses impacted, their wage rates and the time take to become familiar with legislation</w:t>
      </w:r>
      <w:r w:rsidRPr="00AF766B">
        <w:rPr>
          <w:rFonts w:ascii="Arial" w:hAnsi="Arial" w:cs="Arial"/>
        </w:rPr>
        <w:t xml:space="preserve">. </w:t>
      </w:r>
      <w:r w:rsidRPr="00AF766B">
        <w:rPr>
          <w:rFonts w:ascii="Arial" w:hAnsi="Arial" w:cs="Arial"/>
          <w:b/>
        </w:rPr>
        <w:t>Option 1 results in a</w:t>
      </w:r>
      <w:r>
        <w:rPr>
          <w:rFonts w:ascii="Arial" w:hAnsi="Arial" w:cs="Arial"/>
          <w:b/>
        </w:rPr>
        <w:t xml:space="preserve"> gross cost to </w:t>
      </w:r>
      <w:r>
        <w:rPr>
          <w:rFonts w:ascii="Arial" w:hAnsi="Arial" w:cs="Arial"/>
          <w:b/>
        </w:rPr>
        <w:lastRenderedPageBreak/>
        <w:t>business of £574.2k (10 year annual average £57.4k) and an EANCB of £0.05</w:t>
      </w:r>
      <w:r w:rsidRPr="00AF766B">
        <w:rPr>
          <w:rFonts w:ascii="Arial" w:hAnsi="Arial" w:cs="Arial"/>
          <w:b/>
        </w:rPr>
        <w:t>m.</w:t>
      </w:r>
      <w:r>
        <w:rPr>
          <w:rFonts w:ascii="Arial" w:hAnsi="Arial" w:cs="Arial"/>
          <w:b/>
        </w:rPr>
        <w:t xml:space="preserve"> </w:t>
      </w:r>
      <w:r>
        <w:rPr>
          <w:rFonts w:ascii="Arial" w:hAnsi="Arial" w:cs="Arial"/>
        </w:rPr>
        <w:t>Table 12 s</w:t>
      </w:r>
      <w:r w:rsidR="0023133A">
        <w:rPr>
          <w:rFonts w:ascii="Arial" w:hAnsi="Arial" w:cs="Arial"/>
        </w:rPr>
        <w:t>ummarises the costs of Option 1.</w:t>
      </w:r>
    </w:p>
    <w:p w:rsidR="004A0768" w:rsidRPr="004A0768" w:rsidRDefault="00E60307" w:rsidP="004A0768">
      <w:pPr>
        <w:pStyle w:val="ListParagraph"/>
        <w:spacing w:before="240"/>
        <w:ind w:left="0"/>
        <w:jc w:val="center"/>
        <w:rPr>
          <w:rFonts w:ascii="Arial" w:hAnsi="Arial" w:cs="Arial"/>
          <w:sz w:val="16"/>
          <w:szCs w:val="16"/>
        </w:rPr>
      </w:pPr>
      <w:r>
        <w:rPr>
          <w:rFonts w:ascii="Arial" w:hAnsi="Arial" w:cs="Arial"/>
          <w:sz w:val="16"/>
          <w:szCs w:val="16"/>
        </w:rPr>
        <w:t>Table 13</w:t>
      </w:r>
      <w:r w:rsidR="004A0768" w:rsidRPr="004A0768">
        <w:rPr>
          <w:rFonts w:ascii="Arial" w:hAnsi="Arial" w:cs="Arial"/>
          <w:sz w:val="16"/>
          <w:szCs w:val="16"/>
        </w:rPr>
        <w:t>: Total costs and their net present values of policy Option 1.</w:t>
      </w:r>
    </w:p>
    <w:tbl>
      <w:tblPr>
        <w:tblW w:w="7312" w:type="dxa"/>
        <w:jc w:val="center"/>
        <w:tblInd w:w="93" w:type="dxa"/>
        <w:tblLook w:val="04A0" w:firstRow="1" w:lastRow="0" w:firstColumn="1" w:lastColumn="0" w:noHBand="0" w:noVBand="1"/>
      </w:tblPr>
      <w:tblGrid>
        <w:gridCol w:w="1954"/>
        <w:gridCol w:w="1724"/>
        <w:gridCol w:w="1751"/>
        <w:gridCol w:w="1883"/>
      </w:tblGrid>
      <w:tr w:rsidR="004A0768" w:rsidRPr="00AF766B" w:rsidTr="005109CC">
        <w:trPr>
          <w:trHeight w:val="283"/>
          <w:jc w:val="center"/>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768" w:rsidRPr="00AF766B" w:rsidRDefault="004A0768" w:rsidP="005109CC">
            <w:pPr>
              <w:jc w:val="center"/>
              <w:rPr>
                <w:rFonts w:cs="Arial"/>
                <w:b/>
                <w:bCs/>
                <w:color w:val="000000"/>
                <w:sz w:val="16"/>
                <w:szCs w:val="16"/>
              </w:rPr>
            </w:pPr>
            <w:r w:rsidRPr="00AF766B">
              <w:rPr>
                <w:rFonts w:cs="Arial"/>
                <w:b/>
                <w:bCs/>
                <w:color w:val="000000"/>
                <w:sz w:val="16"/>
                <w:szCs w:val="16"/>
              </w:rPr>
              <w:t>Type</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4A0768" w:rsidRPr="00AF766B" w:rsidRDefault="004A0768" w:rsidP="005109CC">
            <w:pPr>
              <w:jc w:val="center"/>
              <w:rPr>
                <w:rFonts w:cs="Arial"/>
                <w:b/>
                <w:bCs/>
                <w:color w:val="000000"/>
                <w:sz w:val="16"/>
                <w:szCs w:val="16"/>
              </w:rPr>
            </w:pPr>
            <w:r w:rsidRPr="00AF766B">
              <w:rPr>
                <w:rFonts w:cs="Arial"/>
                <w:b/>
                <w:bCs/>
                <w:color w:val="000000"/>
                <w:sz w:val="16"/>
                <w:szCs w:val="16"/>
              </w:rPr>
              <w:t>Familiarisation / Advice Costs (2014)</w:t>
            </w:r>
          </w:p>
        </w:tc>
        <w:tc>
          <w:tcPr>
            <w:tcW w:w="1751" w:type="dxa"/>
            <w:tcBorders>
              <w:top w:val="single" w:sz="4" w:space="0" w:color="auto"/>
              <w:left w:val="nil"/>
              <w:bottom w:val="single" w:sz="4" w:space="0" w:color="auto"/>
              <w:right w:val="single" w:sz="4" w:space="0" w:color="auto"/>
            </w:tcBorders>
            <w:shd w:val="clear" w:color="auto" w:fill="auto"/>
            <w:vAlign w:val="center"/>
            <w:hideMark/>
          </w:tcPr>
          <w:p w:rsidR="004A0768" w:rsidRPr="00AF766B" w:rsidRDefault="004A0768" w:rsidP="005109CC">
            <w:pPr>
              <w:jc w:val="center"/>
              <w:rPr>
                <w:rFonts w:cs="Arial"/>
                <w:b/>
                <w:bCs/>
                <w:color w:val="000000"/>
                <w:sz w:val="16"/>
                <w:szCs w:val="16"/>
              </w:rPr>
            </w:pPr>
            <w:r>
              <w:rPr>
                <w:rFonts w:cs="Arial"/>
                <w:b/>
                <w:bCs/>
                <w:color w:val="000000"/>
                <w:sz w:val="16"/>
                <w:szCs w:val="16"/>
              </w:rPr>
              <w:t>Annual Equivalent (10</w:t>
            </w:r>
            <w:r w:rsidRPr="00AF766B">
              <w:rPr>
                <w:rFonts w:cs="Arial"/>
                <w:b/>
                <w:bCs/>
                <w:color w:val="000000"/>
                <w:sz w:val="16"/>
                <w:szCs w:val="16"/>
              </w:rPr>
              <w:t xml:space="preserve"> years)</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4A0768" w:rsidRPr="00AF766B" w:rsidRDefault="004A0768" w:rsidP="005109CC">
            <w:pPr>
              <w:jc w:val="center"/>
              <w:rPr>
                <w:rFonts w:cs="Arial"/>
                <w:b/>
                <w:bCs/>
                <w:color w:val="000000"/>
                <w:sz w:val="16"/>
                <w:szCs w:val="16"/>
              </w:rPr>
            </w:pPr>
            <w:r w:rsidRPr="00AF766B">
              <w:rPr>
                <w:rFonts w:cs="Arial"/>
                <w:b/>
                <w:bCs/>
                <w:color w:val="000000"/>
                <w:sz w:val="16"/>
                <w:szCs w:val="16"/>
              </w:rPr>
              <w:t>Net Present Value of Costs</w:t>
            </w:r>
          </w:p>
        </w:tc>
      </w:tr>
      <w:tr w:rsidR="004A0768" w:rsidRPr="00AF766B" w:rsidTr="005109CC">
        <w:trPr>
          <w:trHeight w:val="283"/>
          <w:jc w:val="center"/>
        </w:trPr>
        <w:tc>
          <w:tcPr>
            <w:tcW w:w="1954" w:type="dxa"/>
            <w:tcBorders>
              <w:top w:val="nil"/>
              <w:left w:val="single" w:sz="4" w:space="0" w:color="auto"/>
              <w:bottom w:val="single" w:sz="4" w:space="0" w:color="auto"/>
              <w:right w:val="single" w:sz="4" w:space="0" w:color="auto"/>
            </w:tcBorders>
            <w:shd w:val="clear" w:color="auto" w:fill="auto"/>
            <w:vAlign w:val="center"/>
            <w:hideMark/>
          </w:tcPr>
          <w:p w:rsidR="004A0768" w:rsidRPr="00AF766B" w:rsidRDefault="004A0768" w:rsidP="005109CC">
            <w:pPr>
              <w:jc w:val="center"/>
              <w:rPr>
                <w:rFonts w:cs="Arial"/>
                <w:sz w:val="16"/>
                <w:szCs w:val="16"/>
              </w:rPr>
            </w:pPr>
            <w:r>
              <w:rPr>
                <w:rFonts w:cs="Arial"/>
                <w:sz w:val="16"/>
                <w:szCs w:val="16"/>
              </w:rPr>
              <w:t>Producers (Fishers, Aquaculture and POs</w:t>
            </w:r>
            <w:r w:rsidRPr="00AF766B">
              <w:rPr>
                <w:rFonts w:cs="Arial"/>
                <w:sz w:val="16"/>
                <w:szCs w:val="16"/>
              </w:rPr>
              <w:t>)</w:t>
            </w:r>
          </w:p>
        </w:tc>
        <w:tc>
          <w:tcPr>
            <w:tcW w:w="1724" w:type="dxa"/>
            <w:tcBorders>
              <w:top w:val="nil"/>
              <w:left w:val="nil"/>
              <w:bottom w:val="single" w:sz="4" w:space="0" w:color="auto"/>
              <w:right w:val="single" w:sz="4" w:space="0" w:color="auto"/>
            </w:tcBorders>
            <w:shd w:val="clear" w:color="auto" w:fill="auto"/>
            <w:vAlign w:val="center"/>
            <w:hideMark/>
          </w:tcPr>
          <w:p w:rsidR="004A0768" w:rsidRPr="00AF766B" w:rsidRDefault="004A0768" w:rsidP="005109CC">
            <w:pPr>
              <w:jc w:val="center"/>
              <w:rPr>
                <w:rFonts w:cs="Arial"/>
                <w:sz w:val="16"/>
                <w:szCs w:val="16"/>
              </w:rPr>
            </w:pPr>
            <w:r>
              <w:rPr>
                <w:rFonts w:cs="Arial"/>
                <w:sz w:val="16"/>
                <w:szCs w:val="16"/>
              </w:rPr>
              <w:t>£43,025</w:t>
            </w:r>
          </w:p>
        </w:tc>
        <w:tc>
          <w:tcPr>
            <w:tcW w:w="1751" w:type="dxa"/>
            <w:tcBorders>
              <w:top w:val="nil"/>
              <w:left w:val="nil"/>
              <w:bottom w:val="single" w:sz="4" w:space="0" w:color="auto"/>
              <w:right w:val="single" w:sz="4" w:space="0" w:color="auto"/>
            </w:tcBorders>
            <w:shd w:val="clear" w:color="auto" w:fill="auto"/>
            <w:vAlign w:val="center"/>
            <w:hideMark/>
          </w:tcPr>
          <w:p w:rsidR="004A0768" w:rsidRPr="00AF766B" w:rsidRDefault="004A0768" w:rsidP="005109CC">
            <w:pPr>
              <w:jc w:val="center"/>
              <w:rPr>
                <w:rFonts w:cs="Arial"/>
                <w:sz w:val="16"/>
                <w:szCs w:val="16"/>
              </w:rPr>
            </w:pPr>
            <w:r>
              <w:rPr>
                <w:rFonts w:cs="Arial"/>
                <w:sz w:val="16"/>
                <w:szCs w:val="16"/>
              </w:rPr>
              <w:t>£4,303</w:t>
            </w:r>
          </w:p>
        </w:tc>
        <w:tc>
          <w:tcPr>
            <w:tcW w:w="1883" w:type="dxa"/>
            <w:tcBorders>
              <w:top w:val="nil"/>
              <w:left w:val="nil"/>
              <w:bottom w:val="single" w:sz="4" w:space="0" w:color="auto"/>
              <w:right w:val="single" w:sz="4" w:space="0" w:color="auto"/>
            </w:tcBorders>
            <w:shd w:val="clear" w:color="auto" w:fill="auto"/>
            <w:vAlign w:val="center"/>
            <w:hideMark/>
          </w:tcPr>
          <w:p w:rsidR="004A0768" w:rsidRPr="00AF766B" w:rsidRDefault="004A0768" w:rsidP="005109CC">
            <w:pPr>
              <w:jc w:val="center"/>
              <w:rPr>
                <w:rFonts w:cs="Arial"/>
                <w:sz w:val="16"/>
                <w:szCs w:val="16"/>
              </w:rPr>
            </w:pPr>
            <w:r w:rsidRPr="00AF766B">
              <w:rPr>
                <w:rFonts w:cs="Arial"/>
                <w:sz w:val="16"/>
                <w:szCs w:val="16"/>
              </w:rPr>
              <w:t>£</w:t>
            </w:r>
            <w:r>
              <w:rPr>
                <w:rFonts w:cs="Arial"/>
                <w:sz w:val="16"/>
                <w:szCs w:val="16"/>
              </w:rPr>
              <w:t>43</w:t>
            </w:r>
            <w:r w:rsidRPr="00AF766B">
              <w:rPr>
                <w:rFonts w:cs="Arial"/>
                <w:sz w:val="16"/>
                <w:szCs w:val="16"/>
              </w:rPr>
              <w:t>,</w:t>
            </w:r>
            <w:r>
              <w:rPr>
                <w:rFonts w:cs="Arial"/>
                <w:sz w:val="16"/>
                <w:szCs w:val="16"/>
              </w:rPr>
              <w:t>025</w:t>
            </w:r>
          </w:p>
        </w:tc>
      </w:tr>
      <w:tr w:rsidR="004A0768" w:rsidRPr="00AF766B" w:rsidTr="005109CC">
        <w:trPr>
          <w:trHeight w:val="283"/>
          <w:jc w:val="center"/>
        </w:trPr>
        <w:tc>
          <w:tcPr>
            <w:tcW w:w="1954" w:type="dxa"/>
            <w:tcBorders>
              <w:top w:val="nil"/>
              <w:left w:val="single" w:sz="4" w:space="0" w:color="auto"/>
              <w:bottom w:val="single" w:sz="4" w:space="0" w:color="auto"/>
              <w:right w:val="single" w:sz="4" w:space="0" w:color="auto"/>
            </w:tcBorders>
            <w:shd w:val="clear" w:color="auto" w:fill="auto"/>
            <w:vAlign w:val="center"/>
            <w:hideMark/>
          </w:tcPr>
          <w:p w:rsidR="004A0768" w:rsidRPr="00AF766B" w:rsidRDefault="004A0768" w:rsidP="005109CC">
            <w:pPr>
              <w:jc w:val="center"/>
              <w:rPr>
                <w:rFonts w:cs="Arial"/>
                <w:sz w:val="16"/>
                <w:szCs w:val="16"/>
              </w:rPr>
            </w:pPr>
            <w:r w:rsidRPr="00AF766B">
              <w:rPr>
                <w:rFonts w:cs="Arial"/>
                <w:sz w:val="16"/>
                <w:szCs w:val="16"/>
              </w:rPr>
              <w:t>Processors and Preservers</w:t>
            </w:r>
          </w:p>
        </w:tc>
        <w:tc>
          <w:tcPr>
            <w:tcW w:w="1724" w:type="dxa"/>
            <w:tcBorders>
              <w:top w:val="nil"/>
              <w:left w:val="nil"/>
              <w:bottom w:val="single" w:sz="4" w:space="0" w:color="auto"/>
              <w:right w:val="single" w:sz="4" w:space="0" w:color="auto"/>
            </w:tcBorders>
            <w:shd w:val="clear" w:color="auto" w:fill="auto"/>
            <w:vAlign w:val="center"/>
            <w:hideMark/>
          </w:tcPr>
          <w:p w:rsidR="004A0768" w:rsidRPr="00AF766B" w:rsidRDefault="004A0768" w:rsidP="005109CC">
            <w:pPr>
              <w:jc w:val="center"/>
              <w:rPr>
                <w:rFonts w:cs="Arial"/>
                <w:sz w:val="16"/>
                <w:szCs w:val="16"/>
              </w:rPr>
            </w:pPr>
            <w:r>
              <w:rPr>
                <w:rFonts w:cs="Arial"/>
                <w:sz w:val="16"/>
                <w:szCs w:val="16"/>
              </w:rPr>
              <w:t>£2,728</w:t>
            </w:r>
          </w:p>
        </w:tc>
        <w:tc>
          <w:tcPr>
            <w:tcW w:w="1751" w:type="dxa"/>
            <w:tcBorders>
              <w:top w:val="nil"/>
              <w:left w:val="nil"/>
              <w:bottom w:val="single" w:sz="4" w:space="0" w:color="auto"/>
              <w:right w:val="single" w:sz="4" w:space="0" w:color="auto"/>
            </w:tcBorders>
            <w:shd w:val="clear" w:color="auto" w:fill="auto"/>
            <w:vAlign w:val="center"/>
            <w:hideMark/>
          </w:tcPr>
          <w:p w:rsidR="004A0768" w:rsidRPr="00AF766B" w:rsidRDefault="004A0768" w:rsidP="005109CC">
            <w:pPr>
              <w:jc w:val="center"/>
              <w:rPr>
                <w:rFonts w:cs="Arial"/>
                <w:sz w:val="16"/>
                <w:szCs w:val="16"/>
              </w:rPr>
            </w:pPr>
            <w:r w:rsidRPr="00AF766B">
              <w:rPr>
                <w:rFonts w:cs="Arial"/>
                <w:sz w:val="16"/>
                <w:szCs w:val="16"/>
              </w:rPr>
              <w:t>£</w:t>
            </w:r>
            <w:r>
              <w:rPr>
                <w:rFonts w:cs="Arial"/>
                <w:sz w:val="16"/>
                <w:szCs w:val="16"/>
              </w:rPr>
              <w:t>273</w:t>
            </w:r>
          </w:p>
        </w:tc>
        <w:tc>
          <w:tcPr>
            <w:tcW w:w="1883" w:type="dxa"/>
            <w:tcBorders>
              <w:top w:val="nil"/>
              <w:left w:val="nil"/>
              <w:bottom w:val="single" w:sz="4" w:space="0" w:color="auto"/>
              <w:right w:val="single" w:sz="4" w:space="0" w:color="auto"/>
            </w:tcBorders>
            <w:shd w:val="clear" w:color="auto" w:fill="auto"/>
            <w:vAlign w:val="center"/>
            <w:hideMark/>
          </w:tcPr>
          <w:p w:rsidR="004A0768" w:rsidRPr="00AF766B" w:rsidRDefault="004A0768" w:rsidP="005109CC">
            <w:pPr>
              <w:jc w:val="center"/>
              <w:rPr>
                <w:rFonts w:cs="Arial"/>
                <w:sz w:val="16"/>
                <w:szCs w:val="16"/>
              </w:rPr>
            </w:pPr>
            <w:r w:rsidRPr="00AF766B">
              <w:rPr>
                <w:rFonts w:cs="Arial"/>
                <w:sz w:val="16"/>
                <w:szCs w:val="16"/>
              </w:rPr>
              <w:t>£</w:t>
            </w:r>
            <w:r>
              <w:rPr>
                <w:rFonts w:cs="Arial"/>
                <w:sz w:val="16"/>
                <w:szCs w:val="16"/>
              </w:rPr>
              <w:t>2,728</w:t>
            </w:r>
          </w:p>
        </w:tc>
      </w:tr>
      <w:tr w:rsidR="004A0768" w:rsidRPr="00AF766B" w:rsidTr="005109CC">
        <w:trPr>
          <w:trHeight w:val="283"/>
          <w:jc w:val="center"/>
        </w:trPr>
        <w:tc>
          <w:tcPr>
            <w:tcW w:w="1954" w:type="dxa"/>
            <w:tcBorders>
              <w:top w:val="nil"/>
              <w:left w:val="single" w:sz="4" w:space="0" w:color="auto"/>
              <w:bottom w:val="single" w:sz="4" w:space="0" w:color="auto"/>
              <w:right w:val="single" w:sz="4" w:space="0" w:color="auto"/>
            </w:tcBorders>
            <w:shd w:val="clear" w:color="auto" w:fill="auto"/>
            <w:vAlign w:val="center"/>
            <w:hideMark/>
          </w:tcPr>
          <w:p w:rsidR="004A0768" w:rsidRPr="00AF766B" w:rsidRDefault="004A0768" w:rsidP="005109CC">
            <w:pPr>
              <w:jc w:val="center"/>
              <w:rPr>
                <w:rFonts w:cs="Arial"/>
                <w:sz w:val="16"/>
                <w:szCs w:val="16"/>
              </w:rPr>
            </w:pPr>
            <w:r w:rsidRPr="00AF766B">
              <w:rPr>
                <w:rFonts w:cs="Arial"/>
                <w:sz w:val="16"/>
                <w:szCs w:val="16"/>
              </w:rPr>
              <w:t>Wholesalers</w:t>
            </w:r>
          </w:p>
        </w:tc>
        <w:tc>
          <w:tcPr>
            <w:tcW w:w="1724" w:type="dxa"/>
            <w:tcBorders>
              <w:top w:val="nil"/>
              <w:left w:val="nil"/>
              <w:bottom w:val="single" w:sz="4" w:space="0" w:color="auto"/>
              <w:right w:val="single" w:sz="4" w:space="0" w:color="auto"/>
            </w:tcBorders>
            <w:shd w:val="clear" w:color="auto" w:fill="auto"/>
            <w:vAlign w:val="center"/>
            <w:hideMark/>
          </w:tcPr>
          <w:p w:rsidR="004A0768" w:rsidRPr="00AF766B" w:rsidRDefault="004A0768" w:rsidP="005109CC">
            <w:pPr>
              <w:jc w:val="center"/>
              <w:rPr>
                <w:rFonts w:cs="Arial"/>
                <w:sz w:val="16"/>
                <w:szCs w:val="16"/>
              </w:rPr>
            </w:pPr>
            <w:r>
              <w:rPr>
                <w:rFonts w:cs="Arial"/>
                <w:sz w:val="16"/>
                <w:szCs w:val="16"/>
              </w:rPr>
              <w:t>£14,779</w:t>
            </w:r>
          </w:p>
        </w:tc>
        <w:tc>
          <w:tcPr>
            <w:tcW w:w="1751" w:type="dxa"/>
            <w:tcBorders>
              <w:top w:val="nil"/>
              <w:left w:val="nil"/>
              <w:bottom w:val="single" w:sz="4" w:space="0" w:color="auto"/>
              <w:right w:val="single" w:sz="4" w:space="0" w:color="auto"/>
            </w:tcBorders>
            <w:shd w:val="clear" w:color="auto" w:fill="auto"/>
            <w:vAlign w:val="center"/>
            <w:hideMark/>
          </w:tcPr>
          <w:p w:rsidR="004A0768" w:rsidRPr="00AF766B" w:rsidRDefault="004A0768" w:rsidP="005109CC">
            <w:pPr>
              <w:jc w:val="center"/>
              <w:rPr>
                <w:rFonts w:cs="Arial"/>
                <w:sz w:val="16"/>
                <w:szCs w:val="16"/>
              </w:rPr>
            </w:pPr>
            <w:r>
              <w:rPr>
                <w:rFonts w:cs="Arial"/>
                <w:sz w:val="16"/>
                <w:szCs w:val="16"/>
              </w:rPr>
              <w:t>£1</w:t>
            </w:r>
            <w:r w:rsidRPr="00AF766B">
              <w:rPr>
                <w:rFonts w:cs="Arial"/>
                <w:sz w:val="16"/>
                <w:szCs w:val="16"/>
              </w:rPr>
              <w:t>,</w:t>
            </w:r>
            <w:r>
              <w:rPr>
                <w:rFonts w:cs="Arial"/>
                <w:sz w:val="16"/>
                <w:szCs w:val="16"/>
              </w:rPr>
              <w:t>478</w:t>
            </w:r>
          </w:p>
        </w:tc>
        <w:tc>
          <w:tcPr>
            <w:tcW w:w="1883" w:type="dxa"/>
            <w:tcBorders>
              <w:top w:val="nil"/>
              <w:left w:val="nil"/>
              <w:bottom w:val="single" w:sz="4" w:space="0" w:color="auto"/>
              <w:right w:val="single" w:sz="4" w:space="0" w:color="auto"/>
            </w:tcBorders>
            <w:shd w:val="clear" w:color="auto" w:fill="auto"/>
            <w:vAlign w:val="center"/>
            <w:hideMark/>
          </w:tcPr>
          <w:p w:rsidR="004A0768" w:rsidRPr="00AF766B" w:rsidRDefault="004A0768" w:rsidP="005109CC">
            <w:pPr>
              <w:jc w:val="center"/>
              <w:rPr>
                <w:rFonts w:cs="Arial"/>
                <w:sz w:val="16"/>
                <w:szCs w:val="16"/>
              </w:rPr>
            </w:pPr>
            <w:r>
              <w:rPr>
                <w:rFonts w:cs="Arial"/>
                <w:sz w:val="16"/>
                <w:szCs w:val="16"/>
              </w:rPr>
              <w:t>£14,779</w:t>
            </w:r>
          </w:p>
        </w:tc>
      </w:tr>
      <w:tr w:rsidR="004A0768" w:rsidRPr="00AF766B" w:rsidTr="005109CC">
        <w:trPr>
          <w:trHeight w:val="283"/>
          <w:jc w:val="center"/>
        </w:trPr>
        <w:tc>
          <w:tcPr>
            <w:tcW w:w="1954" w:type="dxa"/>
            <w:tcBorders>
              <w:top w:val="nil"/>
              <w:left w:val="single" w:sz="4" w:space="0" w:color="auto"/>
              <w:bottom w:val="single" w:sz="4" w:space="0" w:color="auto"/>
              <w:right w:val="single" w:sz="4" w:space="0" w:color="auto"/>
            </w:tcBorders>
            <w:shd w:val="clear" w:color="auto" w:fill="auto"/>
            <w:vAlign w:val="center"/>
            <w:hideMark/>
          </w:tcPr>
          <w:p w:rsidR="004A0768" w:rsidRPr="00AF766B" w:rsidRDefault="004A0768" w:rsidP="005109CC">
            <w:pPr>
              <w:jc w:val="center"/>
              <w:rPr>
                <w:rFonts w:cs="Arial"/>
                <w:sz w:val="16"/>
                <w:szCs w:val="16"/>
              </w:rPr>
            </w:pPr>
            <w:r w:rsidRPr="00AF766B">
              <w:rPr>
                <w:rFonts w:cs="Arial"/>
                <w:sz w:val="16"/>
                <w:szCs w:val="16"/>
              </w:rPr>
              <w:t>Retailers</w:t>
            </w:r>
          </w:p>
        </w:tc>
        <w:tc>
          <w:tcPr>
            <w:tcW w:w="1724" w:type="dxa"/>
            <w:tcBorders>
              <w:top w:val="nil"/>
              <w:left w:val="nil"/>
              <w:bottom w:val="single" w:sz="4" w:space="0" w:color="auto"/>
              <w:right w:val="single" w:sz="4" w:space="0" w:color="auto"/>
            </w:tcBorders>
            <w:shd w:val="clear" w:color="auto" w:fill="auto"/>
            <w:vAlign w:val="center"/>
            <w:hideMark/>
          </w:tcPr>
          <w:p w:rsidR="004A0768" w:rsidRPr="00AF766B" w:rsidRDefault="004A0768" w:rsidP="005109CC">
            <w:pPr>
              <w:jc w:val="center"/>
              <w:rPr>
                <w:rFonts w:cs="Arial"/>
                <w:sz w:val="16"/>
                <w:szCs w:val="16"/>
              </w:rPr>
            </w:pPr>
            <w:r w:rsidRPr="00AF766B">
              <w:rPr>
                <w:rFonts w:cs="Arial"/>
                <w:sz w:val="16"/>
                <w:szCs w:val="16"/>
              </w:rPr>
              <w:t>£</w:t>
            </w:r>
            <w:r>
              <w:rPr>
                <w:rFonts w:cs="Arial"/>
                <w:sz w:val="16"/>
                <w:szCs w:val="16"/>
              </w:rPr>
              <w:t>513</w:t>
            </w:r>
            <w:r w:rsidRPr="00AF766B">
              <w:rPr>
                <w:rFonts w:cs="Arial"/>
                <w:sz w:val="16"/>
                <w:szCs w:val="16"/>
              </w:rPr>
              <w:t>,</w:t>
            </w:r>
            <w:r>
              <w:rPr>
                <w:rFonts w:cs="Arial"/>
                <w:sz w:val="16"/>
                <w:szCs w:val="16"/>
              </w:rPr>
              <w:t>709</w:t>
            </w:r>
          </w:p>
        </w:tc>
        <w:tc>
          <w:tcPr>
            <w:tcW w:w="1751" w:type="dxa"/>
            <w:tcBorders>
              <w:top w:val="nil"/>
              <w:left w:val="nil"/>
              <w:bottom w:val="single" w:sz="4" w:space="0" w:color="auto"/>
              <w:right w:val="single" w:sz="4" w:space="0" w:color="auto"/>
            </w:tcBorders>
            <w:shd w:val="clear" w:color="auto" w:fill="auto"/>
            <w:vAlign w:val="center"/>
            <w:hideMark/>
          </w:tcPr>
          <w:p w:rsidR="004A0768" w:rsidRPr="00AF766B" w:rsidRDefault="004A0768" w:rsidP="005109CC">
            <w:pPr>
              <w:jc w:val="center"/>
              <w:rPr>
                <w:rFonts w:cs="Arial"/>
                <w:sz w:val="16"/>
                <w:szCs w:val="16"/>
              </w:rPr>
            </w:pPr>
            <w:r w:rsidRPr="00AF766B">
              <w:rPr>
                <w:rFonts w:cs="Arial"/>
                <w:sz w:val="16"/>
                <w:szCs w:val="16"/>
              </w:rPr>
              <w:t>£</w:t>
            </w:r>
            <w:r>
              <w:rPr>
                <w:rFonts w:cs="Arial"/>
                <w:sz w:val="16"/>
                <w:szCs w:val="16"/>
              </w:rPr>
              <w:t>51</w:t>
            </w:r>
            <w:r w:rsidRPr="00AF766B">
              <w:rPr>
                <w:rFonts w:cs="Arial"/>
                <w:sz w:val="16"/>
                <w:szCs w:val="16"/>
              </w:rPr>
              <w:t>,</w:t>
            </w:r>
            <w:r>
              <w:rPr>
                <w:rFonts w:cs="Arial"/>
                <w:sz w:val="16"/>
                <w:szCs w:val="16"/>
              </w:rPr>
              <w:t>371</w:t>
            </w:r>
          </w:p>
        </w:tc>
        <w:tc>
          <w:tcPr>
            <w:tcW w:w="1883" w:type="dxa"/>
            <w:tcBorders>
              <w:top w:val="nil"/>
              <w:left w:val="nil"/>
              <w:bottom w:val="single" w:sz="4" w:space="0" w:color="auto"/>
              <w:right w:val="single" w:sz="4" w:space="0" w:color="auto"/>
            </w:tcBorders>
            <w:shd w:val="clear" w:color="auto" w:fill="auto"/>
            <w:vAlign w:val="center"/>
            <w:hideMark/>
          </w:tcPr>
          <w:p w:rsidR="004A0768" w:rsidRPr="00AF766B" w:rsidRDefault="004A0768" w:rsidP="005109CC">
            <w:pPr>
              <w:jc w:val="center"/>
              <w:rPr>
                <w:rFonts w:cs="Arial"/>
                <w:sz w:val="16"/>
                <w:szCs w:val="16"/>
              </w:rPr>
            </w:pPr>
            <w:r w:rsidRPr="00AF766B">
              <w:rPr>
                <w:rFonts w:cs="Arial"/>
                <w:sz w:val="16"/>
                <w:szCs w:val="16"/>
              </w:rPr>
              <w:t>£</w:t>
            </w:r>
            <w:r>
              <w:rPr>
                <w:rFonts w:cs="Arial"/>
                <w:sz w:val="16"/>
                <w:szCs w:val="16"/>
              </w:rPr>
              <w:t>51</w:t>
            </w:r>
            <w:r w:rsidRPr="00AF766B">
              <w:rPr>
                <w:rFonts w:cs="Arial"/>
                <w:sz w:val="16"/>
                <w:szCs w:val="16"/>
              </w:rPr>
              <w:t>3,</w:t>
            </w:r>
            <w:r>
              <w:rPr>
                <w:rFonts w:cs="Arial"/>
                <w:sz w:val="16"/>
                <w:szCs w:val="16"/>
              </w:rPr>
              <w:t>709</w:t>
            </w:r>
          </w:p>
        </w:tc>
      </w:tr>
      <w:tr w:rsidR="004A0768" w:rsidRPr="00AF766B" w:rsidTr="005109CC">
        <w:trPr>
          <w:trHeight w:val="283"/>
          <w:jc w:val="center"/>
        </w:trPr>
        <w:tc>
          <w:tcPr>
            <w:tcW w:w="1954" w:type="dxa"/>
            <w:tcBorders>
              <w:top w:val="nil"/>
              <w:left w:val="single" w:sz="4" w:space="0" w:color="auto"/>
              <w:bottom w:val="single" w:sz="4" w:space="0" w:color="auto"/>
              <w:right w:val="single" w:sz="4" w:space="0" w:color="auto"/>
            </w:tcBorders>
            <w:shd w:val="clear" w:color="auto" w:fill="BFBFBF"/>
            <w:vAlign w:val="center"/>
            <w:hideMark/>
          </w:tcPr>
          <w:p w:rsidR="004A0768" w:rsidRPr="00AF766B" w:rsidRDefault="004A0768" w:rsidP="005109CC">
            <w:pPr>
              <w:jc w:val="center"/>
              <w:rPr>
                <w:rFonts w:cs="Arial"/>
                <w:b/>
                <w:bCs/>
                <w:sz w:val="16"/>
                <w:szCs w:val="16"/>
              </w:rPr>
            </w:pPr>
            <w:r w:rsidRPr="00AF766B">
              <w:rPr>
                <w:rFonts w:cs="Arial"/>
                <w:b/>
                <w:bCs/>
                <w:sz w:val="16"/>
                <w:szCs w:val="16"/>
              </w:rPr>
              <w:t>Total Private</w:t>
            </w:r>
          </w:p>
        </w:tc>
        <w:tc>
          <w:tcPr>
            <w:tcW w:w="1724" w:type="dxa"/>
            <w:tcBorders>
              <w:top w:val="nil"/>
              <w:left w:val="nil"/>
              <w:bottom w:val="single" w:sz="4" w:space="0" w:color="auto"/>
              <w:right w:val="single" w:sz="4" w:space="0" w:color="auto"/>
            </w:tcBorders>
            <w:shd w:val="clear" w:color="auto" w:fill="BFBFBF"/>
            <w:vAlign w:val="center"/>
            <w:hideMark/>
          </w:tcPr>
          <w:p w:rsidR="004A0768" w:rsidRPr="00AF766B" w:rsidRDefault="004A0768" w:rsidP="005109CC">
            <w:pPr>
              <w:jc w:val="center"/>
              <w:rPr>
                <w:rFonts w:cs="Arial"/>
                <w:b/>
                <w:bCs/>
                <w:sz w:val="16"/>
                <w:szCs w:val="16"/>
              </w:rPr>
            </w:pPr>
            <w:r w:rsidRPr="00AF766B">
              <w:rPr>
                <w:rFonts w:cs="Arial"/>
                <w:b/>
                <w:bCs/>
                <w:sz w:val="16"/>
                <w:szCs w:val="16"/>
              </w:rPr>
              <w:t>£</w:t>
            </w:r>
            <w:r>
              <w:rPr>
                <w:rFonts w:cs="Arial"/>
                <w:b/>
                <w:bCs/>
                <w:sz w:val="16"/>
                <w:szCs w:val="16"/>
              </w:rPr>
              <w:t>574,2</w:t>
            </w:r>
            <w:r w:rsidRPr="00AF766B">
              <w:rPr>
                <w:rFonts w:cs="Arial"/>
                <w:b/>
                <w:bCs/>
                <w:sz w:val="16"/>
                <w:szCs w:val="16"/>
              </w:rPr>
              <w:t>4</w:t>
            </w:r>
            <w:r>
              <w:rPr>
                <w:rFonts w:cs="Arial"/>
                <w:b/>
                <w:bCs/>
                <w:sz w:val="16"/>
                <w:szCs w:val="16"/>
              </w:rPr>
              <w:t>1</w:t>
            </w:r>
          </w:p>
        </w:tc>
        <w:tc>
          <w:tcPr>
            <w:tcW w:w="1751" w:type="dxa"/>
            <w:tcBorders>
              <w:top w:val="nil"/>
              <w:left w:val="nil"/>
              <w:bottom w:val="single" w:sz="4" w:space="0" w:color="auto"/>
              <w:right w:val="single" w:sz="4" w:space="0" w:color="auto"/>
            </w:tcBorders>
            <w:shd w:val="clear" w:color="auto" w:fill="BFBFBF"/>
            <w:vAlign w:val="center"/>
            <w:hideMark/>
          </w:tcPr>
          <w:p w:rsidR="004A0768" w:rsidRPr="00AF766B" w:rsidRDefault="004A0768" w:rsidP="005109CC">
            <w:pPr>
              <w:jc w:val="center"/>
              <w:rPr>
                <w:rFonts w:cs="Arial"/>
                <w:b/>
                <w:bCs/>
                <w:sz w:val="16"/>
                <w:szCs w:val="16"/>
              </w:rPr>
            </w:pPr>
            <w:r>
              <w:rPr>
                <w:rFonts w:cs="Arial"/>
                <w:b/>
                <w:bCs/>
                <w:sz w:val="16"/>
                <w:szCs w:val="16"/>
              </w:rPr>
              <w:t>£57</w:t>
            </w:r>
            <w:r w:rsidRPr="00AF766B">
              <w:rPr>
                <w:rFonts w:cs="Arial"/>
                <w:b/>
                <w:bCs/>
                <w:sz w:val="16"/>
                <w:szCs w:val="16"/>
              </w:rPr>
              <w:t>,</w:t>
            </w:r>
            <w:r>
              <w:rPr>
                <w:rFonts w:cs="Arial"/>
                <w:b/>
                <w:bCs/>
                <w:sz w:val="16"/>
                <w:szCs w:val="16"/>
              </w:rPr>
              <w:t>424</w:t>
            </w:r>
          </w:p>
        </w:tc>
        <w:tc>
          <w:tcPr>
            <w:tcW w:w="1883" w:type="dxa"/>
            <w:tcBorders>
              <w:top w:val="nil"/>
              <w:left w:val="nil"/>
              <w:bottom w:val="single" w:sz="4" w:space="0" w:color="auto"/>
              <w:right w:val="single" w:sz="4" w:space="0" w:color="auto"/>
            </w:tcBorders>
            <w:shd w:val="clear" w:color="auto" w:fill="BFBFBF"/>
            <w:vAlign w:val="center"/>
            <w:hideMark/>
          </w:tcPr>
          <w:p w:rsidR="004A0768" w:rsidRPr="00AF766B" w:rsidRDefault="004A0768" w:rsidP="005109CC">
            <w:pPr>
              <w:jc w:val="center"/>
              <w:rPr>
                <w:rFonts w:cs="Arial"/>
                <w:b/>
                <w:bCs/>
                <w:sz w:val="16"/>
                <w:szCs w:val="16"/>
              </w:rPr>
            </w:pPr>
            <w:r w:rsidRPr="00AF766B">
              <w:rPr>
                <w:rFonts w:cs="Arial"/>
                <w:b/>
                <w:bCs/>
                <w:sz w:val="16"/>
                <w:szCs w:val="16"/>
              </w:rPr>
              <w:t>£</w:t>
            </w:r>
            <w:r>
              <w:rPr>
                <w:rFonts w:cs="Arial"/>
                <w:b/>
                <w:bCs/>
                <w:sz w:val="16"/>
                <w:szCs w:val="16"/>
              </w:rPr>
              <w:t>574,241</w:t>
            </w:r>
          </w:p>
        </w:tc>
      </w:tr>
      <w:tr w:rsidR="004A0768" w:rsidRPr="00AF766B" w:rsidTr="005109CC">
        <w:trPr>
          <w:trHeight w:val="283"/>
          <w:jc w:val="center"/>
        </w:trPr>
        <w:tc>
          <w:tcPr>
            <w:tcW w:w="1954" w:type="dxa"/>
            <w:tcBorders>
              <w:top w:val="nil"/>
              <w:left w:val="single" w:sz="4" w:space="0" w:color="auto"/>
              <w:bottom w:val="single" w:sz="4" w:space="0" w:color="auto"/>
              <w:right w:val="single" w:sz="4" w:space="0" w:color="auto"/>
            </w:tcBorders>
            <w:shd w:val="clear" w:color="auto" w:fill="auto"/>
            <w:vAlign w:val="center"/>
            <w:hideMark/>
          </w:tcPr>
          <w:p w:rsidR="004A0768" w:rsidRPr="00AF766B" w:rsidRDefault="004A0768" w:rsidP="005109CC">
            <w:pPr>
              <w:jc w:val="center"/>
              <w:rPr>
                <w:rFonts w:cs="Arial"/>
                <w:sz w:val="16"/>
                <w:szCs w:val="16"/>
              </w:rPr>
            </w:pPr>
            <w:r w:rsidRPr="00AF766B">
              <w:rPr>
                <w:rFonts w:cs="Arial"/>
                <w:sz w:val="16"/>
                <w:szCs w:val="16"/>
              </w:rPr>
              <w:t>Local Authorities</w:t>
            </w:r>
          </w:p>
        </w:tc>
        <w:tc>
          <w:tcPr>
            <w:tcW w:w="1724" w:type="dxa"/>
            <w:tcBorders>
              <w:top w:val="nil"/>
              <w:left w:val="nil"/>
              <w:bottom w:val="single" w:sz="4" w:space="0" w:color="auto"/>
              <w:right w:val="single" w:sz="4" w:space="0" w:color="auto"/>
            </w:tcBorders>
            <w:shd w:val="clear" w:color="auto" w:fill="auto"/>
            <w:vAlign w:val="center"/>
            <w:hideMark/>
          </w:tcPr>
          <w:p w:rsidR="004A0768" w:rsidRPr="00AF766B" w:rsidRDefault="004A0768" w:rsidP="005109CC">
            <w:pPr>
              <w:jc w:val="center"/>
              <w:rPr>
                <w:rFonts w:cs="Arial"/>
                <w:sz w:val="16"/>
                <w:szCs w:val="16"/>
              </w:rPr>
            </w:pPr>
            <w:r w:rsidRPr="00AF766B">
              <w:rPr>
                <w:rFonts w:cs="Arial"/>
                <w:sz w:val="16"/>
                <w:szCs w:val="16"/>
              </w:rPr>
              <w:t>£24,855</w:t>
            </w:r>
          </w:p>
        </w:tc>
        <w:tc>
          <w:tcPr>
            <w:tcW w:w="1751" w:type="dxa"/>
            <w:tcBorders>
              <w:top w:val="nil"/>
              <w:left w:val="nil"/>
              <w:bottom w:val="single" w:sz="4" w:space="0" w:color="auto"/>
              <w:right w:val="single" w:sz="4" w:space="0" w:color="auto"/>
            </w:tcBorders>
            <w:shd w:val="clear" w:color="auto" w:fill="auto"/>
            <w:vAlign w:val="center"/>
            <w:hideMark/>
          </w:tcPr>
          <w:p w:rsidR="004A0768" w:rsidRPr="00AF766B" w:rsidRDefault="004A0768" w:rsidP="005109CC">
            <w:pPr>
              <w:jc w:val="center"/>
              <w:rPr>
                <w:rFonts w:cs="Arial"/>
                <w:sz w:val="16"/>
                <w:szCs w:val="16"/>
              </w:rPr>
            </w:pPr>
            <w:r w:rsidRPr="00AF766B">
              <w:rPr>
                <w:rFonts w:cs="Arial"/>
                <w:sz w:val="16"/>
                <w:szCs w:val="16"/>
              </w:rPr>
              <w:t>£2,</w:t>
            </w:r>
            <w:r>
              <w:rPr>
                <w:rFonts w:cs="Arial"/>
                <w:sz w:val="16"/>
                <w:szCs w:val="16"/>
              </w:rPr>
              <w:t>485</w:t>
            </w:r>
          </w:p>
        </w:tc>
        <w:tc>
          <w:tcPr>
            <w:tcW w:w="1883" w:type="dxa"/>
            <w:tcBorders>
              <w:top w:val="nil"/>
              <w:left w:val="nil"/>
              <w:bottom w:val="single" w:sz="4" w:space="0" w:color="auto"/>
              <w:right w:val="single" w:sz="4" w:space="0" w:color="auto"/>
            </w:tcBorders>
            <w:shd w:val="clear" w:color="auto" w:fill="auto"/>
            <w:vAlign w:val="center"/>
            <w:hideMark/>
          </w:tcPr>
          <w:p w:rsidR="004A0768" w:rsidRPr="00AF766B" w:rsidRDefault="004A0768" w:rsidP="005109CC">
            <w:pPr>
              <w:jc w:val="center"/>
              <w:rPr>
                <w:rFonts w:cs="Arial"/>
                <w:sz w:val="16"/>
                <w:szCs w:val="16"/>
              </w:rPr>
            </w:pPr>
            <w:r w:rsidRPr="00AF766B">
              <w:rPr>
                <w:rFonts w:cs="Arial"/>
                <w:sz w:val="16"/>
                <w:szCs w:val="16"/>
              </w:rPr>
              <w:t>£24,855</w:t>
            </w:r>
          </w:p>
        </w:tc>
      </w:tr>
      <w:tr w:rsidR="004A0768" w:rsidRPr="00AF766B" w:rsidTr="005109CC">
        <w:trPr>
          <w:trHeight w:val="283"/>
          <w:jc w:val="center"/>
        </w:trPr>
        <w:tc>
          <w:tcPr>
            <w:tcW w:w="1954" w:type="dxa"/>
            <w:tcBorders>
              <w:top w:val="nil"/>
              <w:left w:val="single" w:sz="4" w:space="0" w:color="auto"/>
              <w:bottom w:val="single" w:sz="4" w:space="0" w:color="auto"/>
              <w:right w:val="single" w:sz="4" w:space="0" w:color="auto"/>
            </w:tcBorders>
            <w:shd w:val="clear" w:color="auto" w:fill="auto"/>
            <w:vAlign w:val="center"/>
            <w:hideMark/>
          </w:tcPr>
          <w:p w:rsidR="004A0768" w:rsidRPr="00AF766B" w:rsidRDefault="004A0768" w:rsidP="005109CC">
            <w:pPr>
              <w:jc w:val="center"/>
              <w:rPr>
                <w:rFonts w:cs="Arial"/>
                <w:sz w:val="16"/>
                <w:szCs w:val="16"/>
              </w:rPr>
            </w:pPr>
            <w:r w:rsidRPr="00AF766B">
              <w:rPr>
                <w:rFonts w:cs="Arial"/>
                <w:sz w:val="16"/>
                <w:szCs w:val="16"/>
              </w:rPr>
              <w:t>Marine Management Organisation</w:t>
            </w:r>
            <w:r>
              <w:rPr>
                <w:rFonts w:cs="Arial"/>
                <w:sz w:val="16"/>
                <w:szCs w:val="16"/>
              </w:rPr>
              <w:t xml:space="preserve"> and Welsh Government</w:t>
            </w:r>
          </w:p>
        </w:tc>
        <w:tc>
          <w:tcPr>
            <w:tcW w:w="1724" w:type="dxa"/>
            <w:tcBorders>
              <w:top w:val="nil"/>
              <w:left w:val="nil"/>
              <w:bottom w:val="single" w:sz="4" w:space="0" w:color="auto"/>
              <w:right w:val="single" w:sz="4" w:space="0" w:color="auto"/>
            </w:tcBorders>
            <w:shd w:val="clear" w:color="auto" w:fill="auto"/>
            <w:vAlign w:val="center"/>
            <w:hideMark/>
          </w:tcPr>
          <w:p w:rsidR="004A0768" w:rsidRPr="00AF766B" w:rsidRDefault="004A0768" w:rsidP="005109CC">
            <w:pPr>
              <w:jc w:val="center"/>
              <w:rPr>
                <w:rFonts w:cs="Arial"/>
                <w:sz w:val="16"/>
                <w:szCs w:val="16"/>
              </w:rPr>
            </w:pPr>
            <w:r w:rsidRPr="00AF766B">
              <w:rPr>
                <w:rFonts w:cs="Arial"/>
                <w:sz w:val="16"/>
                <w:szCs w:val="16"/>
              </w:rPr>
              <w:t>£3,496</w:t>
            </w:r>
          </w:p>
        </w:tc>
        <w:tc>
          <w:tcPr>
            <w:tcW w:w="1751" w:type="dxa"/>
            <w:tcBorders>
              <w:top w:val="nil"/>
              <w:left w:val="nil"/>
              <w:bottom w:val="single" w:sz="4" w:space="0" w:color="auto"/>
              <w:right w:val="single" w:sz="4" w:space="0" w:color="auto"/>
            </w:tcBorders>
            <w:shd w:val="clear" w:color="auto" w:fill="auto"/>
            <w:vAlign w:val="center"/>
            <w:hideMark/>
          </w:tcPr>
          <w:p w:rsidR="004A0768" w:rsidRPr="00AF766B" w:rsidRDefault="004A0768" w:rsidP="005109CC">
            <w:pPr>
              <w:jc w:val="center"/>
              <w:rPr>
                <w:rFonts w:cs="Arial"/>
                <w:sz w:val="16"/>
                <w:szCs w:val="16"/>
              </w:rPr>
            </w:pPr>
            <w:r w:rsidRPr="00AF766B">
              <w:rPr>
                <w:rFonts w:cs="Arial"/>
                <w:sz w:val="16"/>
                <w:szCs w:val="16"/>
              </w:rPr>
              <w:t>£</w:t>
            </w:r>
            <w:r>
              <w:rPr>
                <w:rFonts w:cs="Arial"/>
                <w:sz w:val="16"/>
                <w:szCs w:val="16"/>
              </w:rPr>
              <w:t>350</w:t>
            </w:r>
          </w:p>
        </w:tc>
        <w:tc>
          <w:tcPr>
            <w:tcW w:w="1883" w:type="dxa"/>
            <w:tcBorders>
              <w:top w:val="nil"/>
              <w:left w:val="nil"/>
              <w:bottom w:val="single" w:sz="4" w:space="0" w:color="auto"/>
              <w:right w:val="single" w:sz="4" w:space="0" w:color="auto"/>
            </w:tcBorders>
            <w:shd w:val="clear" w:color="auto" w:fill="auto"/>
            <w:vAlign w:val="center"/>
            <w:hideMark/>
          </w:tcPr>
          <w:p w:rsidR="004A0768" w:rsidRPr="00AF766B" w:rsidRDefault="004A0768" w:rsidP="005109CC">
            <w:pPr>
              <w:jc w:val="center"/>
              <w:rPr>
                <w:rFonts w:cs="Arial"/>
                <w:sz w:val="16"/>
                <w:szCs w:val="16"/>
              </w:rPr>
            </w:pPr>
            <w:r>
              <w:rPr>
                <w:rFonts w:cs="Arial"/>
                <w:sz w:val="16"/>
                <w:szCs w:val="16"/>
              </w:rPr>
              <w:t>£3</w:t>
            </w:r>
            <w:r w:rsidRPr="00AF766B">
              <w:rPr>
                <w:rFonts w:cs="Arial"/>
                <w:sz w:val="16"/>
                <w:szCs w:val="16"/>
              </w:rPr>
              <w:t>,</w:t>
            </w:r>
            <w:r>
              <w:rPr>
                <w:rFonts w:cs="Arial"/>
                <w:sz w:val="16"/>
                <w:szCs w:val="16"/>
              </w:rPr>
              <w:t>496</w:t>
            </w:r>
          </w:p>
        </w:tc>
      </w:tr>
      <w:tr w:rsidR="004A0768" w:rsidRPr="00AF766B" w:rsidTr="005109CC">
        <w:trPr>
          <w:trHeight w:val="283"/>
          <w:jc w:val="center"/>
        </w:trPr>
        <w:tc>
          <w:tcPr>
            <w:tcW w:w="1954" w:type="dxa"/>
            <w:tcBorders>
              <w:top w:val="nil"/>
              <w:left w:val="single" w:sz="4" w:space="0" w:color="auto"/>
              <w:bottom w:val="single" w:sz="4" w:space="0" w:color="auto"/>
              <w:right w:val="single" w:sz="4" w:space="0" w:color="auto"/>
            </w:tcBorders>
            <w:shd w:val="clear" w:color="auto" w:fill="BFBFBF"/>
            <w:vAlign w:val="center"/>
            <w:hideMark/>
          </w:tcPr>
          <w:p w:rsidR="004A0768" w:rsidRPr="00AF766B" w:rsidRDefault="004A0768" w:rsidP="005109CC">
            <w:pPr>
              <w:jc w:val="center"/>
              <w:rPr>
                <w:rFonts w:cs="Arial"/>
                <w:b/>
                <w:bCs/>
                <w:sz w:val="16"/>
                <w:szCs w:val="16"/>
              </w:rPr>
            </w:pPr>
            <w:r w:rsidRPr="00AF766B">
              <w:rPr>
                <w:rFonts w:cs="Arial"/>
                <w:b/>
                <w:bCs/>
                <w:sz w:val="16"/>
                <w:szCs w:val="16"/>
              </w:rPr>
              <w:t>Total Public</w:t>
            </w:r>
          </w:p>
        </w:tc>
        <w:tc>
          <w:tcPr>
            <w:tcW w:w="1724" w:type="dxa"/>
            <w:tcBorders>
              <w:top w:val="nil"/>
              <w:left w:val="nil"/>
              <w:bottom w:val="single" w:sz="4" w:space="0" w:color="auto"/>
              <w:right w:val="single" w:sz="4" w:space="0" w:color="auto"/>
            </w:tcBorders>
            <w:shd w:val="clear" w:color="auto" w:fill="BFBFBF"/>
            <w:vAlign w:val="center"/>
            <w:hideMark/>
          </w:tcPr>
          <w:p w:rsidR="004A0768" w:rsidRPr="00AF766B" w:rsidRDefault="004A0768" w:rsidP="005109CC">
            <w:pPr>
              <w:jc w:val="center"/>
              <w:rPr>
                <w:rFonts w:cs="Arial"/>
                <w:b/>
                <w:bCs/>
                <w:sz w:val="16"/>
                <w:szCs w:val="16"/>
              </w:rPr>
            </w:pPr>
            <w:r w:rsidRPr="00AF766B">
              <w:rPr>
                <w:rFonts w:cs="Arial"/>
                <w:b/>
                <w:bCs/>
                <w:sz w:val="16"/>
                <w:szCs w:val="16"/>
              </w:rPr>
              <w:t>£28,351</w:t>
            </w:r>
          </w:p>
        </w:tc>
        <w:tc>
          <w:tcPr>
            <w:tcW w:w="1751" w:type="dxa"/>
            <w:tcBorders>
              <w:top w:val="nil"/>
              <w:left w:val="nil"/>
              <w:bottom w:val="single" w:sz="4" w:space="0" w:color="auto"/>
              <w:right w:val="single" w:sz="4" w:space="0" w:color="auto"/>
            </w:tcBorders>
            <w:shd w:val="clear" w:color="auto" w:fill="BFBFBF"/>
            <w:vAlign w:val="center"/>
            <w:hideMark/>
          </w:tcPr>
          <w:p w:rsidR="004A0768" w:rsidRPr="00AF766B" w:rsidRDefault="004A0768" w:rsidP="005109CC">
            <w:pPr>
              <w:jc w:val="center"/>
              <w:rPr>
                <w:rFonts w:cs="Arial"/>
                <w:b/>
                <w:bCs/>
                <w:sz w:val="16"/>
                <w:szCs w:val="16"/>
              </w:rPr>
            </w:pPr>
            <w:r>
              <w:rPr>
                <w:rFonts w:cs="Arial"/>
                <w:b/>
                <w:bCs/>
                <w:sz w:val="16"/>
                <w:szCs w:val="16"/>
              </w:rPr>
              <w:t>£2,835</w:t>
            </w:r>
          </w:p>
        </w:tc>
        <w:tc>
          <w:tcPr>
            <w:tcW w:w="1883" w:type="dxa"/>
            <w:tcBorders>
              <w:top w:val="nil"/>
              <w:left w:val="nil"/>
              <w:bottom w:val="single" w:sz="4" w:space="0" w:color="auto"/>
              <w:right w:val="single" w:sz="4" w:space="0" w:color="auto"/>
            </w:tcBorders>
            <w:shd w:val="clear" w:color="auto" w:fill="BFBFBF"/>
            <w:vAlign w:val="center"/>
            <w:hideMark/>
          </w:tcPr>
          <w:p w:rsidR="004A0768" w:rsidRPr="00AF766B" w:rsidRDefault="004A0768" w:rsidP="005109CC">
            <w:pPr>
              <w:jc w:val="center"/>
              <w:rPr>
                <w:rFonts w:cs="Arial"/>
                <w:b/>
                <w:bCs/>
                <w:sz w:val="16"/>
                <w:szCs w:val="16"/>
              </w:rPr>
            </w:pPr>
            <w:r>
              <w:rPr>
                <w:rFonts w:cs="Arial"/>
                <w:b/>
                <w:bCs/>
                <w:sz w:val="16"/>
                <w:szCs w:val="16"/>
              </w:rPr>
              <w:t>£28</w:t>
            </w:r>
            <w:r w:rsidRPr="00AF766B">
              <w:rPr>
                <w:rFonts w:cs="Arial"/>
                <w:b/>
                <w:bCs/>
                <w:sz w:val="16"/>
                <w:szCs w:val="16"/>
              </w:rPr>
              <w:t>,</w:t>
            </w:r>
            <w:r>
              <w:rPr>
                <w:rFonts w:cs="Arial"/>
                <w:b/>
                <w:bCs/>
                <w:sz w:val="16"/>
                <w:szCs w:val="16"/>
              </w:rPr>
              <w:t>351</w:t>
            </w:r>
          </w:p>
        </w:tc>
      </w:tr>
      <w:tr w:rsidR="004A0768" w:rsidRPr="00AF766B" w:rsidTr="005109CC">
        <w:trPr>
          <w:trHeight w:val="283"/>
          <w:jc w:val="center"/>
        </w:trPr>
        <w:tc>
          <w:tcPr>
            <w:tcW w:w="1954" w:type="dxa"/>
            <w:tcBorders>
              <w:top w:val="nil"/>
              <w:left w:val="single" w:sz="4" w:space="0" w:color="auto"/>
              <w:bottom w:val="single" w:sz="4" w:space="0" w:color="auto"/>
              <w:right w:val="single" w:sz="4" w:space="0" w:color="auto"/>
            </w:tcBorders>
            <w:shd w:val="clear" w:color="auto" w:fill="auto"/>
            <w:vAlign w:val="center"/>
            <w:hideMark/>
          </w:tcPr>
          <w:p w:rsidR="004A0768" w:rsidRPr="00AF766B" w:rsidRDefault="004A0768" w:rsidP="005109CC">
            <w:pPr>
              <w:jc w:val="center"/>
              <w:rPr>
                <w:rFonts w:cs="Arial"/>
                <w:b/>
                <w:bCs/>
                <w:sz w:val="16"/>
                <w:szCs w:val="16"/>
              </w:rPr>
            </w:pPr>
            <w:r w:rsidRPr="00AF766B">
              <w:rPr>
                <w:rFonts w:cs="Arial"/>
                <w:b/>
                <w:bCs/>
                <w:sz w:val="16"/>
                <w:szCs w:val="16"/>
              </w:rPr>
              <w:t>Total</w:t>
            </w:r>
          </w:p>
        </w:tc>
        <w:tc>
          <w:tcPr>
            <w:tcW w:w="1724" w:type="dxa"/>
            <w:tcBorders>
              <w:top w:val="nil"/>
              <w:left w:val="nil"/>
              <w:bottom w:val="single" w:sz="4" w:space="0" w:color="auto"/>
              <w:right w:val="single" w:sz="4" w:space="0" w:color="auto"/>
            </w:tcBorders>
            <w:shd w:val="clear" w:color="auto" w:fill="auto"/>
            <w:vAlign w:val="center"/>
            <w:hideMark/>
          </w:tcPr>
          <w:p w:rsidR="004A0768" w:rsidRPr="00AF766B" w:rsidRDefault="004A0768" w:rsidP="005109CC">
            <w:pPr>
              <w:jc w:val="center"/>
              <w:rPr>
                <w:rFonts w:cs="Arial"/>
                <w:b/>
                <w:bCs/>
                <w:sz w:val="16"/>
                <w:szCs w:val="16"/>
              </w:rPr>
            </w:pPr>
            <w:r w:rsidRPr="00AF766B">
              <w:rPr>
                <w:rFonts w:cs="Arial"/>
                <w:b/>
                <w:bCs/>
                <w:sz w:val="16"/>
                <w:szCs w:val="16"/>
              </w:rPr>
              <w:t>£</w:t>
            </w:r>
            <w:r>
              <w:rPr>
                <w:rFonts w:cs="Arial"/>
                <w:b/>
                <w:bCs/>
                <w:sz w:val="16"/>
                <w:szCs w:val="16"/>
              </w:rPr>
              <w:t>602,592</w:t>
            </w:r>
          </w:p>
        </w:tc>
        <w:tc>
          <w:tcPr>
            <w:tcW w:w="1751" w:type="dxa"/>
            <w:tcBorders>
              <w:top w:val="nil"/>
              <w:left w:val="nil"/>
              <w:bottom w:val="single" w:sz="4" w:space="0" w:color="auto"/>
              <w:right w:val="single" w:sz="4" w:space="0" w:color="auto"/>
            </w:tcBorders>
            <w:shd w:val="clear" w:color="auto" w:fill="auto"/>
            <w:vAlign w:val="center"/>
            <w:hideMark/>
          </w:tcPr>
          <w:p w:rsidR="004A0768" w:rsidRPr="00AF766B" w:rsidRDefault="004A0768" w:rsidP="005109CC">
            <w:pPr>
              <w:jc w:val="center"/>
              <w:rPr>
                <w:rFonts w:cs="Arial"/>
                <w:b/>
                <w:bCs/>
                <w:sz w:val="16"/>
                <w:szCs w:val="16"/>
              </w:rPr>
            </w:pPr>
            <w:r>
              <w:rPr>
                <w:rFonts w:cs="Arial"/>
                <w:b/>
                <w:bCs/>
                <w:sz w:val="16"/>
                <w:szCs w:val="16"/>
              </w:rPr>
              <w:t>£60,259</w:t>
            </w:r>
          </w:p>
        </w:tc>
        <w:tc>
          <w:tcPr>
            <w:tcW w:w="1883" w:type="dxa"/>
            <w:tcBorders>
              <w:top w:val="nil"/>
              <w:left w:val="nil"/>
              <w:bottom w:val="single" w:sz="4" w:space="0" w:color="auto"/>
              <w:right w:val="single" w:sz="4" w:space="0" w:color="auto"/>
            </w:tcBorders>
            <w:shd w:val="clear" w:color="auto" w:fill="auto"/>
            <w:vAlign w:val="center"/>
            <w:hideMark/>
          </w:tcPr>
          <w:p w:rsidR="004A0768" w:rsidRPr="00AF766B" w:rsidRDefault="004A0768" w:rsidP="005109CC">
            <w:pPr>
              <w:jc w:val="center"/>
              <w:rPr>
                <w:rFonts w:cs="Arial"/>
                <w:b/>
                <w:bCs/>
                <w:sz w:val="16"/>
                <w:szCs w:val="16"/>
              </w:rPr>
            </w:pPr>
            <w:r>
              <w:rPr>
                <w:rFonts w:cs="Arial"/>
                <w:b/>
                <w:bCs/>
                <w:sz w:val="16"/>
                <w:szCs w:val="16"/>
              </w:rPr>
              <w:t>£602,592</w:t>
            </w:r>
          </w:p>
        </w:tc>
      </w:tr>
    </w:tbl>
    <w:p w:rsidR="00047BF1" w:rsidRPr="00EF5DA6" w:rsidRDefault="00047BF1" w:rsidP="00AA5020">
      <w:pPr>
        <w:spacing w:line="276" w:lineRule="auto"/>
        <w:jc w:val="both"/>
        <w:rPr>
          <w:rFonts w:cs="Arial"/>
          <w:b/>
          <w:sz w:val="22"/>
          <w:szCs w:val="22"/>
        </w:rPr>
      </w:pPr>
    </w:p>
    <w:p w:rsidR="001E09B6" w:rsidRPr="001E09B6" w:rsidRDefault="00DA3F65" w:rsidP="001E09B6">
      <w:pPr>
        <w:pStyle w:val="ListParagraph"/>
        <w:numPr>
          <w:ilvl w:val="0"/>
          <w:numId w:val="9"/>
        </w:numPr>
        <w:spacing w:line="276" w:lineRule="auto"/>
        <w:contextualSpacing/>
        <w:jc w:val="both"/>
        <w:rPr>
          <w:rFonts w:ascii="Arial" w:hAnsi="Arial" w:cs="Arial"/>
          <w:b/>
          <w:sz w:val="24"/>
        </w:rPr>
      </w:pPr>
      <w:r w:rsidRPr="00EF5DA6">
        <w:rPr>
          <w:rFonts w:ascii="Arial" w:hAnsi="Arial" w:cs="Arial"/>
          <w:b/>
          <w:sz w:val="24"/>
        </w:rPr>
        <w:t>Benefits</w:t>
      </w:r>
    </w:p>
    <w:p w:rsidR="004A0768" w:rsidRDefault="004A0768" w:rsidP="003A5312">
      <w:pPr>
        <w:pStyle w:val="ListParagraph"/>
        <w:numPr>
          <w:ilvl w:val="1"/>
          <w:numId w:val="9"/>
        </w:numPr>
        <w:spacing w:before="240"/>
        <w:jc w:val="both"/>
        <w:rPr>
          <w:rFonts w:ascii="Arial" w:hAnsi="Arial" w:cs="Arial"/>
        </w:rPr>
      </w:pPr>
      <w:r w:rsidRPr="00AF766B">
        <w:rPr>
          <w:rFonts w:ascii="Arial" w:hAnsi="Arial" w:cs="Arial"/>
        </w:rPr>
        <w:t xml:space="preserve">Consumers will benefit from additional information and choice and industry may be able to command greater sustainability premiums as products are distinguished in more detail by gear types. </w:t>
      </w:r>
      <w:r>
        <w:rPr>
          <w:rFonts w:ascii="Arial" w:hAnsi="Arial" w:cs="Arial"/>
        </w:rPr>
        <w:t xml:space="preserve"> Ensuring enforcement of the marketing standards and labelling requirements will protect customers, who can be sure of what they are buying and its quality. </w:t>
      </w:r>
    </w:p>
    <w:p w:rsidR="004A0768" w:rsidRDefault="004A0768" w:rsidP="003A5312">
      <w:pPr>
        <w:pStyle w:val="ListParagraph"/>
        <w:numPr>
          <w:ilvl w:val="1"/>
          <w:numId w:val="9"/>
        </w:numPr>
        <w:spacing w:before="240"/>
        <w:jc w:val="both"/>
        <w:rPr>
          <w:rFonts w:ascii="Arial" w:hAnsi="Arial" w:cs="Arial"/>
          <w:sz w:val="20"/>
        </w:rPr>
      </w:pPr>
      <w:r w:rsidRPr="00E12F91">
        <w:rPr>
          <w:rFonts w:ascii="Arial" w:hAnsi="Arial" w:cs="Arial"/>
        </w:rPr>
        <w:t>The benefits of the preferred option 1 are not quantified or monetised as it has not been possible given the existing evidence base. In addition, implementation of the CMO reform in E &amp; W will be complimented by policies under the CFP and</w:t>
      </w:r>
      <w:r>
        <w:rPr>
          <w:rFonts w:ascii="Arial" w:hAnsi="Arial" w:cs="Arial"/>
        </w:rPr>
        <w:t xml:space="preserve"> EMFF that aim to improve industry profitability and sustainability; making attribution of benefits to the CMO alone difficult.</w:t>
      </w:r>
      <w:r w:rsidRPr="00AF766B">
        <w:rPr>
          <w:rFonts w:ascii="Arial" w:hAnsi="Arial" w:cs="Arial"/>
        </w:rPr>
        <w:t xml:space="preserve"> The consultation will seek to quantify and monetise </w:t>
      </w:r>
      <w:r>
        <w:rPr>
          <w:rFonts w:ascii="Arial" w:hAnsi="Arial" w:cs="Arial"/>
        </w:rPr>
        <w:t xml:space="preserve">benefits </w:t>
      </w:r>
      <w:r w:rsidRPr="00AF766B">
        <w:rPr>
          <w:rFonts w:ascii="Arial" w:hAnsi="Arial" w:cs="Arial"/>
        </w:rPr>
        <w:t>under CMO implementation in E</w:t>
      </w:r>
      <w:r>
        <w:rPr>
          <w:rFonts w:ascii="Arial" w:hAnsi="Arial" w:cs="Arial"/>
        </w:rPr>
        <w:t xml:space="preserve"> &amp; W</w:t>
      </w:r>
      <w:r w:rsidRPr="00AF766B">
        <w:rPr>
          <w:rFonts w:ascii="Arial" w:hAnsi="Arial" w:cs="Arial"/>
        </w:rPr>
        <w:t>.</w:t>
      </w:r>
      <w:r w:rsidRPr="00AF766B">
        <w:rPr>
          <w:rFonts w:ascii="Arial" w:hAnsi="Arial" w:cs="Arial"/>
          <w:sz w:val="20"/>
        </w:rPr>
        <w:t xml:space="preserve"> </w:t>
      </w:r>
    </w:p>
    <w:p w:rsidR="00551D82" w:rsidRPr="004854F9" w:rsidRDefault="00551D82" w:rsidP="00AA5020">
      <w:pPr>
        <w:spacing w:line="276" w:lineRule="auto"/>
        <w:jc w:val="both"/>
        <w:rPr>
          <w:rFonts w:cs="Arial"/>
          <w:sz w:val="22"/>
          <w:szCs w:val="22"/>
        </w:rPr>
      </w:pPr>
    </w:p>
    <w:p w:rsidR="00DA3F65" w:rsidRPr="004A0768" w:rsidRDefault="000F4056" w:rsidP="003A5312">
      <w:pPr>
        <w:pStyle w:val="ListParagraph"/>
        <w:numPr>
          <w:ilvl w:val="0"/>
          <w:numId w:val="9"/>
        </w:numPr>
        <w:spacing w:line="276" w:lineRule="auto"/>
        <w:jc w:val="both"/>
        <w:rPr>
          <w:rFonts w:ascii="Arial" w:hAnsi="Arial" w:cs="Arial"/>
          <w:sz w:val="24"/>
        </w:rPr>
      </w:pPr>
      <w:r w:rsidRPr="004A0768">
        <w:rPr>
          <w:rFonts w:ascii="Arial" w:hAnsi="Arial" w:cs="Arial"/>
          <w:b/>
          <w:sz w:val="24"/>
        </w:rPr>
        <w:t>Conclusion</w:t>
      </w:r>
    </w:p>
    <w:p w:rsidR="000F4056" w:rsidRPr="004854F9" w:rsidRDefault="000F4056" w:rsidP="00AA5020">
      <w:pPr>
        <w:pStyle w:val="ListParagraph"/>
        <w:spacing w:line="276" w:lineRule="auto"/>
        <w:ind w:left="360"/>
        <w:jc w:val="both"/>
        <w:rPr>
          <w:rFonts w:ascii="Arial" w:hAnsi="Arial" w:cs="Arial"/>
        </w:rPr>
      </w:pPr>
    </w:p>
    <w:p w:rsidR="00DB711F" w:rsidRDefault="00D15A54" w:rsidP="00EB2D1E">
      <w:pPr>
        <w:pStyle w:val="ListParagraph"/>
        <w:numPr>
          <w:ilvl w:val="1"/>
          <w:numId w:val="9"/>
        </w:numPr>
        <w:jc w:val="both"/>
        <w:rPr>
          <w:rFonts w:ascii="Arial" w:hAnsi="Arial" w:cs="Arial"/>
        </w:rPr>
      </w:pPr>
      <w:r w:rsidRPr="00EB2D1E">
        <w:rPr>
          <w:rFonts w:ascii="Arial" w:hAnsi="Arial" w:cs="Arial"/>
        </w:rPr>
        <w:t xml:space="preserve">The </w:t>
      </w:r>
      <w:r w:rsidR="004C3C6C" w:rsidRPr="00EB2D1E">
        <w:rPr>
          <w:rFonts w:ascii="Arial" w:hAnsi="Arial" w:cs="Arial"/>
        </w:rPr>
        <w:t>Common Organisation of the Mark</w:t>
      </w:r>
      <w:r w:rsidR="00B80721" w:rsidRPr="00EB2D1E">
        <w:rPr>
          <w:rFonts w:ascii="Arial" w:hAnsi="Arial" w:cs="Arial"/>
        </w:rPr>
        <w:t>ets in Fishery and Aquaculture P</w:t>
      </w:r>
      <w:r w:rsidR="004C3C6C" w:rsidRPr="00EB2D1E">
        <w:rPr>
          <w:rFonts w:ascii="Arial" w:hAnsi="Arial" w:cs="Arial"/>
        </w:rPr>
        <w:t xml:space="preserve">roducts </w:t>
      </w:r>
      <w:r w:rsidR="00416FC0">
        <w:rPr>
          <w:rFonts w:ascii="Arial" w:hAnsi="Arial" w:cs="Arial"/>
        </w:rPr>
        <w:t>was</w:t>
      </w:r>
      <w:r w:rsidR="004D2123" w:rsidRPr="00EB2D1E">
        <w:rPr>
          <w:rFonts w:ascii="Arial" w:hAnsi="Arial" w:cs="Arial"/>
        </w:rPr>
        <w:t xml:space="preserve"> outdated and needed</w:t>
      </w:r>
      <w:r w:rsidR="004C3C6C" w:rsidRPr="00EB2D1E">
        <w:rPr>
          <w:rFonts w:ascii="Arial" w:hAnsi="Arial" w:cs="Arial"/>
        </w:rPr>
        <w:t xml:space="preserve"> revising through simplification and added transparency to </w:t>
      </w:r>
      <w:r w:rsidR="001F3E81">
        <w:rPr>
          <w:rFonts w:ascii="Arial" w:hAnsi="Arial" w:cs="Arial"/>
        </w:rPr>
        <w:t>meet the objectives of the new CFP and to achieve</w:t>
      </w:r>
      <w:r w:rsidR="004C3C6C" w:rsidRPr="00EB2D1E">
        <w:rPr>
          <w:rFonts w:ascii="Arial" w:hAnsi="Arial" w:cs="Arial"/>
        </w:rPr>
        <w:t xml:space="preserve"> consistency with other legislation (e.g. the Food Information Regulations). Reform of the CMO aims to bring it into line with current modern market practices and to provide a strong, efficient and transparent internal market for fisheries and aquaculture products and to ensure there is maximum added value.</w:t>
      </w:r>
    </w:p>
    <w:p w:rsidR="00DB711F" w:rsidRDefault="00DB711F" w:rsidP="00DB711F">
      <w:pPr>
        <w:pStyle w:val="ListParagraph"/>
        <w:ind w:left="435"/>
        <w:jc w:val="both"/>
        <w:rPr>
          <w:rFonts w:ascii="Arial" w:hAnsi="Arial" w:cs="Arial"/>
        </w:rPr>
      </w:pPr>
    </w:p>
    <w:p w:rsidR="00841DB1" w:rsidRPr="00EB2D1E" w:rsidRDefault="00C5335F" w:rsidP="00EB2D1E">
      <w:pPr>
        <w:pStyle w:val="ListParagraph"/>
        <w:numPr>
          <w:ilvl w:val="1"/>
          <w:numId w:val="9"/>
        </w:numPr>
        <w:jc w:val="both"/>
        <w:rPr>
          <w:rFonts w:ascii="Arial" w:hAnsi="Arial" w:cs="Arial"/>
        </w:rPr>
      </w:pPr>
      <w:r w:rsidRPr="00EB2D1E">
        <w:rPr>
          <w:rFonts w:ascii="Arial" w:hAnsi="Arial" w:cs="Arial"/>
        </w:rPr>
        <w:t xml:space="preserve">The </w:t>
      </w:r>
      <w:r w:rsidR="0071569A" w:rsidRPr="00EB2D1E">
        <w:rPr>
          <w:rFonts w:ascii="Arial" w:hAnsi="Arial" w:cs="Arial"/>
        </w:rPr>
        <w:t>implementation</w:t>
      </w:r>
      <w:r w:rsidRPr="00EB2D1E">
        <w:rPr>
          <w:rFonts w:ascii="Arial" w:hAnsi="Arial" w:cs="Arial"/>
        </w:rPr>
        <w:t xml:space="preserve"> of the CMO in England and Wales aims to meet these objectives but also minimise burdens on businesses</w:t>
      </w:r>
      <w:r w:rsidR="00DB711F">
        <w:rPr>
          <w:rFonts w:ascii="Arial" w:hAnsi="Arial" w:cs="Arial"/>
        </w:rPr>
        <w:t xml:space="preserve"> and government</w:t>
      </w:r>
      <w:r w:rsidRPr="00EB2D1E">
        <w:rPr>
          <w:rFonts w:ascii="Arial" w:hAnsi="Arial" w:cs="Arial"/>
        </w:rPr>
        <w:t>.</w:t>
      </w:r>
      <w:r w:rsidR="00230A3B" w:rsidRPr="00EB2D1E">
        <w:rPr>
          <w:rFonts w:ascii="Arial" w:hAnsi="Arial" w:cs="Arial"/>
        </w:rPr>
        <w:t xml:space="preserve"> The </w:t>
      </w:r>
      <w:r w:rsidR="00B56163" w:rsidRPr="00EB2D1E">
        <w:rPr>
          <w:rFonts w:ascii="Arial" w:hAnsi="Arial" w:cs="Arial"/>
        </w:rPr>
        <w:t>G</w:t>
      </w:r>
      <w:r w:rsidR="00230A3B" w:rsidRPr="00EB2D1E">
        <w:rPr>
          <w:rFonts w:ascii="Arial" w:hAnsi="Arial" w:cs="Arial"/>
        </w:rPr>
        <w:t>overnment’s approach is necessary and proportionate and it provides industry with certainty by stating exactly what enforcement agencies w</w:t>
      </w:r>
      <w:r w:rsidR="00DB711F">
        <w:rPr>
          <w:rFonts w:ascii="Arial" w:hAnsi="Arial" w:cs="Arial"/>
        </w:rPr>
        <w:t>ill do. The proposed changes to national legislation in England and Wales are necessary to fully implement the CMO and the enforcement powers pro</w:t>
      </w:r>
      <w:r w:rsidR="00416FC0">
        <w:rPr>
          <w:rFonts w:ascii="Arial" w:hAnsi="Arial" w:cs="Arial"/>
        </w:rPr>
        <w:t>po</w:t>
      </w:r>
      <w:r w:rsidR="00DB711F">
        <w:rPr>
          <w:rFonts w:ascii="Arial" w:hAnsi="Arial" w:cs="Arial"/>
        </w:rPr>
        <w:t xml:space="preserve">sed are a proportionate response to the requirements of the EU regulation. </w:t>
      </w:r>
      <w:r w:rsidR="00AA52D1" w:rsidRPr="00EB2D1E">
        <w:rPr>
          <w:rFonts w:ascii="Arial" w:hAnsi="Arial" w:cs="Arial"/>
        </w:rPr>
        <w:t>Overall, if the reformed CMO meets its objectives, supply of fishery and aquaculture products will be more stable and so will their prices. The market will be more efficient, transpar</w:t>
      </w:r>
      <w:r w:rsidR="00EA4C18" w:rsidRPr="00EB2D1E">
        <w:rPr>
          <w:rFonts w:ascii="Arial" w:hAnsi="Arial" w:cs="Arial"/>
        </w:rPr>
        <w:t>ent, sustainable and profitable.</w:t>
      </w:r>
      <w:r w:rsidR="00841DB1" w:rsidRPr="00EB2D1E">
        <w:rPr>
          <w:rFonts w:ascii="Arial" w:hAnsi="Arial" w:cs="Arial"/>
        </w:rPr>
        <w:t xml:space="preserve"> </w:t>
      </w:r>
    </w:p>
    <w:p w:rsidR="00655DC3" w:rsidRPr="004854F9" w:rsidRDefault="00655DC3" w:rsidP="00AA5020">
      <w:pPr>
        <w:spacing w:line="276" w:lineRule="auto"/>
        <w:contextualSpacing/>
        <w:jc w:val="both"/>
        <w:rPr>
          <w:rFonts w:cs="Arial"/>
          <w:sz w:val="22"/>
          <w:szCs w:val="22"/>
        </w:rPr>
      </w:pPr>
    </w:p>
    <w:p w:rsidR="00CA13A2" w:rsidRPr="0090602B" w:rsidRDefault="00CA13A2" w:rsidP="0090602B">
      <w:pPr>
        <w:spacing w:line="276" w:lineRule="auto"/>
        <w:jc w:val="both"/>
        <w:rPr>
          <w:rFonts w:cs="Arial"/>
          <w:sz w:val="22"/>
          <w:szCs w:val="22"/>
        </w:rPr>
      </w:pPr>
      <w:r w:rsidRPr="0090602B">
        <w:rPr>
          <w:rFonts w:cs="Arial"/>
          <w:b/>
          <w:sz w:val="22"/>
          <w:szCs w:val="22"/>
        </w:rPr>
        <w:t>Small firm impact</w:t>
      </w:r>
      <w:r w:rsidRPr="0090602B">
        <w:rPr>
          <w:rFonts w:cs="Arial"/>
          <w:sz w:val="22"/>
          <w:szCs w:val="22"/>
        </w:rPr>
        <w:t xml:space="preserve">: No firms are exempt from this policy as </w:t>
      </w:r>
      <w:r w:rsidR="00732A7F" w:rsidRPr="0090602B">
        <w:rPr>
          <w:rFonts w:cs="Arial"/>
          <w:sz w:val="22"/>
          <w:szCs w:val="22"/>
        </w:rPr>
        <w:t>the CMO</w:t>
      </w:r>
      <w:r w:rsidRPr="0090602B">
        <w:rPr>
          <w:rFonts w:cs="Arial"/>
          <w:sz w:val="22"/>
          <w:szCs w:val="22"/>
        </w:rPr>
        <w:t xml:space="preserve"> </w:t>
      </w:r>
      <w:r w:rsidR="00732A7F" w:rsidRPr="0090602B">
        <w:rPr>
          <w:rFonts w:cs="Arial"/>
          <w:sz w:val="22"/>
          <w:szCs w:val="22"/>
        </w:rPr>
        <w:t>applies to the entire fisheries and aquaculture</w:t>
      </w:r>
      <w:r w:rsidRPr="0090602B">
        <w:rPr>
          <w:rFonts w:cs="Arial"/>
          <w:sz w:val="22"/>
          <w:szCs w:val="22"/>
        </w:rPr>
        <w:t xml:space="preserve"> industry</w:t>
      </w:r>
      <w:r w:rsidR="00732A7F" w:rsidRPr="0090602B">
        <w:rPr>
          <w:rFonts w:cs="Arial"/>
          <w:sz w:val="22"/>
          <w:szCs w:val="22"/>
        </w:rPr>
        <w:t xml:space="preserve"> in England and Wales.</w:t>
      </w:r>
      <w:r w:rsidRPr="0090602B">
        <w:rPr>
          <w:rFonts w:cs="Arial"/>
          <w:sz w:val="22"/>
          <w:szCs w:val="22"/>
        </w:rPr>
        <w:t xml:space="preserve"> </w:t>
      </w:r>
      <w:r w:rsidR="00DB711F" w:rsidRPr="0090602B">
        <w:rPr>
          <w:rFonts w:cs="Arial"/>
          <w:sz w:val="22"/>
          <w:szCs w:val="22"/>
        </w:rPr>
        <w:t xml:space="preserve">It is not appropriate to exclude small businesses from the proposed legislation changes as the majority of the industry is composed of smaller business and excluding them would mean CMO objectives could not be met. </w:t>
      </w:r>
      <w:r w:rsidR="00732A7F" w:rsidRPr="0090602B">
        <w:rPr>
          <w:rFonts w:cs="Arial"/>
          <w:sz w:val="22"/>
          <w:szCs w:val="22"/>
        </w:rPr>
        <w:t>However, as</w:t>
      </w:r>
      <w:r w:rsidRPr="0090602B">
        <w:rPr>
          <w:rFonts w:cs="Arial"/>
          <w:sz w:val="22"/>
          <w:szCs w:val="22"/>
        </w:rPr>
        <w:t xml:space="preserve"> it is implemented in the most c</w:t>
      </w:r>
      <w:r w:rsidR="00732A7F" w:rsidRPr="0090602B">
        <w:rPr>
          <w:rFonts w:cs="Arial"/>
          <w:sz w:val="22"/>
          <w:szCs w:val="22"/>
        </w:rPr>
        <w:t>ost effective and efficient way, there is no disproportionate impact on small businesses.</w:t>
      </w:r>
      <w:r w:rsidRPr="0090602B">
        <w:rPr>
          <w:rFonts w:cs="Arial"/>
          <w:sz w:val="22"/>
          <w:szCs w:val="22"/>
        </w:rPr>
        <w:t xml:space="preserve"> </w:t>
      </w:r>
    </w:p>
    <w:p w:rsidR="00CA13A2" w:rsidRPr="0090602B" w:rsidRDefault="00CA13A2" w:rsidP="0090602B">
      <w:pPr>
        <w:spacing w:line="276" w:lineRule="auto"/>
        <w:jc w:val="both"/>
        <w:rPr>
          <w:rFonts w:cs="Arial"/>
          <w:sz w:val="22"/>
          <w:szCs w:val="22"/>
        </w:rPr>
      </w:pPr>
    </w:p>
    <w:p w:rsidR="00CA13A2" w:rsidRPr="0090602B" w:rsidRDefault="00CA13A2" w:rsidP="0090602B">
      <w:pPr>
        <w:spacing w:line="276" w:lineRule="auto"/>
        <w:jc w:val="both"/>
        <w:rPr>
          <w:rFonts w:cs="Arial"/>
          <w:sz w:val="22"/>
          <w:szCs w:val="22"/>
        </w:rPr>
      </w:pPr>
      <w:r w:rsidRPr="0090602B">
        <w:rPr>
          <w:rFonts w:cs="Arial"/>
          <w:b/>
          <w:sz w:val="22"/>
          <w:szCs w:val="22"/>
        </w:rPr>
        <w:t>One in Two Out status</w:t>
      </w:r>
      <w:r w:rsidRPr="0090602B">
        <w:rPr>
          <w:rFonts w:cs="Arial"/>
          <w:sz w:val="22"/>
          <w:szCs w:val="22"/>
        </w:rPr>
        <w:t xml:space="preserve">: </w:t>
      </w:r>
      <w:r w:rsidR="00B80721" w:rsidRPr="0090602B">
        <w:rPr>
          <w:rFonts w:cs="Arial"/>
          <w:sz w:val="22"/>
          <w:szCs w:val="22"/>
        </w:rPr>
        <w:t xml:space="preserve">The Common Organisation of the Markets in Fishery and Aquaculture products </w:t>
      </w:r>
      <w:r w:rsidRPr="0090602B">
        <w:rPr>
          <w:rFonts w:cs="Arial"/>
          <w:sz w:val="22"/>
          <w:szCs w:val="22"/>
        </w:rPr>
        <w:t>EU obligation as defined in the reformed CFP basic regulation</w:t>
      </w:r>
      <w:r w:rsidR="00B80721" w:rsidRPr="0090602B">
        <w:rPr>
          <w:rFonts w:cs="Arial"/>
          <w:sz w:val="22"/>
          <w:szCs w:val="22"/>
        </w:rPr>
        <w:t xml:space="preserve"> and is legally binding (carries an infraction </w:t>
      </w:r>
      <w:r w:rsidR="00B80721" w:rsidRPr="0090602B">
        <w:rPr>
          <w:rFonts w:cs="Arial"/>
          <w:sz w:val="22"/>
          <w:szCs w:val="22"/>
        </w:rPr>
        <w:lastRenderedPageBreak/>
        <w:t>risk if not implemented correctly). The preferred policy option implements the CMO in the most efficient and cost effective way, ensuring minimum cost to industry, and is therefore not gold plating. As such, this measure does not fall under one-in two-out rules.</w:t>
      </w:r>
    </w:p>
    <w:p w:rsidR="008B310F" w:rsidRPr="0090602B" w:rsidRDefault="008B310F" w:rsidP="0090602B">
      <w:pPr>
        <w:spacing w:line="276" w:lineRule="auto"/>
        <w:jc w:val="both"/>
        <w:rPr>
          <w:rFonts w:cs="Arial"/>
          <w:sz w:val="22"/>
          <w:szCs w:val="22"/>
        </w:rPr>
      </w:pPr>
    </w:p>
    <w:p w:rsidR="00132EE5" w:rsidRPr="0090602B" w:rsidRDefault="00132EE5" w:rsidP="0090602B">
      <w:pPr>
        <w:pStyle w:val="Heading2"/>
        <w:spacing w:before="0"/>
        <w:jc w:val="both"/>
        <w:rPr>
          <w:b/>
          <w:sz w:val="22"/>
        </w:rPr>
      </w:pPr>
      <w:r w:rsidRPr="0090602B">
        <w:rPr>
          <w:b/>
          <w:sz w:val="22"/>
        </w:rPr>
        <w:t>Direct costs and benefits to business calculations (following OITO methodology)</w:t>
      </w:r>
    </w:p>
    <w:p w:rsidR="00132EE5" w:rsidRPr="0090602B" w:rsidRDefault="00132EE5" w:rsidP="0090602B">
      <w:pPr>
        <w:pStyle w:val="Default"/>
        <w:jc w:val="both"/>
        <w:rPr>
          <w:sz w:val="22"/>
          <w:szCs w:val="22"/>
        </w:rPr>
      </w:pPr>
      <w:r w:rsidRPr="0090602B">
        <w:rPr>
          <w:sz w:val="22"/>
          <w:szCs w:val="22"/>
        </w:rPr>
        <w:t>This is a</w:t>
      </w:r>
      <w:r w:rsidR="008B310F" w:rsidRPr="0090602B">
        <w:rPr>
          <w:sz w:val="22"/>
          <w:szCs w:val="22"/>
        </w:rPr>
        <w:t>n EU measure and</w:t>
      </w:r>
      <w:r w:rsidRPr="0090602B">
        <w:rPr>
          <w:sz w:val="22"/>
          <w:szCs w:val="22"/>
        </w:rPr>
        <w:t xml:space="preserve"> it does not fall under the scope of OITO and therefore the direct costs and benefits are not described here (although they are discussed in the costs and benefits sections).</w:t>
      </w:r>
    </w:p>
    <w:p w:rsidR="00132EE5" w:rsidRPr="0090602B" w:rsidRDefault="00132EE5" w:rsidP="0090602B">
      <w:pPr>
        <w:pStyle w:val="Heading2"/>
        <w:jc w:val="both"/>
        <w:rPr>
          <w:b/>
          <w:sz w:val="22"/>
        </w:rPr>
      </w:pPr>
      <w:r w:rsidRPr="0090602B">
        <w:rPr>
          <w:b/>
          <w:sz w:val="22"/>
        </w:rPr>
        <w:t>Competition Assessment</w:t>
      </w:r>
    </w:p>
    <w:p w:rsidR="00132EE5" w:rsidRPr="0090602B" w:rsidRDefault="00132EE5" w:rsidP="0090602B">
      <w:pPr>
        <w:jc w:val="both"/>
        <w:rPr>
          <w:rFonts w:cs="Arial"/>
          <w:sz w:val="22"/>
          <w:szCs w:val="22"/>
        </w:rPr>
      </w:pPr>
      <w:r w:rsidRPr="0090602B">
        <w:rPr>
          <w:rFonts w:cs="Arial"/>
          <w:sz w:val="22"/>
          <w:szCs w:val="22"/>
        </w:rPr>
        <w:t xml:space="preserve">This </w:t>
      </w:r>
      <w:r w:rsidR="008B310F" w:rsidRPr="0090602B">
        <w:rPr>
          <w:rFonts w:cs="Arial"/>
          <w:sz w:val="22"/>
          <w:szCs w:val="22"/>
        </w:rPr>
        <w:t>CMO is applicable to all businesses involved in the production of the seafood products listed in Annex 1</w:t>
      </w:r>
      <w:r w:rsidRPr="0090602B">
        <w:rPr>
          <w:rFonts w:cs="Arial"/>
          <w:sz w:val="22"/>
          <w:szCs w:val="22"/>
        </w:rPr>
        <w:t xml:space="preserve"> the European legislation</w:t>
      </w:r>
      <w:r w:rsidR="008B310F" w:rsidRPr="0090602B">
        <w:rPr>
          <w:rFonts w:cs="Arial"/>
          <w:sz w:val="22"/>
          <w:szCs w:val="22"/>
        </w:rPr>
        <w:t xml:space="preserve"> (and included as Annex A here) in England and Wales</w:t>
      </w:r>
      <w:r w:rsidRPr="0090602B">
        <w:rPr>
          <w:rFonts w:cs="Arial"/>
          <w:sz w:val="22"/>
          <w:szCs w:val="22"/>
        </w:rPr>
        <w:t xml:space="preserve">.  </w:t>
      </w:r>
      <w:r w:rsidR="008B310F" w:rsidRPr="0090602B">
        <w:rPr>
          <w:rFonts w:cs="Arial"/>
          <w:sz w:val="22"/>
          <w:szCs w:val="22"/>
        </w:rPr>
        <w:t>However, as the changes proposed here are minor relative to the baseline, changes to the competition as a result of implementation are not expected.</w:t>
      </w:r>
    </w:p>
    <w:p w:rsidR="00132EE5" w:rsidRPr="0090602B" w:rsidRDefault="00132EE5" w:rsidP="0090602B">
      <w:pPr>
        <w:pStyle w:val="Heading2"/>
        <w:jc w:val="both"/>
        <w:rPr>
          <w:b/>
          <w:sz w:val="22"/>
        </w:rPr>
      </w:pPr>
      <w:r w:rsidRPr="0090602B">
        <w:rPr>
          <w:b/>
          <w:sz w:val="22"/>
        </w:rPr>
        <w:t>Monitoring and Evaluation</w:t>
      </w:r>
    </w:p>
    <w:p w:rsidR="00C16525" w:rsidRPr="0090602B" w:rsidRDefault="00C16525" w:rsidP="0090602B">
      <w:pPr>
        <w:pStyle w:val="Heading2"/>
        <w:jc w:val="both"/>
        <w:rPr>
          <w:color w:val="auto"/>
          <w:sz w:val="22"/>
        </w:rPr>
      </w:pPr>
      <w:r w:rsidRPr="0090602B">
        <w:rPr>
          <w:color w:val="auto"/>
          <w:sz w:val="22"/>
        </w:rPr>
        <w:t>The revised CMO will be reviewed in 2019 by Defra and by the commission in 2022. Further reforms of the CMO could be negotiated from this date if necessary.</w:t>
      </w:r>
    </w:p>
    <w:p w:rsidR="00132EE5" w:rsidRPr="0090602B" w:rsidRDefault="00132EE5" w:rsidP="0090602B">
      <w:pPr>
        <w:pStyle w:val="Heading2"/>
        <w:jc w:val="both"/>
        <w:rPr>
          <w:b/>
          <w:sz w:val="22"/>
        </w:rPr>
      </w:pPr>
      <w:r w:rsidRPr="0090602B">
        <w:rPr>
          <w:b/>
          <w:sz w:val="22"/>
        </w:rPr>
        <w:t>Enforcement and Sanctions:</w:t>
      </w:r>
    </w:p>
    <w:p w:rsidR="00567007" w:rsidRPr="0090602B" w:rsidRDefault="00132EE5" w:rsidP="0090602B">
      <w:pPr>
        <w:spacing w:after="240" w:line="276" w:lineRule="auto"/>
        <w:contextualSpacing/>
        <w:jc w:val="both"/>
        <w:rPr>
          <w:rFonts w:cs="Arial"/>
          <w:sz w:val="22"/>
          <w:szCs w:val="22"/>
        </w:rPr>
      </w:pPr>
      <w:r w:rsidRPr="0090602B">
        <w:rPr>
          <w:rFonts w:cs="Arial"/>
          <w:sz w:val="22"/>
          <w:szCs w:val="22"/>
        </w:rPr>
        <w:t xml:space="preserve">Each </w:t>
      </w:r>
      <w:r w:rsidR="007E59A4">
        <w:rPr>
          <w:rFonts w:cs="Arial"/>
          <w:sz w:val="22"/>
          <w:szCs w:val="22"/>
        </w:rPr>
        <w:t>D</w:t>
      </w:r>
      <w:r w:rsidR="00C16525" w:rsidRPr="0090602B">
        <w:rPr>
          <w:rFonts w:cs="Arial"/>
          <w:sz w:val="22"/>
          <w:szCs w:val="22"/>
        </w:rPr>
        <w:t xml:space="preserve">evolved </w:t>
      </w:r>
      <w:r w:rsidR="007E59A4">
        <w:rPr>
          <w:rFonts w:cs="Arial"/>
          <w:sz w:val="22"/>
          <w:szCs w:val="22"/>
        </w:rPr>
        <w:t>A</w:t>
      </w:r>
      <w:r w:rsidRPr="0090602B">
        <w:rPr>
          <w:rFonts w:cs="Arial"/>
          <w:sz w:val="22"/>
          <w:szCs w:val="22"/>
        </w:rPr>
        <w:t xml:space="preserve">dministration is responsible for </w:t>
      </w:r>
      <w:r w:rsidR="00C16525" w:rsidRPr="0090602B">
        <w:rPr>
          <w:rFonts w:cs="Arial"/>
          <w:sz w:val="22"/>
          <w:szCs w:val="22"/>
        </w:rPr>
        <w:t>enforcing the requirements of the reformed CMO. The powers proposed for the MMO, WG and Trading Standards officers</w:t>
      </w:r>
      <w:r w:rsidR="001F3E81">
        <w:rPr>
          <w:rFonts w:cs="Arial"/>
          <w:sz w:val="22"/>
          <w:szCs w:val="22"/>
        </w:rPr>
        <w:t xml:space="preserve"> </w:t>
      </w:r>
      <w:r w:rsidR="00C16525" w:rsidRPr="0090602B">
        <w:rPr>
          <w:rFonts w:cs="Arial"/>
          <w:sz w:val="22"/>
          <w:szCs w:val="22"/>
        </w:rPr>
        <w:t>are a proportionate response to the issues. Enforcement officers already carry out routine visits to markets, processors and producer organisations to check that business complies with the legislation.  These enforcement officers may take enforcement action during a routine inspection.</w:t>
      </w:r>
      <w:r w:rsidR="00567007" w:rsidRPr="0090602B">
        <w:rPr>
          <w:rFonts w:cs="Arial"/>
          <w:sz w:val="22"/>
          <w:szCs w:val="22"/>
        </w:rPr>
        <w:t xml:space="preserve"> However, no prosecutions have taken place in the last 14 years under the previous CMO EU Regulation which came into force in January 2000. The new requirements are intended to stay within the scope of existing penalties – i.e. not having more severe penalties than exist for other aspects of the marketing regime. Therefore, there are no anticipated impacts on the justice system</w:t>
      </w:r>
      <w:r w:rsidR="001F3E81">
        <w:rPr>
          <w:rFonts w:cs="Arial"/>
          <w:sz w:val="22"/>
          <w:szCs w:val="22"/>
        </w:rPr>
        <w:t xml:space="preserve"> but this is based on the assumption that compliance remains high as before</w:t>
      </w:r>
      <w:r w:rsidR="00567007" w:rsidRPr="0090602B">
        <w:rPr>
          <w:rFonts w:cs="Arial"/>
          <w:sz w:val="22"/>
          <w:szCs w:val="22"/>
        </w:rPr>
        <w:t>.</w:t>
      </w:r>
    </w:p>
    <w:p w:rsidR="00732A7F" w:rsidRPr="0090602B" w:rsidRDefault="00732A7F" w:rsidP="0090602B">
      <w:pPr>
        <w:jc w:val="both"/>
        <w:rPr>
          <w:rFonts w:cs="Arial"/>
          <w:b/>
          <w:bCs/>
          <w:color w:val="000000"/>
          <w:sz w:val="22"/>
          <w:szCs w:val="22"/>
          <w:lang w:eastAsia="en-GB"/>
        </w:rPr>
      </w:pPr>
    </w:p>
    <w:p w:rsidR="00025F1C" w:rsidRPr="0090602B" w:rsidRDefault="00025F1C" w:rsidP="0090602B">
      <w:pPr>
        <w:jc w:val="both"/>
        <w:rPr>
          <w:rFonts w:cs="Arial"/>
          <w:b/>
          <w:bCs/>
          <w:noProof/>
          <w:color w:val="000000"/>
          <w:sz w:val="22"/>
          <w:szCs w:val="22"/>
          <w:lang w:eastAsia="en-GB"/>
        </w:rPr>
      </w:pPr>
      <w:r w:rsidRPr="0090602B">
        <w:rPr>
          <w:rFonts w:cs="Arial"/>
          <w:b/>
          <w:bCs/>
          <w:noProof/>
          <w:color w:val="000000"/>
          <w:sz w:val="22"/>
          <w:szCs w:val="22"/>
          <w:lang w:eastAsia="en-GB"/>
        </w:rPr>
        <w:t>Implementation Plan</w:t>
      </w:r>
    </w:p>
    <w:p w:rsidR="0090602B" w:rsidRPr="0090602B" w:rsidRDefault="0090602B" w:rsidP="0090602B">
      <w:pPr>
        <w:jc w:val="both"/>
        <w:rPr>
          <w:rFonts w:cs="Arial"/>
          <w:b/>
          <w:bCs/>
          <w:noProof/>
          <w:color w:val="000000"/>
          <w:sz w:val="22"/>
          <w:szCs w:val="22"/>
          <w:lang w:eastAsia="en-GB"/>
        </w:rPr>
      </w:pPr>
    </w:p>
    <w:p w:rsidR="00025F1C" w:rsidRDefault="00025F1C" w:rsidP="0090602B">
      <w:pPr>
        <w:jc w:val="both"/>
        <w:rPr>
          <w:rFonts w:cs="Arial"/>
          <w:bCs/>
          <w:color w:val="000000"/>
          <w:sz w:val="22"/>
          <w:szCs w:val="22"/>
          <w:lang w:eastAsia="en-GB"/>
        </w:rPr>
      </w:pPr>
      <w:r w:rsidRPr="0090602B">
        <w:rPr>
          <w:rFonts w:cs="Arial"/>
          <w:bCs/>
          <w:color w:val="000000"/>
          <w:sz w:val="22"/>
          <w:szCs w:val="22"/>
          <w:lang w:eastAsia="en-GB"/>
        </w:rPr>
        <w:t xml:space="preserve">The </w:t>
      </w:r>
      <w:r w:rsidR="0090602B">
        <w:rPr>
          <w:rFonts w:cs="Arial"/>
          <w:bCs/>
          <w:color w:val="000000"/>
          <w:sz w:val="22"/>
          <w:szCs w:val="22"/>
          <w:lang w:eastAsia="en-GB"/>
        </w:rPr>
        <w:t>implementation of the reformed CMO is one of a suite of measures</w:t>
      </w:r>
      <w:r w:rsidR="00C31262">
        <w:rPr>
          <w:rFonts w:cs="Arial"/>
          <w:bCs/>
          <w:color w:val="000000"/>
          <w:sz w:val="22"/>
          <w:szCs w:val="22"/>
          <w:lang w:eastAsia="en-GB"/>
        </w:rPr>
        <w:t xml:space="preserve"> under the CFP. The additional labelling requirements</w:t>
      </w:r>
      <w:r w:rsidR="00F01792">
        <w:rPr>
          <w:rFonts w:cs="Arial"/>
          <w:bCs/>
          <w:color w:val="000000"/>
          <w:sz w:val="22"/>
          <w:szCs w:val="22"/>
          <w:lang w:eastAsia="en-GB"/>
        </w:rPr>
        <w:t xml:space="preserve"> of the CMO</w:t>
      </w:r>
      <w:r w:rsidR="00C31262">
        <w:rPr>
          <w:rFonts w:cs="Arial"/>
          <w:bCs/>
          <w:color w:val="000000"/>
          <w:sz w:val="22"/>
          <w:szCs w:val="22"/>
          <w:lang w:eastAsia="en-GB"/>
        </w:rPr>
        <w:t xml:space="preserve"> will come into force 13</w:t>
      </w:r>
      <w:r w:rsidR="00C31262" w:rsidRPr="00C31262">
        <w:rPr>
          <w:rFonts w:cs="Arial"/>
          <w:bCs/>
          <w:color w:val="000000"/>
          <w:sz w:val="22"/>
          <w:szCs w:val="22"/>
          <w:vertAlign w:val="superscript"/>
          <w:lang w:eastAsia="en-GB"/>
        </w:rPr>
        <w:t>th</w:t>
      </w:r>
      <w:r w:rsidR="00C31262">
        <w:rPr>
          <w:rFonts w:cs="Arial"/>
          <w:bCs/>
          <w:color w:val="000000"/>
          <w:sz w:val="22"/>
          <w:szCs w:val="22"/>
          <w:lang w:eastAsia="en-GB"/>
        </w:rPr>
        <w:t xml:space="preserve"> December 2014</w:t>
      </w:r>
      <w:r w:rsidR="00F01792">
        <w:rPr>
          <w:rFonts w:cs="Arial"/>
          <w:bCs/>
          <w:color w:val="000000"/>
          <w:sz w:val="22"/>
          <w:szCs w:val="22"/>
          <w:lang w:eastAsia="en-GB"/>
        </w:rPr>
        <w:t xml:space="preserve">. The proposed changes to national legislation to implement the CMO in E &amp; W will be consulted on during April 2014 alongside proposals to implement the EMFF in the UK and the Pelagic Landing Obligation under the CFP in England. </w:t>
      </w:r>
    </w:p>
    <w:p w:rsidR="00F01792" w:rsidRPr="0090602B" w:rsidRDefault="00F01792" w:rsidP="0090602B">
      <w:pPr>
        <w:jc w:val="both"/>
        <w:rPr>
          <w:rFonts w:cs="Arial"/>
          <w:bCs/>
          <w:color w:val="000000"/>
          <w:sz w:val="22"/>
          <w:szCs w:val="22"/>
          <w:lang w:eastAsia="en-GB"/>
        </w:rPr>
      </w:pPr>
    </w:p>
    <w:p w:rsidR="00025F1C" w:rsidRPr="0090602B" w:rsidRDefault="00025F1C" w:rsidP="0090602B">
      <w:pPr>
        <w:jc w:val="both"/>
        <w:rPr>
          <w:rFonts w:cs="Arial"/>
          <w:bCs/>
          <w:color w:val="000000"/>
          <w:sz w:val="22"/>
          <w:szCs w:val="22"/>
          <w:lang w:eastAsia="en-GB"/>
        </w:rPr>
      </w:pPr>
      <w:r w:rsidRPr="0090602B">
        <w:rPr>
          <w:rFonts w:cs="Arial"/>
          <w:bCs/>
          <w:color w:val="000000"/>
          <w:sz w:val="22"/>
          <w:szCs w:val="22"/>
          <w:lang w:eastAsia="en-GB"/>
        </w:rPr>
        <w:t>Defra will publish the Government’s response to the consultation resp</w:t>
      </w:r>
      <w:r w:rsidR="00F01792">
        <w:rPr>
          <w:rFonts w:cs="Arial"/>
          <w:bCs/>
          <w:color w:val="000000"/>
          <w:sz w:val="22"/>
          <w:szCs w:val="22"/>
          <w:lang w:eastAsia="en-GB"/>
        </w:rPr>
        <w:t>onses.  This will confirm the proposed enforcement powers and legislation changes are the most efficient and cost-effective way of implementing the reformed CMO in England and Wales.</w:t>
      </w:r>
      <w:r w:rsidR="00C16525" w:rsidRPr="0090602B">
        <w:rPr>
          <w:rFonts w:cs="Arial"/>
          <w:bCs/>
          <w:color w:val="000000"/>
          <w:sz w:val="22"/>
          <w:szCs w:val="22"/>
          <w:lang w:eastAsia="en-GB"/>
        </w:rPr>
        <w:t xml:space="preserve"> </w:t>
      </w:r>
    </w:p>
    <w:p w:rsidR="00F01792" w:rsidRDefault="00F01792" w:rsidP="00BB4086">
      <w:pPr>
        <w:rPr>
          <w:b/>
          <w:sz w:val="22"/>
          <w:szCs w:val="22"/>
        </w:rPr>
      </w:pPr>
    </w:p>
    <w:p w:rsidR="005A2338" w:rsidRDefault="005A2338" w:rsidP="00AA5020">
      <w:pPr>
        <w:spacing w:line="276" w:lineRule="auto"/>
        <w:contextualSpacing/>
        <w:jc w:val="both"/>
        <w:rPr>
          <w:b/>
          <w:sz w:val="22"/>
          <w:szCs w:val="22"/>
        </w:rPr>
      </w:pPr>
    </w:p>
    <w:p w:rsidR="00F01792" w:rsidRDefault="00F01792" w:rsidP="00AA5020">
      <w:pPr>
        <w:spacing w:line="276" w:lineRule="auto"/>
        <w:contextualSpacing/>
        <w:jc w:val="both"/>
        <w:rPr>
          <w:b/>
          <w:sz w:val="22"/>
          <w:szCs w:val="22"/>
        </w:rPr>
      </w:pPr>
    </w:p>
    <w:p w:rsidR="00F01792" w:rsidRDefault="00F01792" w:rsidP="00AA5020">
      <w:pPr>
        <w:spacing w:line="276" w:lineRule="auto"/>
        <w:contextualSpacing/>
        <w:jc w:val="both"/>
        <w:rPr>
          <w:b/>
          <w:sz w:val="22"/>
          <w:szCs w:val="22"/>
        </w:rPr>
      </w:pPr>
    </w:p>
    <w:p w:rsidR="00F01792" w:rsidRDefault="00F01792" w:rsidP="00AA5020">
      <w:pPr>
        <w:spacing w:line="276" w:lineRule="auto"/>
        <w:contextualSpacing/>
        <w:jc w:val="both"/>
        <w:rPr>
          <w:b/>
          <w:sz w:val="22"/>
          <w:szCs w:val="22"/>
        </w:rPr>
      </w:pPr>
    </w:p>
    <w:p w:rsidR="00F01792" w:rsidRDefault="00F01792" w:rsidP="00AA5020">
      <w:pPr>
        <w:spacing w:line="276" w:lineRule="auto"/>
        <w:contextualSpacing/>
        <w:jc w:val="both"/>
        <w:rPr>
          <w:b/>
          <w:sz w:val="22"/>
          <w:szCs w:val="22"/>
        </w:rPr>
      </w:pPr>
    </w:p>
    <w:p w:rsidR="00F01792" w:rsidRDefault="00F01792" w:rsidP="00AA5020">
      <w:pPr>
        <w:spacing w:line="276" w:lineRule="auto"/>
        <w:contextualSpacing/>
        <w:jc w:val="both"/>
        <w:rPr>
          <w:b/>
          <w:sz w:val="22"/>
          <w:szCs w:val="22"/>
        </w:rPr>
      </w:pPr>
    </w:p>
    <w:p w:rsidR="00F01792" w:rsidRDefault="00F01792" w:rsidP="00AA5020">
      <w:pPr>
        <w:spacing w:line="276" w:lineRule="auto"/>
        <w:contextualSpacing/>
        <w:jc w:val="both"/>
        <w:rPr>
          <w:b/>
          <w:sz w:val="22"/>
          <w:szCs w:val="22"/>
        </w:rPr>
      </w:pPr>
    </w:p>
    <w:p w:rsidR="005A2338" w:rsidRPr="004854F9" w:rsidRDefault="005A2338" w:rsidP="00AA5020">
      <w:pPr>
        <w:spacing w:line="276" w:lineRule="auto"/>
        <w:contextualSpacing/>
        <w:jc w:val="both"/>
        <w:rPr>
          <w:rFonts w:cs="Arial"/>
          <w:sz w:val="22"/>
          <w:szCs w:val="22"/>
        </w:rPr>
      </w:pPr>
    </w:p>
    <w:p w:rsidR="000F4056" w:rsidRPr="004A0768" w:rsidRDefault="000F4056" w:rsidP="003A5312">
      <w:pPr>
        <w:pStyle w:val="ListParagraph"/>
        <w:numPr>
          <w:ilvl w:val="0"/>
          <w:numId w:val="9"/>
        </w:numPr>
        <w:spacing w:line="276" w:lineRule="auto"/>
        <w:jc w:val="both"/>
        <w:rPr>
          <w:rFonts w:ascii="Arial" w:hAnsi="Arial" w:cs="Arial"/>
          <w:sz w:val="24"/>
        </w:rPr>
      </w:pPr>
      <w:r w:rsidRPr="004A0768">
        <w:rPr>
          <w:rFonts w:ascii="Arial" w:hAnsi="Arial" w:cs="Arial"/>
          <w:b/>
          <w:sz w:val="24"/>
        </w:rPr>
        <w:lastRenderedPageBreak/>
        <w:t>Annexes</w:t>
      </w:r>
    </w:p>
    <w:bookmarkEnd w:id="30"/>
    <w:p w:rsidR="00EB63F3" w:rsidRPr="00937103" w:rsidRDefault="00EB63F3" w:rsidP="0026232C">
      <w:pPr>
        <w:pStyle w:val="Annexetitre"/>
        <w:spacing w:line="276" w:lineRule="auto"/>
        <w:rPr>
          <w:rFonts w:ascii="Arial" w:hAnsi="Arial" w:cs="Arial"/>
          <w:sz w:val="22"/>
          <w:szCs w:val="22"/>
          <w:u w:val="none"/>
        </w:rPr>
      </w:pPr>
      <w:r w:rsidRPr="00937103">
        <w:rPr>
          <w:rFonts w:ascii="Arial" w:hAnsi="Arial" w:cs="Arial"/>
          <w:sz w:val="22"/>
          <w:szCs w:val="22"/>
          <w:u w:val="none"/>
        </w:rPr>
        <w:t>Annex A: Fishery and Aquacult</w:t>
      </w:r>
      <w:r w:rsidR="0026232C" w:rsidRPr="00937103">
        <w:rPr>
          <w:rFonts w:ascii="Arial" w:hAnsi="Arial" w:cs="Arial"/>
          <w:sz w:val="22"/>
          <w:szCs w:val="22"/>
          <w:u w:val="none"/>
        </w:rPr>
        <w:t>ure Products Covered by the CMO</w:t>
      </w:r>
    </w:p>
    <w:tbl>
      <w:tblPr>
        <w:tblW w:w="0" w:type="auto"/>
        <w:tblLayout w:type="fixed"/>
        <w:tblLook w:val="0000" w:firstRow="0" w:lastRow="0" w:firstColumn="0" w:lastColumn="0" w:noHBand="0" w:noVBand="0"/>
      </w:tblPr>
      <w:tblGrid>
        <w:gridCol w:w="534"/>
        <w:gridCol w:w="1417"/>
        <w:gridCol w:w="7655"/>
      </w:tblGrid>
      <w:tr w:rsidR="00FF5832" w:rsidRPr="004854F9" w:rsidTr="00BF7719">
        <w:trPr>
          <w:trHeight w:val="131"/>
        </w:trPr>
        <w:tc>
          <w:tcPr>
            <w:tcW w:w="1951" w:type="dxa"/>
            <w:gridSpan w:val="2"/>
          </w:tcPr>
          <w:p w:rsidR="00FF5832" w:rsidRPr="004854F9" w:rsidRDefault="00FF5832" w:rsidP="0026232C">
            <w:pPr>
              <w:autoSpaceDE w:val="0"/>
              <w:autoSpaceDN w:val="0"/>
              <w:adjustRightInd w:val="0"/>
              <w:rPr>
                <w:rFonts w:cs="Arial"/>
                <w:b/>
                <w:color w:val="000000"/>
                <w:sz w:val="22"/>
                <w:szCs w:val="22"/>
                <w:lang w:eastAsia="en-GB"/>
              </w:rPr>
            </w:pPr>
            <w:r w:rsidRPr="004854F9">
              <w:rPr>
                <w:rFonts w:cs="Arial"/>
                <w:b/>
                <w:color w:val="000000"/>
                <w:sz w:val="22"/>
                <w:szCs w:val="22"/>
                <w:lang w:eastAsia="en-GB"/>
              </w:rPr>
              <w:t xml:space="preserve">CN code </w:t>
            </w:r>
          </w:p>
        </w:tc>
        <w:tc>
          <w:tcPr>
            <w:tcW w:w="7655" w:type="dxa"/>
          </w:tcPr>
          <w:p w:rsidR="00FF5832" w:rsidRPr="004854F9" w:rsidRDefault="00FF5832" w:rsidP="0026232C">
            <w:pPr>
              <w:autoSpaceDE w:val="0"/>
              <w:autoSpaceDN w:val="0"/>
              <w:adjustRightInd w:val="0"/>
              <w:rPr>
                <w:rFonts w:cs="Arial"/>
                <w:b/>
                <w:color w:val="000000"/>
                <w:sz w:val="22"/>
                <w:szCs w:val="22"/>
                <w:lang w:eastAsia="en-GB"/>
              </w:rPr>
            </w:pPr>
            <w:r w:rsidRPr="004854F9">
              <w:rPr>
                <w:rFonts w:cs="Arial"/>
                <w:b/>
                <w:color w:val="000000"/>
                <w:sz w:val="22"/>
                <w:szCs w:val="22"/>
                <w:lang w:eastAsia="en-GB"/>
              </w:rPr>
              <w:t xml:space="preserve">Description of the goods </w:t>
            </w:r>
          </w:p>
        </w:tc>
      </w:tr>
      <w:tr w:rsidR="00FF5832" w:rsidRPr="004854F9" w:rsidTr="00BF7719">
        <w:trPr>
          <w:trHeight w:val="131"/>
        </w:trPr>
        <w:tc>
          <w:tcPr>
            <w:tcW w:w="534"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(a) </w:t>
            </w:r>
          </w:p>
        </w:tc>
        <w:tc>
          <w:tcPr>
            <w:tcW w:w="1417"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0301 </w:t>
            </w:r>
          </w:p>
        </w:tc>
        <w:tc>
          <w:tcPr>
            <w:tcW w:w="7655"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Live fish </w:t>
            </w:r>
          </w:p>
        </w:tc>
      </w:tr>
      <w:tr w:rsidR="00BF7719" w:rsidRPr="004854F9" w:rsidTr="00BF7719">
        <w:trPr>
          <w:gridBefore w:val="1"/>
          <w:wBefore w:w="534" w:type="dxa"/>
          <w:trHeight w:val="131"/>
        </w:trPr>
        <w:tc>
          <w:tcPr>
            <w:tcW w:w="1417"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0302 </w:t>
            </w:r>
          </w:p>
        </w:tc>
        <w:tc>
          <w:tcPr>
            <w:tcW w:w="7655"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Fish, fresh or chilled, excluding fish fillets and other fish meat of heading 0304 </w:t>
            </w:r>
          </w:p>
        </w:tc>
      </w:tr>
      <w:tr w:rsidR="00BF7719" w:rsidRPr="004854F9" w:rsidTr="00BF7719">
        <w:trPr>
          <w:gridBefore w:val="1"/>
          <w:wBefore w:w="534" w:type="dxa"/>
          <w:trHeight w:val="131"/>
        </w:trPr>
        <w:tc>
          <w:tcPr>
            <w:tcW w:w="1417"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0303 </w:t>
            </w:r>
          </w:p>
        </w:tc>
        <w:tc>
          <w:tcPr>
            <w:tcW w:w="7655"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Fish, frozen, excluding fish fillets and other fish meat of heading 0304 </w:t>
            </w:r>
          </w:p>
        </w:tc>
      </w:tr>
      <w:tr w:rsidR="00BF7719" w:rsidRPr="004854F9" w:rsidTr="00BF7719">
        <w:trPr>
          <w:gridBefore w:val="1"/>
          <w:wBefore w:w="534" w:type="dxa"/>
          <w:trHeight w:val="131"/>
        </w:trPr>
        <w:tc>
          <w:tcPr>
            <w:tcW w:w="1417"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0304 </w:t>
            </w:r>
          </w:p>
        </w:tc>
        <w:tc>
          <w:tcPr>
            <w:tcW w:w="7655"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Fish fillets and other fish meat (whether or not minced), fresh, chilled or frozen </w:t>
            </w:r>
          </w:p>
        </w:tc>
      </w:tr>
      <w:tr w:rsidR="00BF7719" w:rsidRPr="004854F9" w:rsidTr="00BF7719">
        <w:trPr>
          <w:trHeight w:val="246"/>
        </w:trPr>
        <w:tc>
          <w:tcPr>
            <w:tcW w:w="534"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(b) </w:t>
            </w:r>
          </w:p>
        </w:tc>
        <w:tc>
          <w:tcPr>
            <w:tcW w:w="1417"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0305 </w:t>
            </w:r>
          </w:p>
        </w:tc>
        <w:tc>
          <w:tcPr>
            <w:tcW w:w="7655"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Fish, dried, salted or in brine; smoked fish, whether or not cooked before or during the smoking process; flours, meals and pellets of fish, fit for human consumption </w:t>
            </w:r>
          </w:p>
        </w:tc>
      </w:tr>
      <w:tr w:rsidR="00BF7719" w:rsidRPr="004854F9" w:rsidTr="00BF7719">
        <w:trPr>
          <w:trHeight w:val="361"/>
        </w:trPr>
        <w:tc>
          <w:tcPr>
            <w:tcW w:w="534"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(c) </w:t>
            </w:r>
          </w:p>
        </w:tc>
        <w:tc>
          <w:tcPr>
            <w:tcW w:w="1417"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0306 </w:t>
            </w:r>
          </w:p>
        </w:tc>
        <w:tc>
          <w:tcPr>
            <w:tcW w:w="7655"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Crustaceans, whether in shell or not, live, fresh, chilled, frozen, dried, salted or in brine; crustaceans, in shell, cooked by steaming or by boiling in water, whether or not chilled, frozen, dried, salted or in brine; flours, meals and pellets of crustaceans, fit for human consumption </w:t>
            </w:r>
          </w:p>
        </w:tc>
      </w:tr>
      <w:tr w:rsidR="00FF5832" w:rsidRPr="004854F9" w:rsidTr="00BF7719">
        <w:trPr>
          <w:gridBefore w:val="1"/>
          <w:wBefore w:w="534" w:type="dxa"/>
          <w:trHeight w:val="476"/>
        </w:trPr>
        <w:tc>
          <w:tcPr>
            <w:tcW w:w="1417"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0307 </w:t>
            </w:r>
          </w:p>
        </w:tc>
        <w:tc>
          <w:tcPr>
            <w:tcW w:w="7655"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Molluscs, whether in shell or not, live, fresh, chilled, frozen, dried, salted or in brine; aquatic invertebrates other than crustaceans and molluscs, live, fresh, chilled, frozen, dried, salted or in brine; flours, meals and pellets of aquatic invertebrates other than crustaceans, fit for human consumption </w:t>
            </w:r>
          </w:p>
        </w:tc>
      </w:tr>
      <w:tr w:rsidR="00FF5832" w:rsidRPr="004854F9" w:rsidTr="00BF7719">
        <w:trPr>
          <w:trHeight w:val="246"/>
        </w:trPr>
        <w:tc>
          <w:tcPr>
            <w:tcW w:w="1951" w:type="dxa"/>
            <w:gridSpan w:val="2"/>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(d) </w:t>
            </w:r>
          </w:p>
        </w:tc>
        <w:tc>
          <w:tcPr>
            <w:tcW w:w="7655"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Animal products not elsewhere specified or included; dead animals of Chapter 1 or 3, unfit for human consumption </w:t>
            </w:r>
          </w:p>
        </w:tc>
      </w:tr>
      <w:tr w:rsidR="00FF5832" w:rsidRPr="004854F9" w:rsidTr="00BF7719">
        <w:trPr>
          <w:gridBefore w:val="2"/>
          <w:wBefore w:w="1951" w:type="dxa"/>
          <w:trHeight w:val="131"/>
        </w:trPr>
        <w:tc>
          <w:tcPr>
            <w:tcW w:w="7655"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 Other: </w:t>
            </w:r>
          </w:p>
        </w:tc>
      </w:tr>
      <w:tr w:rsidR="00FF5832" w:rsidRPr="004854F9" w:rsidTr="00BF7719">
        <w:trPr>
          <w:gridBefore w:val="2"/>
          <w:wBefore w:w="1951" w:type="dxa"/>
          <w:trHeight w:val="246"/>
        </w:trPr>
        <w:tc>
          <w:tcPr>
            <w:tcW w:w="7655"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 - Products of fish or crustaceans, molluscs or other aquatic invertebrates; dead animals of Chapter 3: </w:t>
            </w:r>
          </w:p>
        </w:tc>
      </w:tr>
      <w:tr w:rsidR="00FF5832" w:rsidRPr="004854F9" w:rsidTr="00BF7719">
        <w:trPr>
          <w:gridBefore w:val="1"/>
          <w:wBefore w:w="534" w:type="dxa"/>
          <w:trHeight w:val="131"/>
        </w:trPr>
        <w:tc>
          <w:tcPr>
            <w:tcW w:w="1417"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0511 91 10 </w:t>
            </w:r>
          </w:p>
        </w:tc>
        <w:tc>
          <w:tcPr>
            <w:tcW w:w="7655"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 - - Fish waste </w:t>
            </w:r>
          </w:p>
        </w:tc>
      </w:tr>
      <w:tr w:rsidR="00BF7719" w:rsidRPr="004854F9" w:rsidTr="00BF7719">
        <w:trPr>
          <w:gridBefore w:val="1"/>
          <w:wBefore w:w="534" w:type="dxa"/>
          <w:trHeight w:val="131"/>
        </w:trPr>
        <w:tc>
          <w:tcPr>
            <w:tcW w:w="1417"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0511 91 90 </w:t>
            </w:r>
          </w:p>
        </w:tc>
        <w:tc>
          <w:tcPr>
            <w:tcW w:w="7655"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 - - Other </w:t>
            </w:r>
          </w:p>
        </w:tc>
      </w:tr>
      <w:tr w:rsidR="00FF5832" w:rsidRPr="004854F9" w:rsidTr="00BF7719">
        <w:trPr>
          <w:trHeight w:val="131"/>
        </w:trPr>
        <w:tc>
          <w:tcPr>
            <w:tcW w:w="534"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(e) </w:t>
            </w:r>
          </w:p>
        </w:tc>
        <w:tc>
          <w:tcPr>
            <w:tcW w:w="1417"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1212 20 00 </w:t>
            </w:r>
          </w:p>
        </w:tc>
        <w:tc>
          <w:tcPr>
            <w:tcW w:w="7655"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 Seaweeds and other algae </w:t>
            </w:r>
          </w:p>
        </w:tc>
      </w:tr>
      <w:tr w:rsidR="00FF5832" w:rsidRPr="004854F9" w:rsidTr="00BF7719">
        <w:trPr>
          <w:trHeight w:val="131"/>
        </w:trPr>
        <w:tc>
          <w:tcPr>
            <w:tcW w:w="1951" w:type="dxa"/>
            <w:gridSpan w:val="2"/>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(f) </w:t>
            </w:r>
          </w:p>
        </w:tc>
        <w:tc>
          <w:tcPr>
            <w:tcW w:w="7655"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Fats and oils and their fractions, of fish, whether or not refined, but not chemically modified: </w:t>
            </w:r>
          </w:p>
        </w:tc>
      </w:tr>
      <w:tr w:rsidR="00FF5832" w:rsidRPr="004854F9" w:rsidTr="00BF7719">
        <w:trPr>
          <w:gridBefore w:val="1"/>
          <w:wBefore w:w="534" w:type="dxa"/>
          <w:trHeight w:val="131"/>
        </w:trPr>
        <w:tc>
          <w:tcPr>
            <w:tcW w:w="1417"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1504 10 </w:t>
            </w:r>
          </w:p>
        </w:tc>
        <w:tc>
          <w:tcPr>
            <w:tcW w:w="7655"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 Fish-liver oils and their fractions </w:t>
            </w:r>
          </w:p>
        </w:tc>
      </w:tr>
      <w:tr w:rsidR="00FF5832" w:rsidRPr="004854F9" w:rsidTr="00BF7719">
        <w:trPr>
          <w:gridBefore w:val="1"/>
          <w:wBefore w:w="534" w:type="dxa"/>
          <w:trHeight w:val="131"/>
        </w:trPr>
        <w:tc>
          <w:tcPr>
            <w:tcW w:w="1417"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1504 20 </w:t>
            </w:r>
          </w:p>
        </w:tc>
        <w:tc>
          <w:tcPr>
            <w:tcW w:w="7655"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 Fats and oils and their fractions, of fish, other than liver oils </w:t>
            </w:r>
          </w:p>
        </w:tc>
      </w:tr>
      <w:tr w:rsidR="00FF5832" w:rsidRPr="004854F9" w:rsidTr="00BF7719">
        <w:trPr>
          <w:trHeight w:val="131"/>
        </w:trPr>
        <w:tc>
          <w:tcPr>
            <w:tcW w:w="534"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(g) </w:t>
            </w:r>
          </w:p>
        </w:tc>
        <w:tc>
          <w:tcPr>
            <w:tcW w:w="1417"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1603 00 </w:t>
            </w:r>
          </w:p>
        </w:tc>
        <w:tc>
          <w:tcPr>
            <w:tcW w:w="7655"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Extracts and juices of meat, fish or crustaceans, molluscs or other aquatic invertebrates </w:t>
            </w:r>
          </w:p>
        </w:tc>
      </w:tr>
      <w:tr w:rsidR="00FF5832" w:rsidRPr="004854F9" w:rsidTr="00BF7719">
        <w:trPr>
          <w:trHeight w:val="131"/>
        </w:trPr>
        <w:tc>
          <w:tcPr>
            <w:tcW w:w="534"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(h) </w:t>
            </w:r>
          </w:p>
        </w:tc>
        <w:tc>
          <w:tcPr>
            <w:tcW w:w="1417"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1604 </w:t>
            </w:r>
          </w:p>
        </w:tc>
        <w:tc>
          <w:tcPr>
            <w:tcW w:w="7655"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Prepared or preserved fish; caviar and caviar substitutes prepared from fish eggs </w:t>
            </w:r>
          </w:p>
        </w:tc>
      </w:tr>
      <w:tr w:rsidR="00FF5832" w:rsidRPr="004854F9" w:rsidTr="00BF7719">
        <w:trPr>
          <w:trHeight w:val="131"/>
        </w:trPr>
        <w:tc>
          <w:tcPr>
            <w:tcW w:w="534"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(i) </w:t>
            </w:r>
          </w:p>
        </w:tc>
        <w:tc>
          <w:tcPr>
            <w:tcW w:w="1417"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1605 </w:t>
            </w:r>
          </w:p>
        </w:tc>
        <w:tc>
          <w:tcPr>
            <w:tcW w:w="7655"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Crustaceans, molluscs and other aquatic invertebrates, prepared or preserved </w:t>
            </w:r>
          </w:p>
        </w:tc>
      </w:tr>
      <w:tr w:rsidR="00FF5832" w:rsidRPr="004854F9" w:rsidTr="00BF7719">
        <w:trPr>
          <w:trHeight w:val="361"/>
        </w:trPr>
        <w:tc>
          <w:tcPr>
            <w:tcW w:w="1951" w:type="dxa"/>
            <w:gridSpan w:val="2"/>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(j) </w:t>
            </w:r>
          </w:p>
        </w:tc>
        <w:tc>
          <w:tcPr>
            <w:tcW w:w="7655"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Pasta, whether or not cooked or stuffed (with meat or other substances) or otherwise prepared, such as spaghetti, macaroni, noodles, lasagne, gnocchi, ravioli, cannelloni; couscous, whether or not prepared </w:t>
            </w:r>
          </w:p>
        </w:tc>
      </w:tr>
      <w:tr w:rsidR="00FF5832" w:rsidRPr="004854F9" w:rsidTr="00BF7719">
        <w:trPr>
          <w:gridBefore w:val="1"/>
          <w:wBefore w:w="534" w:type="dxa"/>
          <w:trHeight w:val="131"/>
        </w:trPr>
        <w:tc>
          <w:tcPr>
            <w:tcW w:w="1417"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1902 20 </w:t>
            </w:r>
          </w:p>
        </w:tc>
        <w:tc>
          <w:tcPr>
            <w:tcW w:w="7655"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 Stuffed pasta, whether or not cooked or otherwise prepared: </w:t>
            </w:r>
          </w:p>
        </w:tc>
      </w:tr>
      <w:tr w:rsidR="00FF5832" w:rsidRPr="004854F9" w:rsidTr="00BF7719">
        <w:trPr>
          <w:gridBefore w:val="1"/>
          <w:wBefore w:w="534" w:type="dxa"/>
          <w:trHeight w:val="246"/>
        </w:trPr>
        <w:tc>
          <w:tcPr>
            <w:tcW w:w="1417"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1902 20 10 </w:t>
            </w:r>
          </w:p>
        </w:tc>
        <w:tc>
          <w:tcPr>
            <w:tcW w:w="7655"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 - Containing more than 20 % by weight of fish, crustaceans, molluscs or other aquatic invertebrates </w:t>
            </w:r>
          </w:p>
        </w:tc>
      </w:tr>
      <w:tr w:rsidR="00FF5832" w:rsidRPr="004854F9" w:rsidTr="00BF7719">
        <w:trPr>
          <w:trHeight w:val="246"/>
        </w:trPr>
        <w:tc>
          <w:tcPr>
            <w:tcW w:w="1951" w:type="dxa"/>
            <w:gridSpan w:val="2"/>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(k) </w:t>
            </w:r>
          </w:p>
        </w:tc>
        <w:tc>
          <w:tcPr>
            <w:tcW w:w="7655"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Flours, meals and pellets, of meat or meat offal, of fish or of crustaceans, molluscs or other aquatic invertebrates, unfit for human consumption; greaves: </w:t>
            </w:r>
          </w:p>
        </w:tc>
      </w:tr>
      <w:tr w:rsidR="00FF5832" w:rsidRPr="004854F9" w:rsidTr="00BF7719">
        <w:trPr>
          <w:gridBefore w:val="1"/>
          <w:wBefore w:w="534" w:type="dxa"/>
          <w:trHeight w:val="131"/>
        </w:trPr>
        <w:tc>
          <w:tcPr>
            <w:tcW w:w="1417"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2301 20 00 </w:t>
            </w:r>
          </w:p>
        </w:tc>
        <w:tc>
          <w:tcPr>
            <w:tcW w:w="7655"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 Flours, meals and pellets, of fish or of crustaceans, molluscs or other aquatic invertebrates </w:t>
            </w:r>
          </w:p>
        </w:tc>
      </w:tr>
      <w:tr w:rsidR="00FF5832" w:rsidRPr="004854F9" w:rsidTr="00BF7719">
        <w:trPr>
          <w:trHeight w:val="131"/>
        </w:trPr>
        <w:tc>
          <w:tcPr>
            <w:tcW w:w="1951" w:type="dxa"/>
            <w:gridSpan w:val="2"/>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(l) </w:t>
            </w:r>
          </w:p>
        </w:tc>
        <w:tc>
          <w:tcPr>
            <w:tcW w:w="7655"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Preparations of a kind used in animal feeding </w:t>
            </w:r>
          </w:p>
        </w:tc>
      </w:tr>
      <w:tr w:rsidR="00FF5832" w:rsidRPr="004854F9" w:rsidTr="00BF7719">
        <w:trPr>
          <w:gridBefore w:val="1"/>
          <w:wBefore w:w="534" w:type="dxa"/>
          <w:trHeight w:val="131"/>
        </w:trPr>
        <w:tc>
          <w:tcPr>
            <w:tcW w:w="1417"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2309 90 </w:t>
            </w:r>
          </w:p>
        </w:tc>
        <w:tc>
          <w:tcPr>
            <w:tcW w:w="7655"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 Other: </w:t>
            </w:r>
          </w:p>
        </w:tc>
      </w:tr>
      <w:tr w:rsidR="00FF5832" w:rsidRPr="004854F9" w:rsidTr="00BF7719">
        <w:trPr>
          <w:gridBefore w:val="1"/>
          <w:wBefore w:w="534" w:type="dxa"/>
          <w:trHeight w:val="131"/>
        </w:trPr>
        <w:tc>
          <w:tcPr>
            <w:tcW w:w="1417"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ex 2309 90 10 </w:t>
            </w:r>
          </w:p>
        </w:tc>
        <w:tc>
          <w:tcPr>
            <w:tcW w:w="7655" w:type="dxa"/>
          </w:tcPr>
          <w:p w:rsidR="00FF5832" w:rsidRPr="004854F9" w:rsidRDefault="00FF5832" w:rsidP="0026232C">
            <w:pPr>
              <w:autoSpaceDE w:val="0"/>
              <w:autoSpaceDN w:val="0"/>
              <w:adjustRightInd w:val="0"/>
              <w:rPr>
                <w:rFonts w:cs="Arial"/>
                <w:color w:val="000000"/>
                <w:sz w:val="22"/>
                <w:szCs w:val="22"/>
                <w:lang w:eastAsia="en-GB"/>
              </w:rPr>
            </w:pPr>
            <w:r w:rsidRPr="004854F9">
              <w:rPr>
                <w:rFonts w:cs="Arial"/>
                <w:color w:val="000000"/>
                <w:sz w:val="22"/>
                <w:szCs w:val="22"/>
                <w:lang w:eastAsia="en-GB"/>
              </w:rPr>
              <w:t xml:space="preserve">- - Fish solubles </w:t>
            </w:r>
          </w:p>
        </w:tc>
      </w:tr>
    </w:tbl>
    <w:p w:rsidR="00EB63F3" w:rsidRPr="004854F9" w:rsidRDefault="00EB63F3" w:rsidP="00AA5020">
      <w:pPr>
        <w:pStyle w:val="EBBodyPara"/>
        <w:keepNext/>
        <w:spacing w:line="276" w:lineRule="auto"/>
      </w:pPr>
    </w:p>
    <w:p w:rsidR="00B76B1A" w:rsidRPr="004854F9" w:rsidRDefault="00B76B1A" w:rsidP="00AA5020">
      <w:pPr>
        <w:pStyle w:val="IAHeadTitle"/>
        <w:spacing w:line="276" w:lineRule="auto"/>
        <w:rPr>
          <w:rFonts w:cs="Arial"/>
          <w:sz w:val="22"/>
          <w:szCs w:val="22"/>
        </w:rPr>
      </w:pPr>
    </w:p>
    <w:p w:rsidR="00EA0E69" w:rsidRPr="004854F9" w:rsidRDefault="00EA0E69" w:rsidP="00AA5020">
      <w:pPr>
        <w:pStyle w:val="IAHeadTitle"/>
        <w:spacing w:line="276" w:lineRule="auto"/>
        <w:rPr>
          <w:rFonts w:cs="Arial"/>
          <w:sz w:val="22"/>
          <w:szCs w:val="22"/>
        </w:rPr>
      </w:pPr>
    </w:p>
    <w:p w:rsidR="00EA0E69" w:rsidRPr="004854F9" w:rsidRDefault="00EA0E69" w:rsidP="00AA5020">
      <w:pPr>
        <w:pStyle w:val="IAHeadTitle"/>
        <w:spacing w:line="276" w:lineRule="auto"/>
        <w:rPr>
          <w:rFonts w:cs="Arial"/>
          <w:sz w:val="22"/>
          <w:szCs w:val="22"/>
        </w:rPr>
      </w:pPr>
    </w:p>
    <w:p w:rsidR="00EA0E69" w:rsidRPr="004854F9" w:rsidRDefault="00EA0E69" w:rsidP="00AA5020">
      <w:pPr>
        <w:pStyle w:val="IAHeadTitle"/>
        <w:spacing w:line="276" w:lineRule="auto"/>
        <w:rPr>
          <w:rFonts w:cs="Arial"/>
          <w:sz w:val="22"/>
          <w:szCs w:val="22"/>
        </w:rPr>
      </w:pPr>
    </w:p>
    <w:p w:rsidR="00EA0E69" w:rsidRPr="00937103" w:rsidRDefault="00B262B3" w:rsidP="00AA5020">
      <w:pPr>
        <w:pStyle w:val="Annexetitre"/>
        <w:spacing w:line="276" w:lineRule="auto"/>
        <w:rPr>
          <w:rFonts w:ascii="Arial" w:hAnsi="Arial" w:cs="Arial"/>
          <w:sz w:val="22"/>
          <w:szCs w:val="22"/>
          <w:u w:val="none"/>
        </w:rPr>
      </w:pPr>
      <w:r w:rsidRPr="00937103">
        <w:rPr>
          <w:rFonts w:ascii="Arial" w:hAnsi="Arial" w:cs="Arial"/>
          <w:sz w:val="22"/>
          <w:szCs w:val="22"/>
          <w:u w:val="none"/>
        </w:rPr>
        <w:lastRenderedPageBreak/>
        <w:t>Annex B: Information on</w:t>
      </w:r>
      <w:r w:rsidR="00EA0E69" w:rsidRPr="00937103">
        <w:rPr>
          <w:rFonts w:ascii="Arial" w:hAnsi="Arial" w:cs="Arial"/>
          <w:sz w:val="22"/>
          <w:szCs w:val="22"/>
          <w:u w:val="none"/>
        </w:rPr>
        <w:t xml:space="preserve"> Fishing Gear which can be </w:t>
      </w:r>
      <w:r w:rsidR="0092534F" w:rsidRPr="00937103">
        <w:rPr>
          <w:rFonts w:ascii="Arial" w:hAnsi="Arial" w:cs="Arial"/>
          <w:sz w:val="22"/>
          <w:szCs w:val="22"/>
          <w:u w:val="none"/>
        </w:rPr>
        <w:t>supplied under the CMO</w:t>
      </w:r>
    </w:p>
    <w:p w:rsidR="00EA0E69" w:rsidRPr="004854F9" w:rsidRDefault="00EA0E69" w:rsidP="00AA5020">
      <w:pPr>
        <w:pStyle w:val="IAHeadTitle"/>
        <w:spacing w:line="276" w:lineRule="auto"/>
        <w:rPr>
          <w:rFonts w:cs="Arial"/>
          <w:sz w:val="22"/>
          <w:szCs w:val="22"/>
        </w:rPr>
      </w:pPr>
    </w:p>
    <w:tbl>
      <w:tblPr>
        <w:tblW w:w="0" w:type="auto"/>
        <w:tblLayout w:type="fixed"/>
        <w:tblLook w:val="0000" w:firstRow="0" w:lastRow="0" w:firstColumn="0" w:lastColumn="0" w:noHBand="0" w:noVBand="0"/>
      </w:tblPr>
      <w:tblGrid>
        <w:gridCol w:w="4503"/>
        <w:gridCol w:w="4252"/>
        <w:gridCol w:w="709"/>
      </w:tblGrid>
      <w:tr w:rsidR="00EA0E69" w:rsidRPr="004854F9" w:rsidTr="0092534F">
        <w:trPr>
          <w:trHeight w:val="403"/>
        </w:trPr>
        <w:tc>
          <w:tcPr>
            <w:tcW w:w="4503" w:type="dxa"/>
          </w:tcPr>
          <w:p w:rsidR="00EA0E69" w:rsidRPr="004854F9" w:rsidRDefault="00EA0E69" w:rsidP="00AA5020">
            <w:pPr>
              <w:autoSpaceDE w:val="0"/>
              <w:autoSpaceDN w:val="0"/>
              <w:adjustRightInd w:val="0"/>
              <w:spacing w:line="276" w:lineRule="auto"/>
              <w:rPr>
                <w:rFonts w:cs="Arial"/>
                <w:b/>
                <w:sz w:val="22"/>
                <w:szCs w:val="22"/>
                <w:lang w:eastAsia="en-GB"/>
              </w:rPr>
            </w:pPr>
            <w:r w:rsidRPr="004854F9">
              <w:rPr>
                <w:rFonts w:cs="Arial"/>
                <w:b/>
                <w:sz w:val="22"/>
                <w:szCs w:val="22"/>
                <w:lang w:eastAsia="en-GB"/>
              </w:rPr>
              <w:t xml:space="preserve">Mandatory information on the category of fishing gear </w:t>
            </w:r>
          </w:p>
        </w:tc>
        <w:tc>
          <w:tcPr>
            <w:tcW w:w="4961" w:type="dxa"/>
            <w:gridSpan w:val="2"/>
          </w:tcPr>
          <w:p w:rsidR="00EA0E69" w:rsidRPr="004854F9" w:rsidRDefault="00EA0E69" w:rsidP="00AA5020">
            <w:pPr>
              <w:autoSpaceDE w:val="0"/>
              <w:autoSpaceDN w:val="0"/>
              <w:adjustRightInd w:val="0"/>
              <w:spacing w:line="276" w:lineRule="auto"/>
              <w:rPr>
                <w:rFonts w:cs="Arial"/>
                <w:b/>
                <w:sz w:val="22"/>
                <w:szCs w:val="22"/>
                <w:lang w:eastAsia="en-GB"/>
              </w:rPr>
            </w:pPr>
            <w:r w:rsidRPr="004854F9">
              <w:rPr>
                <w:rFonts w:cs="Arial"/>
                <w:b/>
                <w:sz w:val="22"/>
                <w:szCs w:val="22"/>
                <w:lang w:eastAsia="en-GB"/>
              </w:rPr>
              <w:t>More detailed information on corresponding gears and codes, in accordance with Commission Regulation (EC) No 26/2004</w:t>
            </w:r>
            <w:r w:rsidRPr="004854F9">
              <w:rPr>
                <w:rFonts w:cs="Arial"/>
                <w:b/>
                <w:bCs/>
                <w:sz w:val="22"/>
                <w:szCs w:val="22"/>
                <w:lang w:eastAsia="en-GB"/>
              </w:rPr>
              <w:t xml:space="preserve"> </w:t>
            </w:r>
            <w:r w:rsidRPr="004854F9">
              <w:rPr>
                <w:rFonts w:cs="Arial"/>
                <w:b/>
                <w:sz w:val="22"/>
                <w:szCs w:val="22"/>
                <w:lang w:eastAsia="en-GB"/>
              </w:rPr>
              <w:t>and Commission Implementing Regulation (EU) No 404/2011</w:t>
            </w:r>
            <w:r w:rsidRPr="004854F9">
              <w:rPr>
                <w:rFonts w:cs="Arial"/>
                <w:b/>
                <w:bCs/>
                <w:sz w:val="22"/>
                <w:szCs w:val="22"/>
                <w:lang w:eastAsia="en-GB"/>
              </w:rPr>
              <w:t xml:space="preserve"> </w:t>
            </w:r>
          </w:p>
        </w:tc>
      </w:tr>
      <w:tr w:rsidR="00EA0E69" w:rsidRPr="004854F9" w:rsidTr="0092534F">
        <w:trPr>
          <w:trHeight w:val="131"/>
        </w:trPr>
        <w:tc>
          <w:tcPr>
            <w:tcW w:w="4503" w:type="dxa"/>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Seines </w:t>
            </w:r>
          </w:p>
        </w:tc>
        <w:tc>
          <w:tcPr>
            <w:tcW w:w="4252" w:type="dxa"/>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Beach seines </w:t>
            </w:r>
          </w:p>
        </w:tc>
        <w:tc>
          <w:tcPr>
            <w:tcW w:w="709" w:type="dxa"/>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SB </w:t>
            </w:r>
          </w:p>
        </w:tc>
      </w:tr>
      <w:tr w:rsidR="00EA0E69" w:rsidRPr="004854F9" w:rsidTr="0092534F">
        <w:trPr>
          <w:trHeight w:val="131"/>
        </w:trPr>
        <w:tc>
          <w:tcPr>
            <w:tcW w:w="4503" w:type="dxa"/>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Danish seines </w:t>
            </w:r>
          </w:p>
        </w:tc>
        <w:tc>
          <w:tcPr>
            <w:tcW w:w="4961" w:type="dxa"/>
            <w:gridSpan w:val="2"/>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SDN </w:t>
            </w:r>
          </w:p>
        </w:tc>
      </w:tr>
      <w:tr w:rsidR="00EA0E69" w:rsidRPr="004854F9" w:rsidTr="0092534F">
        <w:trPr>
          <w:trHeight w:val="131"/>
        </w:trPr>
        <w:tc>
          <w:tcPr>
            <w:tcW w:w="4503" w:type="dxa"/>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Scottish seines </w:t>
            </w:r>
          </w:p>
        </w:tc>
        <w:tc>
          <w:tcPr>
            <w:tcW w:w="4961" w:type="dxa"/>
            <w:gridSpan w:val="2"/>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SSC </w:t>
            </w:r>
          </w:p>
        </w:tc>
      </w:tr>
      <w:tr w:rsidR="00EA0E69" w:rsidRPr="004854F9" w:rsidTr="0092534F">
        <w:trPr>
          <w:trHeight w:val="131"/>
        </w:trPr>
        <w:tc>
          <w:tcPr>
            <w:tcW w:w="4503" w:type="dxa"/>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Pair seines </w:t>
            </w:r>
          </w:p>
        </w:tc>
        <w:tc>
          <w:tcPr>
            <w:tcW w:w="4961" w:type="dxa"/>
            <w:gridSpan w:val="2"/>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SPR </w:t>
            </w:r>
          </w:p>
        </w:tc>
      </w:tr>
      <w:tr w:rsidR="00EA0E69" w:rsidRPr="004854F9" w:rsidTr="0092534F">
        <w:trPr>
          <w:trHeight w:val="131"/>
        </w:trPr>
        <w:tc>
          <w:tcPr>
            <w:tcW w:w="4503" w:type="dxa"/>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Trawls </w:t>
            </w:r>
          </w:p>
        </w:tc>
        <w:tc>
          <w:tcPr>
            <w:tcW w:w="4252" w:type="dxa"/>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Beam trawls </w:t>
            </w:r>
          </w:p>
        </w:tc>
        <w:tc>
          <w:tcPr>
            <w:tcW w:w="709" w:type="dxa"/>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TBB </w:t>
            </w:r>
          </w:p>
        </w:tc>
      </w:tr>
      <w:tr w:rsidR="00EA0E69" w:rsidRPr="004854F9" w:rsidTr="0092534F">
        <w:trPr>
          <w:trHeight w:val="131"/>
        </w:trPr>
        <w:tc>
          <w:tcPr>
            <w:tcW w:w="4503" w:type="dxa"/>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Bottom otter trawls </w:t>
            </w:r>
          </w:p>
        </w:tc>
        <w:tc>
          <w:tcPr>
            <w:tcW w:w="4961" w:type="dxa"/>
            <w:gridSpan w:val="2"/>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OTB </w:t>
            </w:r>
          </w:p>
        </w:tc>
      </w:tr>
      <w:tr w:rsidR="00EA0E69" w:rsidRPr="004854F9" w:rsidTr="0092534F">
        <w:trPr>
          <w:trHeight w:val="131"/>
        </w:trPr>
        <w:tc>
          <w:tcPr>
            <w:tcW w:w="4503" w:type="dxa"/>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Bottom pair trawls </w:t>
            </w:r>
          </w:p>
        </w:tc>
        <w:tc>
          <w:tcPr>
            <w:tcW w:w="4961" w:type="dxa"/>
            <w:gridSpan w:val="2"/>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PTB </w:t>
            </w:r>
          </w:p>
        </w:tc>
      </w:tr>
      <w:tr w:rsidR="00EA0E69" w:rsidRPr="004854F9" w:rsidTr="0092534F">
        <w:trPr>
          <w:trHeight w:val="131"/>
        </w:trPr>
        <w:tc>
          <w:tcPr>
            <w:tcW w:w="4503" w:type="dxa"/>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Midwater otter trawls </w:t>
            </w:r>
          </w:p>
        </w:tc>
        <w:tc>
          <w:tcPr>
            <w:tcW w:w="4961" w:type="dxa"/>
            <w:gridSpan w:val="2"/>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OTM </w:t>
            </w:r>
          </w:p>
        </w:tc>
      </w:tr>
      <w:tr w:rsidR="00EA0E69" w:rsidRPr="004854F9" w:rsidTr="0092534F">
        <w:trPr>
          <w:trHeight w:val="131"/>
        </w:trPr>
        <w:tc>
          <w:tcPr>
            <w:tcW w:w="4503" w:type="dxa"/>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Pelagic pair trawls </w:t>
            </w:r>
          </w:p>
        </w:tc>
        <w:tc>
          <w:tcPr>
            <w:tcW w:w="4961" w:type="dxa"/>
            <w:gridSpan w:val="2"/>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PTM </w:t>
            </w:r>
          </w:p>
        </w:tc>
      </w:tr>
      <w:tr w:rsidR="00EA0E69" w:rsidRPr="004854F9" w:rsidTr="0092534F">
        <w:trPr>
          <w:trHeight w:val="131"/>
        </w:trPr>
        <w:tc>
          <w:tcPr>
            <w:tcW w:w="4503" w:type="dxa"/>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Otter twin trawls </w:t>
            </w:r>
          </w:p>
        </w:tc>
        <w:tc>
          <w:tcPr>
            <w:tcW w:w="4961" w:type="dxa"/>
            <w:gridSpan w:val="2"/>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OTT </w:t>
            </w:r>
          </w:p>
        </w:tc>
      </w:tr>
      <w:tr w:rsidR="00EA0E69" w:rsidRPr="004854F9" w:rsidTr="0092534F">
        <w:trPr>
          <w:trHeight w:val="131"/>
        </w:trPr>
        <w:tc>
          <w:tcPr>
            <w:tcW w:w="4503" w:type="dxa"/>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Gillnets and similar nets </w:t>
            </w:r>
          </w:p>
        </w:tc>
        <w:tc>
          <w:tcPr>
            <w:tcW w:w="4252" w:type="dxa"/>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Set (anchored) gillnets </w:t>
            </w:r>
          </w:p>
        </w:tc>
        <w:tc>
          <w:tcPr>
            <w:tcW w:w="709" w:type="dxa"/>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GNS </w:t>
            </w:r>
          </w:p>
        </w:tc>
      </w:tr>
      <w:tr w:rsidR="00EA0E69" w:rsidRPr="004854F9" w:rsidTr="0092534F">
        <w:trPr>
          <w:trHeight w:val="131"/>
        </w:trPr>
        <w:tc>
          <w:tcPr>
            <w:tcW w:w="4503" w:type="dxa"/>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Driftnets </w:t>
            </w:r>
          </w:p>
        </w:tc>
        <w:tc>
          <w:tcPr>
            <w:tcW w:w="4961" w:type="dxa"/>
            <w:gridSpan w:val="2"/>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GND </w:t>
            </w:r>
          </w:p>
        </w:tc>
      </w:tr>
      <w:tr w:rsidR="00EA0E69" w:rsidRPr="004854F9" w:rsidTr="0092534F">
        <w:trPr>
          <w:trHeight w:val="131"/>
        </w:trPr>
        <w:tc>
          <w:tcPr>
            <w:tcW w:w="4503" w:type="dxa"/>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Encircling gillnets </w:t>
            </w:r>
          </w:p>
        </w:tc>
        <w:tc>
          <w:tcPr>
            <w:tcW w:w="4961" w:type="dxa"/>
            <w:gridSpan w:val="2"/>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GNC </w:t>
            </w:r>
          </w:p>
        </w:tc>
      </w:tr>
      <w:tr w:rsidR="00EA0E69" w:rsidRPr="004854F9" w:rsidTr="0092534F">
        <w:trPr>
          <w:trHeight w:val="131"/>
        </w:trPr>
        <w:tc>
          <w:tcPr>
            <w:tcW w:w="4503" w:type="dxa"/>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Trammel nets </w:t>
            </w:r>
          </w:p>
        </w:tc>
        <w:tc>
          <w:tcPr>
            <w:tcW w:w="4961" w:type="dxa"/>
            <w:gridSpan w:val="2"/>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GTR </w:t>
            </w:r>
          </w:p>
        </w:tc>
      </w:tr>
      <w:tr w:rsidR="00EA0E69" w:rsidRPr="004854F9" w:rsidTr="0092534F">
        <w:trPr>
          <w:trHeight w:val="131"/>
        </w:trPr>
        <w:tc>
          <w:tcPr>
            <w:tcW w:w="4503" w:type="dxa"/>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Combined trammel and gillnets </w:t>
            </w:r>
          </w:p>
        </w:tc>
        <w:tc>
          <w:tcPr>
            <w:tcW w:w="4961" w:type="dxa"/>
            <w:gridSpan w:val="2"/>
          </w:tcPr>
          <w:p w:rsidR="00EA0E69" w:rsidRPr="004854F9" w:rsidRDefault="00EA0E69" w:rsidP="00AA5020">
            <w:pPr>
              <w:autoSpaceDE w:val="0"/>
              <w:autoSpaceDN w:val="0"/>
              <w:adjustRightInd w:val="0"/>
              <w:spacing w:line="276" w:lineRule="auto"/>
              <w:rPr>
                <w:rFonts w:cs="Arial"/>
                <w:sz w:val="22"/>
                <w:szCs w:val="22"/>
                <w:lang w:eastAsia="en-GB"/>
              </w:rPr>
            </w:pPr>
            <w:r w:rsidRPr="004854F9">
              <w:rPr>
                <w:rFonts w:cs="Arial"/>
                <w:sz w:val="22"/>
                <w:szCs w:val="22"/>
                <w:lang w:eastAsia="en-GB"/>
              </w:rPr>
              <w:t xml:space="preserve">GTN </w:t>
            </w:r>
          </w:p>
        </w:tc>
      </w:tr>
      <w:tr w:rsidR="00EA0E69" w:rsidRPr="004854F9" w:rsidTr="0092534F">
        <w:trPr>
          <w:trHeight w:val="131"/>
        </w:trPr>
        <w:tc>
          <w:tcPr>
            <w:tcW w:w="4503" w:type="dxa"/>
          </w:tcPr>
          <w:p w:rsidR="00EA0E69" w:rsidRPr="004854F9" w:rsidRDefault="00EA0E69" w:rsidP="00AA5020">
            <w:pPr>
              <w:autoSpaceDE w:val="0"/>
              <w:autoSpaceDN w:val="0"/>
              <w:adjustRightInd w:val="0"/>
              <w:spacing w:line="276" w:lineRule="auto"/>
              <w:rPr>
                <w:rFonts w:cs="Arial"/>
                <w:color w:val="000000"/>
                <w:sz w:val="22"/>
                <w:szCs w:val="22"/>
                <w:lang w:eastAsia="en-GB"/>
              </w:rPr>
            </w:pPr>
            <w:r w:rsidRPr="004854F9">
              <w:rPr>
                <w:rFonts w:cs="Arial"/>
                <w:color w:val="000000"/>
                <w:sz w:val="22"/>
                <w:szCs w:val="22"/>
                <w:lang w:eastAsia="en-GB"/>
              </w:rPr>
              <w:t xml:space="preserve">Surrounding nets and lift nets </w:t>
            </w:r>
          </w:p>
        </w:tc>
        <w:tc>
          <w:tcPr>
            <w:tcW w:w="4252" w:type="dxa"/>
          </w:tcPr>
          <w:p w:rsidR="00EA0E69" w:rsidRPr="004854F9" w:rsidRDefault="00EA0E69" w:rsidP="00AA5020">
            <w:pPr>
              <w:autoSpaceDE w:val="0"/>
              <w:autoSpaceDN w:val="0"/>
              <w:adjustRightInd w:val="0"/>
              <w:spacing w:line="276" w:lineRule="auto"/>
              <w:rPr>
                <w:rFonts w:cs="Arial"/>
                <w:color w:val="000000"/>
                <w:sz w:val="22"/>
                <w:szCs w:val="22"/>
                <w:lang w:eastAsia="en-GB"/>
              </w:rPr>
            </w:pPr>
            <w:r w:rsidRPr="004854F9">
              <w:rPr>
                <w:rFonts w:cs="Arial"/>
                <w:color w:val="000000"/>
                <w:sz w:val="22"/>
                <w:szCs w:val="22"/>
                <w:lang w:eastAsia="en-GB"/>
              </w:rPr>
              <w:t xml:space="preserve">Purse seines </w:t>
            </w:r>
          </w:p>
        </w:tc>
        <w:tc>
          <w:tcPr>
            <w:tcW w:w="709" w:type="dxa"/>
          </w:tcPr>
          <w:p w:rsidR="00EA0E69" w:rsidRPr="004854F9" w:rsidRDefault="00EA0E69" w:rsidP="00AA5020">
            <w:pPr>
              <w:autoSpaceDE w:val="0"/>
              <w:autoSpaceDN w:val="0"/>
              <w:adjustRightInd w:val="0"/>
              <w:spacing w:line="276" w:lineRule="auto"/>
              <w:rPr>
                <w:rFonts w:cs="Arial"/>
                <w:color w:val="000000"/>
                <w:sz w:val="22"/>
                <w:szCs w:val="22"/>
                <w:lang w:eastAsia="en-GB"/>
              </w:rPr>
            </w:pPr>
            <w:r w:rsidRPr="004854F9">
              <w:rPr>
                <w:rFonts w:cs="Arial"/>
                <w:color w:val="000000"/>
                <w:sz w:val="22"/>
                <w:szCs w:val="22"/>
                <w:lang w:eastAsia="en-GB"/>
              </w:rPr>
              <w:t xml:space="preserve">PS </w:t>
            </w:r>
          </w:p>
        </w:tc>
      </w:tr>
      <w:tr w:rsidR="00EA0E69" w:rsidRPr="004854F9" w:rsidTr="0092534F">
        <w:trPr>
          <w:trHeight w:val="131"/>
        </w:trPr>
        <w:tc>
          <w:tcPr>
            <w:tcW w:w="4503" w:type="dxa"/>
          </w:tcPr>
          <w:p w:rsidR="00EA0E69" w:rsidRPr="004854F9" w:rsidRDefault="00EA0E69" w:rsidP="00AA5020">
            <w:pPr>
              <w:autoSpaceDE w:val="0"/>
              <w:autoSpaceDN w:val="0"/>
              <w:adjustRightInd w:val="0"/>
              <w:spacing w:line="276" w:lineRule="auto"/>
              <w:rPr>
                <w:rFonts w:cs="Arial"/>
                <w:color w:val="000000"/>
                <w:sz w:val="22"/>
                <w:szCs w:val="22"/>
                <w:lang w:eastAsia="en-GB"/>
              </w:rPr>
            </w:pPr>
            <w:r w:rsidRPr="004854F9">
              <w:rPr>
                <w:rFonts w:cs="Arial"/>
                <w:color w:val="000000"/>
                <w:sz w:val="22"/>
                <w:szCs w:val="22"/>
                <w:lang w:eastAsia="en-GB"/>
              </w:rPr>
              <w:t xml:space="preserve">Lampara nets </w:t>
            </w:r>
          </w:p>
        </w:tc>
        <w:tc>
          <w:tcPr>
            <w:tcW w:w="4961" w:type="dxa"/>
            <w:gridSpan w:val="2"/>
          </w:tcPr>
          <w:p w:rsidR="00EA0E69" w:rsidRPr="004854F9" w:rsidRDefault="00EA0E69" w:rsidP="00AA5020">
            <w:pPr>
              <w:autoSpaceDE w:val="0"/>
              <w:autoSpaceDN w:val="0"/>
              <w:adjustRightInd w:val="0"/>
              <w:spacing w:line="276" w:lineRule="auto"/>
              <w:rPr>
                <w:rFonts w:cs="Arial"/>
                <w:color w:val="000000"/>
                <w:sz w:val="22"/>
                <w:szCs w:val="22"/>
                <w:lang w:eastAsia="en-GB"/>
              </w:rPr>
            </w:pPr>
            <w:r w:rsidRPr="004854F9">
              <w:rPr>
                <w:rFonts w:cs="Arial"/>
                <w:color w:val="000000"/>
                <w:sz w:val="22"/>
                <w:szCs w:val="22"/>
                <w:lang w:eastAsia="en-GB"/>
              </w:rPr>
              <w:t xml:space="preserve">LA </w:t>
            </w:r>
          </w:p>
        </w:tc>
      </w:tr>
      <w:tr w:rsidR="00EA0E69" w:rsidRPr="004854F9" w:rsidTr="0092534F">
        <w:trPr>
          <w:trHeight w:val="131"/>
        </w:trPr>
        <w:tc>
          <w:tcPr>
            <w:tcW w:w="4503" w:type="dxa"/>
          </w:tcPr>
          <w:p w:rsidR="00EA0E69" w:rsidRPr="004854F9" w:rsidRDefault="00EA0E69" w:rsidP="00AA5020">
            <w:pPr>
              <w:autoSpaceDE w:val="0"/>
              <w:autoSpaceDN w:val="0"/>
              <w:adjustRightInd w:val="0"/>
              <w:spacing w:line="276" w:lineRule="auto"/>
              <w:rPr>
                <w:rFonts w:cs="Arial"/>
                <w:color w:val="000000"/>
                <w:sz w:val="22"/>
                <w:szCs w:val="22"/>
                <w:lang w:eastAsia="en-GB"/>
              </w:rPr>
            </w:pPr>
            <w:r w:rsidRPr="004854F9">
              <w:rPr>
                <w:rFonts w:cs="Arial"/>
                <w:color w:val="000000"/>
                <w:sz w:val="22"/>
                <w:szCs w:val="22"/>
                <w:lang w:eastAsia="en-GB"/>
              </w:rPr>
              <w:t xml:space="preserve">Boat operated lift nets </w:t>
            </w:r>
          </w:p>
        </w:tc>
        <w:tc>
          <w:tcPr>
            <w:tcW w:w="4961" w:type="dxa"/>
            <w:gridSpan w:val="2"/>
          </w:tcPr>
          <w:p w:rsidR="00EA0E69" w:rsidRPr="004854F9" w:rsidRDefault="00EA0E69" w:rsidP="00AA5020">
            <w:pPr>
              <w:autoSpaceDE w:val="0"/>
              <w:autoSpaceDN w:val="0"/>
              <w:adjustRightInd w:val="0"/>
              <w:spacing w:line="276" w:lineRule="auto"/>
              <w:rPr>
                <w:rFonts w:cs="Arial"/>
                <w:color w:val="000000"/>
                <w:sz w:val="22"/>
                <w:szCs w:val="22"/>
                <w:lang w:eastAsia="en-GB"/>
              </w:rPr>
            </w:pPr>
            <w:r w:rsidRPr="004854F9">
              <w:rPr>
                <w:rFonts w:cs="Arial"/>
                <w:color w:val="000000"/>
                <w:sz w:val="22"/>
                <w:szCs w:val="22"/>
                <w:lang w:eastAsia="en-GB"/>
              </w:rPr>
              <w:t xml:space="preserve">LNB </w:t>
            </w:r>
          </w:p>
        </w:tc>
      </w:tr>
      <w:tr w:rsidR="00EA0E69" w:rsidRPr="004854F9" w:rsidTr="0092534F">
        <w:trPr>
          <w:trHeight w:val="131"/>
        </w:trPr>
        <w:tc>
          <w:tcPr>
            <w:tcW w:w="4503" w:type="dxa"/>
          </w:tcPr>
          <w:p w:rsidR="00EA0E69" w:rsidRPr="004854F9" w:rsidRDefault="00EA0E69" w:rsidP="00AA5020">
            <w:pPr>
              <w:autoSpaceDE w:val="0"/>
              <w:autoSpaceDN w:val="0"/>
              <w:adjustRightInd w:val="0"/>
              <w:spacing w:line="276" w:lineRule="auto"/>
              <w:rPr>
                <w:rFonts w:cs="Arial"/>
                <w:color w:val="000000"/>
                <w:sz w:val="22"/>
                <w:szCs w:val="22"/>
                <w:lang w:eastAsia="en-GB"/>
              </w:rPr>
            </w:pPr>
            <w:r w:rsidRPr="004854F9">
              <w:rPr>
                <w:rFonts w:cs="Arial"/>
                <w:color w:val="000000"/>
                <w:sz w:val="22"/>
                <w:szCs w:val="22"/>
                <w:lang w:eastAsia="en-GB"/>
              </w:rPr>
              <w:t xml:space="preserve">Shore-operated stationary lift nets </w:t>
            </w:r>
          </w:p>
        </w:tc>
        <w:tc>
          <w:tcPr>
            <w:tcW w:w="4961" w:type="dxa"/>
            <w:gridSpan w:val="2"/>
          </w:tcPr>
          <w:p w:rsidR="00EA0E69" w:rsidRPr="004854F9" w:rsidRDefault="00EA0E69" w:rsidP="00AA5020">
            <w:pPr>
              <w:autoSpaceDE w:val="0"/>
              <w:autoSpaceDN w:val="0"/>
              <w:adjustRightInd w:val="0"/>
              <w:spacing w:line="276" w:lineRule="auto"/>
              <w:rPr>
                <w:rFonts w:cs="Arial"/>
                <w:color w:val="000000"/>
                <w:sz w:val="22"/>
                <w:szCs w:val="22"/>
                <w:lang w:eastAsia="en-GB"/>
              </w:rPr>
            </w:pPr>
            <w:r w:rsidRPr="004854F9">
              <w:rPr>
                <w:rFonts w:cs="Arial"/>
                <w:color w:val="000000"/>
                <w:sz w:val="22"/>
                <w:szCs w:val="22"/>
                <w:lang w:eastAsia="en-GB"/>
              </w:rPr>
              <w:t xml:space="preserve">LNS </w:t>
            </w:r>
          </w:p>
        </w:tc>
      </w:tr>
      <w:tr w:rsidR="00EA0E69" w:rsidRPr="004854F9" w:rsidTr="0092534F">
        <w:trPr>
          <w:trHeight w:val="131"/>
        </w:trPr>
        <w:tc>
          <w:tcPr>
            <w:tcW w:w="4503" w:type="dxa"/>
          </w:tcPr>
          <w:p w:rsidR="00EA0E69" w:rsidRPr="004854F9" w:rsidRDefault="00EA0E69" w:rsidP="00AA5020">
            <w:pPr>
              <w:autoSpaceDE w:val="0"/>
              <w:autoSpaceDN w:val="0"/>
              <w:adjustRightInd w:val="0"/>
              <w:spacing w:line="276" w:lineRule="auto"/>
              <w:rPr>
                <w:rFonts w:cs="Arial"/>
                <w:color w:val="000000"/>
                <w:sz w:val="22"/>
                <w:szCs w:val="22"/>
                <w:lang w:eastAsia="en-GB"/>
              </w:rPr>
            </w:pPr>
            <w:r w:rsidRPr="004854F9">
              <w:rPr>
                <w:rFonts w:cs="Arial"/>
                <w:color w:val="000000"/>
                <w:sz w:val="22"/>
                <w:szCs w:val="22"/>
                <w:lang w:eastAsia="en-GB"/>
              </w:rPr>
              <w:t xml:space="preserve">Hooks and lines </w:t>
            </w:r>
          </w:p>
        </w:tc>
        <w:tc>
          <w:tcPr>
            <w:tcW w:w="4252" w:type="dxa"/>
          </w:tcPr>
          <w:p w:rsidR="00EA0E69" w:rsidRPr="004854F9" w:rsidRDefault="00EA0E69" w:rsidP="00AA5020">
            <w:pPr>
              <w:autoSpaceDE w:val="0"/>
              <w:autoSpaceDN w:val="0"/>
              <w:adjustRightInd w:val="0"/>
              <w:spacing w:line="276" w:lineRule="auto"/>
              <w:rPr>
                <w:rFonts w:cs="Arial"/>
                <w:color w:val="000000"/>
                <w:sz w:val="22"/>
                <w:szCs w:val="22"/>
                <w:lang w:eastAsia="en-GB"/>
              </w:rPr>
            </w:pPr>
            <w:r w:rsidRPr="004854F9">
              <w:rPr>
                <w:rFonts w:cs="Arial"/>
                <w:color w:val="000000"/>
                <w:sz w:val="22"/>
                <w:szCs w:val="22"/>
                <w:lang w:eastAsia="en-GB"/>
              </w:rPr>
              <w:t xml:space="preserve">Hand lines and pole lines (hand operated) </w:t>
            </w:r>
          </w:p>
        </w:tc>
        <w:tc>
          <w:tcPr>
            <w:tcW w:w="709" w:type="dxa"/>
          </w:tcPr>
          <w:p w:rsidR="00EA0E69" w:rsidRPr="004854F9" w:rsidRDefault="00EA0E69" w:rsidP="00AA5020">
            <w:pPr>
              <w:autoSpaceDE w:val="0"/>
              <w:autoSpaceDN w:val="0"/>
              <w:adjustRightInd w:val="0"/>
              <w:spacing w:line="276" w:lineRule="auto"/>
              <w:rPr>
                <w:rFonts w:cs="Arial"/>
                <w:color w:val="000000"/>
                <w:sz w:val="22"/>
                <w:szCs w:val="22"/>
                <w:lang w:eastAsia="en-GB"/>
              </w:rPr>
            </w:pPr>
            <w:r w:rsidRPr="004854F9">
              <w:rPr>
                <w:rFonts w:cs="Arial"/>
                <w:color w:val="000000"/>
                <w:sz w:val="22"/>
                <w:szCs w:val="22"/>
                <w:lang w:eastAsia="en-GB"/>
              </w:rPr>
              <w:t xml:space="preserve">LHP </w:t>
            </w:r>
          </w:p>
        </w:tc>
      </w:tr>
      <w:tr w:rsidR="00EA0E69" w:rsidRPr="004854F9" w:rsidTr="0092534F">
        <w:trPr>
          <w:trHeight w:val="131"/>
        </w:trPr>
        <w:tc>
          <w:tcPr>
            <w:tcW w:w="4503" w:type="dxa"/>
          </w:tcPr>
          <w:p w:rsidR="00EA0E69" w:rsidRPr="004854F9" w:rsidRDefault="00EA0E69" w:rsidP="00AA5020">
            <w:pPr>
              <w:autoSpaceDE w:val="0"/>
              <w:autoSpaceDN w:val="0"/>
              <w:adjustRightInd w:val="0"/>
              <w:spacing w:line="276" w:lineRule="auto"/>
              <w:rPr>
                <w:rFonts w:cs="Arial"/>
                <w:color w:val="000000"/>
                <w:sz w:val="22"/>
                <w:szCs w:val="22"/>
                <w:lang w:eastAsia="en-GB"/>
              </w:rPr>
            </w:pPr>
            <w:r w:rsidRPr="004854F9">
              <w:rPr>
                <w:rFonts w:cs="Arial"/>
                <w:color w:val="000000"/>
                <w:sz w:val="22"/>
                <w:szCs w:val="22"/>
                <w:lang w:eastAsia="en-GB"/>
              </w:rPr>
              <w:t xml:space="preserve">Hand lines and pole lines (mechanised) </w:t>
            </w:r>
          </w:p>
        </w:tc>
        <w:tc>
          <w:tcPr>
            <w:tcW w:w="4961" w:type="dxa"/>
            <w:gridSpan w:val="2"/>
          </w:tcPr>
          <w:p w:rsidR="00EA0E69" w:rsidRPr="004854F9" w:rsidRDefault="00EA0E69" w:rsidP="00AA5020">
            <w:pPr>
              <w:autoSpaceDE w:val="0"/>
              <w:autoSpaceDN w:val="0"/>
              <w:adjustRightInd w:val="0"/>
              <w:spacing w:line="276" w:lineRule="auto"/>
              <w:rPr>
                <w:rFonts w:cs="Arial"/>
                <w:color w:val="000000"/>
                <w:sz w:val="22"/>
                <w:szCs w:val="22"/>
                <w:lang w:eastAsia="en-GB"/>
              </w:rPr>
            </w:pPr>
            <w:r w:rsidRPr="004854F9">
              <w:rPr>
                <w:rFonts w:cs="Arial"/>
                <w:color w:val="000000"/>
                <w:sz w:val="22"/>
                <w:szCs w:val="22"/>
                <w:lang w:eastAsia="en-GB"/>
              </w:rPr>
              <w:t xml:space="preserve">LHM </w:t>
            </w:r>
          </w:p>
        </w:tc>
      </w:tr>
      <w:tr w:rsidR="00EA0E69" w:rsidRPr="004854F9" w:rsidTr="0092534F">
        <w:trPr>
          <w:trHeight w:val="131"/>
        </w:trPr>
        <w:tc>
          <w:tcPr>
            <w:tcW w:w="4503" w:type="dxa"/>
          </w:tcPr>
          <w:p w:rsidR="00EA0E69" w:rsidRPr="004854F9" w:rsidRDefault="00EA0E69" w:rsidP="00AA5020">
            <w:pPr>
              <w:autoSpaceDE w:val="0"/>
              <w:autoSpaceDN w:val="0"/>
              <w:adjustRightInd w:val="0"/>
              <w:spacing w:line="276" w:lineRule="auto"/>
              <w:rPr>
                <w:rFonts w:cs="Arial"/>
                <w:color w:val="000000"/>
                <w:sz w:val="22"/>
                <w:szCs w:val="22"/>
                <w:lang w:eastAsia="en-GB"/>
              </w:rPr>
            </w:pPr>
            <w:r w:rsidRPr="004854F9">
              <w:rPr>
                <w:rFonts w:cs="Arial"/>
                <w:color w:val="000000"/>
                <w:sz w:val="22"/>
                <w:szCs w:val="22"/>
                <w:lang w:eastAsia="en-GB"/>
              </w:rPr>
              <w:t xml:space="preserve">Set longlines </w:t>
            </w:r>
          </w:p>
        </w:tc>
        <w:tc>
          <w:tcPr>
            <w:tcW w:w="4961" w:type="dxa"/>
            <w:gridSpan w:val="2"/>
          </w:tcPr>
          <w:p w:rsidR="00EA0E69" w:rsidRPr="004854F9" w:rsidRDefault="00EA0E69" w:rsidP="00AA5020">
            <w:pPr>
              <w:autoSpaceDE w:val="0"/>
              <w:autoSpaceDN w:val="0"/>
              <w:adjustRightInd w:val="0"/>
              <w:spacing w:line="276" w:lineRule="auto"/>
              <w:rPr>
                <w:rFonts w:cs="Arial"/>
                <w:color w:val="000000"/>
                <w:sz w:val="22"/>
                <w:szCs w:val="22"/>
                <w:lang w:eastAsia="en-GB"/>
              </w:rPr>
            </w:pPr>
            <w:r w:rsidRPr="004854F9">
              <w:rPr>
                <w:rFonts w:cs="Arial"/>
                <w:color w:val="000000"/>
                <w:sz w:val="22"/>
                <w:szCs w:val="22"/>
                <w:lang w:eastAsia="en-GB"/>
              </w:rPr>
              <w:t xml:space="preserve">LLS </w:t>
            </w:r>
          </w:p>
        </w:tc>
      </w:tr>
      <w:tr w:rsidR="00EA0E69" w:rsidRPr="004854F9" w:rsidTr="0092534F">
        <w:trPr>
          <w:trHeight w:val="131"/>
        </w:trPr>
        <w:tc>
          <w:tcPr>
            <w:tcW w:w="4503" w:type="dxa"/>
          </w:tcPr>
          <w:p w:rsidR="00EA0E69" w:rsidRPr="004854F9" w:rsidRDefault="00EA0E69" w:rsidP="00AA5020">
            <w:pPr>
              <w:autoSpaceDE w:val="0"/>
              <w:autoSpaceDN w:val="0"/>
              <w:adjustRightInd w:val="0"/>
              <w:spacing w:line="276" w:lineRule="auto"/>
              <w:rPr>
                <w:rFonts w:cs="Arial"/>
                <w:color w:val="000000"/>
                <w:sz w:val="22"/>
                <w:szCs w:val="22"/>
                <w:lang w:eastAsia="en-GB"/>
              </w:rPr>
            </w:pPr>
            <w:r w:rsidRPr="004854F9">
              <w:rPr>
                <w:rFonts w:cs="Arial"/>
                <w:color w:val="000000"/>
                <w:sz w:val="22"/>
                <w:szCs w:val="22"/>
                <w:lang w:eastAsia="en-GB"/>
              </w:rPr>
              <w:t xml:space="preserve">Longlines (drifting) </w:t>
            </w:r>
          </w:p>
        </w:tc>
        <w:tc>
          <w:tcPr>
            <w:tcW w:w="4961" w:type="dxa"/>
            <w:gridSpan w:val="2"/>
          </w:tcPr>
          <w:p w:rsidR="00EA0E69" w:rsidRPr="004854F9" w:rsidRDefault="00EA0E69" w:rsidP="00AA5020">
            <w:pPr>
              <w:autoSpaceDE w:val="0"/>
              <w:autoSpaceDN w:val="0"/>
              <w:adjustRightInd w:val="0"/>
              <w:spacing w:line="276" w:lineRule="auto"/>
              <w:rPr>
                <w:rFonts w:cs="Arial"/>
                <w:color w:val="000000"/>
                <w:sz w:val="22"/>
                <w:szCs w:val="22"/>
                <w:lang w:eastAsia="en-GB"/>
              </w:rPr>
            </w:pPr>
            <w:r w:rsidRPr="004854F9">
              <w:rPr>
                <w:rFonts w:cs="Arial"/>
                <w:color w:val="000000"/>
                <w:sz w:val="22"/>
                <w:szCs w:val="22"/>
                <w:lang w:eastAsia="en-GB"/>
              </w:rPr>
              <w:t xml:space="preserve">LLD </w:t>
            </w:r>
          </w:p>
        </w:tc>
      </w:tr>
      <w:tr w:rsidR="00EA0E69" w:rsidRPr="004854F9" w:rsidTr="0092534F">
        <w:trPr>
          <w:trHeight w:val="131"/>
        </w:trPr>
        <w:tc>
          <w:tcPr>
            <w:tcW w:w="4503" w:type="dxa"/>
          </w:tcPr>
          <w:p w:rsidR="00EA0E69" w:rsidRPr="004854F9" w:rsidRDefault="00EA0E69" w:rsidP="00AA5020">
            <w:pPr>
              <w:autoSpaceDE w:val="0"/>
              <w:autoSpaceDN w:val="0"/>
              <w:adjustRightInd w:val="0"/>
              <w:spacing w:line="276" w:lineRule="auto"/>
              <w:rPr>
                <w:rFonts w:cs="Arial"/>
                <w:color w:val="000000"/>
                <w:sz w:val="22"/>
                <w:szCs w:val="22"/>
                <w:lang w:eastAsia="en-GB"/>
              </w:rPr>
            </w:pPr>
            <w:r w:rsidRPr="004854F9">
              <w:rPr>
                <w:rFonts w:cs="Arial"/>
                <w:color w:val="000000"/>
                <w:sz w:val="22"/>
                <w:szCs w:val="22"/>
                <w:lang w:eastAsia="en-GB"/>
              </w:rPr>
              <w:t xml:space="preserve">Troll lines </w:t>
            </w:r>
          </w:p>
        </w:tc>
        <w:tc>
          <w:tcPr>
            <w:tcW w:w="4961" w:type="dxa"/>
            <w:gridSpan w:val="2"/>
          </w:tcPr>
          <w:p w:rsidR="00EA0E69" w:rsidRPr="004854F9" w:rsidRDefault="00EA0E69" w:rsidP="00AA5020">
            <w:pPr>
              <w:autoSpaceDE w:val="0"/>
              <w:autoSpaceDN w:val="0"/>
              <w:adjustRightInd w:val="0"/>
              <w:spacing w:line="276" w:lineRule="auto"/>
              <w:rPr>
                <w:rFonts w:cs="Arial"/>
                <w:color w:val="000000"/>
                <w:sz w:val="22"/>
                <w:szCs w:val="22"/>
                <w:lang w:eastAsia="en-GB"/>
              </w:rPr>
            </w:pPr>
            <w:r w:rsidRPr="004854F9">
              <w:rPr>
                <w:rFonts w:cs="Arial"/>
                <w:color w:val="000000"/>
                <w:sz w:val="22"/>
                <w:szCs w:val="22"/>
                <w:lang w:eastAsia="en-GB"/>
              </w:rPr>
              <w:t xml:space="preserve">LTL </w:t>
            </w:r>
          </w:p>
        </w:tc>
      </w:tr>
      <w:tr w:rsidR="00EA0E69" w:rsidRPr="004854F9" w:rsidTr="0092534F">
        <w:trPr>
          <w:trHeight w:val="131"/>
        </w:trPr>
        <w:tc>
          <w:tcPr>
            <w:tcW w:w="4503" w:type="dxa"/>
          </w:tcPr>
          <w:p w:rsidR="00EA0E69" w:rsidRPr="004854F9" w:rsidRDefault="00EA0E69" w:rsidP="00AA5020">
            <w:pPr>
              <w:autoSpaceDE w:val="0"/>
              <w:autoSpaceDN w:val="0"/>
              <w:adjustRightInd w:val="0"/>
              <w:spacing w:line="276" w:lineRule="auto"/>
              <w:rPr>
                <w:rFonts w:cs="Arial"/>
                <w:color w:val="000000"/>
                <w:sz w:val="22"/>
                <w:szCs w:val="22"/>
                <w:lang w:eastAsia="en-GB"/>
              </w:rPr>
            </w:pPr>
            <w:r w:rsidRPr="004854F9">
              <w:rPr>
                <w:rFonts w:cs="Arial"/>
                <w:color w:val="000000"/>
                <w:sz w:val="22"/>
                <w:szCs w:val="22"/>
                <w:lang w:eastAsia="en-GB"/>
              </w:rPr>
              <w:t xml:space="preserve">Dredges </w:t>
            </w:r>
          </w:p>
        </w:tc>
        <w:tc>
          <w:tcPr>
            <w:tcW w:w="4252" w:type="dxa"/>
          </w:tcPr>
          <w:p w:rsidR="00EA0E69" w:rsidRPr="004854F9" w:rsidRDefault="00EA0E69" w:rsidP="00AA5020">
            <w:pPr>
              <w:autoSpaceDE w:val="0"/>
              <w:autoSpaceDN w:val="0"/>
              <w:adjustRightInd w:val="0"/>
              <w:spacing w:line="276" w:lineRule="auto"/>
              <w:rPr>
                <w:rFonts w:cs="Arial"/>
                <w:color w:val="000000"/>
                <w:sz w:val="22"/>
                <w:szCs w:val="22"/>
                <w:lang w:eastAsia="en-GB"/>
              </w:rPr>
            </w:pPr>
            <w:r w:rsidRPr="004854F9">
              <w:rPr>
                <w:rFonts w:cs="Arial"/>
                <w:color w:val="000000"/>
                <w:sz w:val="22"/>
                <w:szCs w:val="22"/>
                <w:lang w:eastAsia="en-GB"/>
              </w:rPr>
              <w:t xml:space="preserve">Boat dredges </w:t>
            </w:r>
          </w:p>
        </w:tc>
        <w:tc>
          <w:tcPr>
            <w:tcW w:w="709" w:type="dxa"/>
          </w:tcPr>
          <w:p w:rsidR="00EA0E69" w:rsidRPr="004854F9" w:rsidRDefault="00EA0E69" w:rsidP="00AA5020">
            <w:pPr>
              <w:autoSpaceDE w:val="0"/>
              <w:autoSpaceDN w:val="0"/>
              <w:adjustRightInd w:val="0"/>
              <w:spacing w:line="276" w:lineRule="auto"/>
              <w:rPr>
                <w:rFonts w:cs="Arial"/>
                <w:color w:val="000000"/>
                <w:sz w:val="22"/>
                <w:szCs w:val="22"/>
                <w:lang w:eastAsia="en-GB"/>
              </w:rPr>
            </w:pPr>
            <w:r w:rsidRPr="004854F9">
              <w:rPr>
                <w:rFonts w:cs="Arial"/>
                <w:color w:val="000000"/>
                <w:sz w:val="22"/>
                <w:szCs w:val="22"/>
                <w:lang w:eastAsia="en-GB"/>
              </w:rPr>
              <w:t xml:space="preserve">DRB </w:t>
            </w:r>
          </w:p>
        </w:tc>
      </w:tr>
      <w:tr w:rsidR="00EA0E69" w:rsidRPr="004854F9" w:rsidTr="0092534F">
        <w:trPr>
          <w:trHeight w:val="131"/>
        </w:trPr>
        <w:tc>
          <w:tcPr>
            <w:tcW w:w="4503" w:type="dxa"/>
          </w:tcPr>
          <w:p w:rsidR="00EA0E69" w:rsidRPr="004854F9" w:rsidRDefault="00EA0E69" w:rsidP="00AA5020">
            <w:pPr>
              <w:autoSpaceDE w:val="0"/>
              <w:autoSpaceDN w:val="0"/>
              <w:adjustRightInd w:val="0"/>
              <w:spacing w:line="276" w:lineRule="auto"/>
              <w:rPr>
                <w:rFonts w:cs="Arial"/>
                <w:color w:val="000000"/>
                <w:sz w:val="22"/>
                <w:szCs w:val="22"/>
                <w:lang w:eastAsia="en-GB"/>
              </w:rPr>
            </w:pPr>
            <w:r w:rsidRPr="004854F9">
              <w:rPr>
                <w:rFonts w:cs="Arial"/>
                <w:color w:val="000000"/>
                <w:sz w:val="22"/>
                <w:szCs w:val="22"/>
                <w:lang w:eastAsia="en-GB"/>
              </w:rPr>
              <w:t xml:space="preserve">Hand dredges used on board a vessel </w:t>
            </w:r>
          </w:p>
        </w:tc>
        <w:tc>
          <w:tcPr>
            <w:tcW w:w="4961" w:type="dxa"/>
            <w:gridSpan w:val="2"/>
          </w:tcPr>
          <w:p w:rsidR="00EA0E69" w:rsidRPr="004854F9" w:rsidRDefault="00EA0E69" w:rsidP="00AA5020">
            <w:pPr>
              <w:autoSpaceDE w:val="0"/>
              <w:autoSpaceDN w:val="0"/>
              <w:adjustRightInd w:val="0"/>
              <w:spacing w:line="276" w:lineRule="auto"/>
              <w:rPr>
                <w:rFonts w:cs="Arial"/>
                <w:color w:val="000000"/>
                <w:sz w:val="22"/>
                <w:szCs w:val="22"/>
                <w:lang w:eastAsia="en-GB"/>
              </w:rPr>
            </w:pPr>
            <w:r w:rsidRPr="004854F9">
              <w:rPr>
                <w:rFonts w:cs="Arial"/>
                <w:color w:val="000000"/>
                <w:sz w:val="22"/>
                <w:szCs w:val="22"/>
                <w:lang w:eastAsia="en-GB"/>
              </w:rPr>
              <w:t xml:space="preserve">DRH </w:t>
            </w:r>
          </w:p>
        </w:tc>
      </w:tr>
      <w:tr w:rsidR="00EA0E69" w:rsidRPr="004854F9" w:rsidTr="0092534F">
        <w:trPr>
          <w:trHeight w:val="131"/>
        </w:trPr>
        <w:tc>
          <w:tcPr>
            <w:tcW w:w="4503" w:type="dxa"/>
          </w:tcPr>
          <w:p w:rsidR="00EA0E69" w:rsidRPr="004854F9" w:rsidRDefault="00EA0E69" w:rsidP="00AA5020">
            <w:pPr>
              <w:autoSpaceDE w:val="0"/>
              <w:autoSpaceDN w:val="0"/>
              <w:adjustRightInd w:val="0"/>
              <w:spacing w:line="276" w:lineRule="auto"/>
              <w:rPr>
                <w:rFonts w:cs="Arial"/>
                <w:color w:val="000000"/>
                <w:sz w:val="22"/>
                <w:szCs w:val="22"/>
                <w:lang w:eastAsia="en-GB"/>
              </w:rPr>
            </w:pPr>
            <w:r w:rsidRPr="004854F9">
              <w:rPr>
                <w:rFonts w:cs="Arial"/>
                <w:color w:val="000000"/>
                <w:sz w:val="22"/>
                <w:szCs w:val="22"/>
                <w:lang w:eastAsia="en-GB"/>
              </w:rPr>
              <w:t xml:space="preserve">Mechanised dredges including suction dredges </w:t>
            </w:r>
          </w:p>
        </w:tc>
        <w:tc>
          <w:tcPr>
            <w:tcW w:w="4961" w:type="dxa"/>
            <w:gridSpan w:val="2"/>
          </w:tcPr>
          <w:p w:rsidR="00EA0E69" w:rsidRPr="004854F9" w:rsidRDefault="00EA0E69" w:rsidP="00AA5020">
            <w:pPr>
              <w:autoSpaceDE w:val="0"/>
              <w:autoSpaceDN w:val="0"/>
              <w:adjustRightInd w:val="0"/>
              <w:spacing w:line="276" w:lineRule="auto"/>
              <w:rPr>
                <w:rFonts w:cs="Arial"/>
                <w:color w:val="000000"/>
                <w:sz w:val="22"/>
                <w:szCs w:val="22"/>
                <w:lang w:eastAsia="en-GB"/>
              </w:rPr>
            </w:pPr>
            <w:r w:rsidRPr="004854F9">
              <w:rPr>
                <w:rFonts w:cs="Arial"/>
                <w:color w:val="000000"/>
                <w:sz w:val="22"/>
                <w:szCs w:val="22"/>
                <w:lang w:eastAsia="en-GB"/>
              </w:rPr>
              <w:t xml:space="preserve">HMD </w:t>
            </w:r>
          </w:p>
        </w:tc>
      </w:tr>
      <w:tr w:rsidR="00EA0E69" w:rsidRPr="004854F9" w:rsidTr="0092534F">
        <w:trPr>
          <w:trHeight w:val="131"/>
        </w:trPr>
        <w:tc>
          <w:tcPr>
            <w:tcW w:w="4503" w:type="dxa"/>
          </w:tcPr>
          <w:p w:rsidR="00EA0E69" w:rsidRPr="004854F9" w:rsidRDefault="00EA0E69" w:rsidP="00AA5020">
            <w:pPr>
              <w:autoSpaceDE w:val="0"/>
              <w:autoSpaceDN w:val="0"/>
              <w:adjustRightInd w:val="0"/>
              <w:spacing w:line="276" w:lineRule="auto"/>
              <w:rPr>
                <w:rFonts w:cs="Arial"/>
                <w:color w:val="000000"/>
                <w:sz w:val="22"/>
                <w:szCs w:val="22"/>
                <w:lang w:eastAsia="en-GB"/>
              </w:rPr>
            </w:pPr>
            <w:r w:rsidRPr="004854F9">
              <w:rPr>
                <w:rFonts w:cs="Arial"/>
                <w:color w:val="000000"/>
                <w:sz w:val="22"/>
                <w:szCs w:val="22"/>
                <w:lang w:eastAsia="en-GB"/>
              </w:rPr>
              <w:t xml:space="preserve">Pots and traps </w:t>
            </w:r>
          </w:p>
        </w:tc>
        <w:tc>
          <w:tcPr>
            <w:tcW w:w="4252" w:type="dxa"/>
          </w:tcPr>
          <w:p w:rsidR="00EA0E69" w:rsidRPr="004854F9" w:rsidRDefault="00EA0E69" w:rsidP="00AA5020">
            <w:pPr>
              <w:autoSpaceDE w:val="0"/>
              <w:autoSpaceDN w:val="0"/>
              <w:adjustRightInd w:val="0"/>
              <w:spacing w:line="276" w:lineRule="auto"/>
              <w:rPr>
                <w:rFonts w:cs="Arial"/>
                <w:color w:val="000000"/>
                <w:sz w:val="22"/>
                <w:szCs w:val="22"/>
                <w:lang w:eastAsia="en-GB"/>
              </w:rPr>
            </w:pPr>
            <w:r w:rsidRPr="004854F9">
              <w:rPr>
                <w:rFonts w:cs="Arial"/>
                <w:color w:val="000000"/>
                <w:sz w:val="22"/>
                <w:szCs w:val="22"/>
                <w:lang w:eastAsia="en-GB"/>
              </w:rPr>
              <w:t xml:space="preserve">Pots (traps) </w:t>
            </w:r>
          </w:p>
        </w:tc>
        <w:tc>
          <w:tcPr>
            <w:tcW w:w="709" w:type="dxa"/>
          </w:tcPr>
          <w:p w:rsidR="00EA0E69" w:rsidRPr="004854F9" w:rsidRDefault="00EA0E69" w:rsidP="00AA5020">
            <w:pPr>
              <w:autoSpaceDE w:val="0"/>
              <w:autoSpaceDN w:val="0"/>
              <w:adjustRightInd w:val="0"/>
              <w:spacing w:line="276" w:lineRule="auto"/>
              <w:rPr>
                <w:rFonts w:cs="Arial"/>
                <w:color w:val="000000"/>
                <w:sz w:val="22"/>
                <w:szCs w:val="22"/>
                <w:lang w:eastAsia="en-GB"/>
              </w:rPr>
            </w:pPr>
            <w:r w:rsidRPr="004854F9">
              <w:rPr>
                <w:rFonts w:cs="Arial"/>
                <w:color w:val="000000"/>
                <w:sz w:val="22"/>
                <w:szCs w:val="22"/>
                <w:lang w:eastAsia="en-GB"/>
              </w:rPr>
              <w:t xml:space="preserve">FPO </w:t>
            </w:r>
          </w:p>
        </w:tc>
      </w:tr>
    </w:tbl>
    <w:p w:rsidR="00EA0E69" w:rsidRDefault="00EA0E69" w:rsidP="00AA5020">
      <w:pPr>
        <w:pStyle w:val="IAHeadTitle"/>
        <w:spacing w:line="276" w:lineRule="auto"/>
        <w:rPr>
          <w:rFonts w:cs="Arial"/>
          <w:sz w:val="22"/>
          <w:szCs w:val="22"/>
        </w:rPr>
      </w:pPr>
    </w:p>
    <w:p w:rsidR="0026232C" w:rsidRDefault="0026232C" w:rsidP="00AA5020">
      <w:pPr>
        <w:pStyle w:val="IAHeadTitle"/>
        <w:spacing w:line="276" w:lineRule="auto"/>
        <w:rPr>
          <w:rFonts w:cs="Arial"/>
          <w:sz w:val="22"/>
          <w:szCs w:val="22"/>
        </w:rPr>
      </w:pPr>
    </w:p>
    <w:p w:rsidR="0026232C" w:rsidRDefault="0026232C" w:rsidP="00AA5020">
      <w:pPr>
        <w:pStyle w:val="IAHeadTitle"/>
        <w:spacing w:line="276" w:lineRule="auto"/>
        <w:rPr>
          <w:rFonts w:cs="Arial"/>
          <w:sz w:val="22"/>
          <w:szCs w:val="22"/>
        </w:rPr>
      </w:pPr>
    </w:p>
    <w:p w:rsidR="0026232C" w:rsidRDefault="0026232C" w:rsidP="00AA5020">
      <w:pPr>
        <w:pStyle w:val="IAHeadTitle"/>
        <w:spacing w:line="276" w:lineRule="auto"/>
        <w:rPr>
          <w:rFonts w:cs="Arial"/>
          <w:sz w:val="22"/>
          <w:szCs w:val="22"/>
        </w:rPr>
      </w:pPr>
    </w:p>
    <w:p w:rsidR="0026232C" w:rsidRDefault="0026232C" w:rsidP="00AA5020">
      <w:pPr>
        <w:pStyle w:val="IAHeadTitle"/>
        <w:spacing w:line="276" w:lineRule="auto"/>
        <w:rPr>
          <w:rFonts w:cs="Arial"/>
          <w:sz w:val="22"/>
          <w:szCs w:val="22"/>
        </w:rPr>
      </w:pPr>
    </w:p>
    <w:p w:rsidR="0026232C" w:rsidRDefault="0026232C" w:rsidP="00AA5020">
      <w:pPr>
        <w:pStyle w:val="IAHeadTitle"/>
        <w:spacing w:line="276" w:lineRule="auto"/>
        <w:rPr>
          <w:rFonts w:cs="Arial"/>
          <w:sz w:val="22"/>
          <w:szCs w:val="22"/>
        </w:rPr>
      </w:pPr>
    </w:p>
    <w:p w:rsidR="0026232C" w:rsidRDefault="0026232C" w:rsidP="00AA5020">
      <w:pPr>
        <w:pStyle w:val="IAHeadTitle"/>
        <w:spacing w:line="276" w:lineRule="auto"/>
        <w:rPr>
          <w:rFonts w:cs="Arial"/>
          <w:sz w:val="22"/>
          <w:szCs w:val="22"/>
        </w:rPr>
      </w:pPr>
    </w:p>
    <w:p w:rsidR="0026232C" w:rsidRDefault="0026232C" w:rsidP="00AA5020">
      <w:pPr>
        <w:pStyle w:val="IAHeadTitle"/>
        <w:spacing w:line="276" w:lineRule="auto"/>
        <w:rPr>
          <w:rFonts w:cs="Arial"/>
          <w:sz w:val="22"/>
          <w:szCs w:val="22"/>
        </w:rPr>
      </w:pPr>
    </w:p>
    <w:p w:rsidR="0026232C" w:rsidRDefault="0026232C" w:rsidP="00AA5020">
      <w:pPr>
        <w:pStyle w:val="IAHeadTitle"/>
        <w:spacing w:line="276" w:lineRule="auto"/>
        <w:rPr>
          <w:rFonts w:cs="Arial"/>
          <w:sz w:val="22"/>
          <w:szCs w:val="22"/>
        </w:rPr>
      </w:pPr>
    </w:p>
    <w:p w:rsidR="0026232C" w:rsidRDefault="0026232C" w:rsidP="00AA5020">
      <w:pPr>
        <w:pStyle w:val="IAHeadTitle"/>
        <w:spacing w:line="276" w:lineRule="auto"/>
        <w:rPr>
          <w:rFonts w:cs="Arial"/>
          <w:sz w:val="22"/>
          <w:szCs w:val="22"/>
        </w:rPr>
      </w:pPr>
    </w:p>
    <w:p w:rsidR="0026232C" w:rsidRDefault="0026232C" w:rsidP="00AA5020">
      <w:pPr>
        <w:pStyle w:val="IAHeadTitle"/>
        <w:spacing w:line="276" w:lineRule="auto"/>
        <w:rPr>
          <w:rFonts w:cs="Arial"/>
          <w:sz w:val="22"/>
          <w:szCs w:val="22"/>
        </w:rPr>
      </w:pPr>
    </w:p>
    <w:p w:rsidR="0026232C" w:rsidRDefault="0026232C" w:rsidP="00AA5020">
      <w:pPr>
        <w:pStyle w:val="IAHeadTitle"/>
        <w:spacing w:line="276" w:lineRule="auto"/>
        <w:rPr>
          <w:rFonts w:cs="Arial"/>
          <w:sz w:val="22"/>
          <w:szCs w:val="22"/>
        </w:rPr>
      </w:pPr>
    </w:p>
    <w:p w:rsidR="0026232C" w:rsidRDefault="0026232C" w:rsidP="00AA5020">
      <w:pPr>
        <w:pStyle w:val="IAHeadTitle"/>
        <w:spacing w:line="276" w:lineRule="auto"/>
        <w:rPr>
          <w:rFonts w:cs="Arial"/>
          <w:sz w:val="22"/>
          <w:szCs w:val="22"/>
        </w:rPr>
      </w:pPr>
    </w:p>
    <w:p w:rsidR="0026232C" w:rsidRDefault="0026232C" w:rsidP="00AA5020">
      <w:pPr>
        <w:pStyle w:val="IAHeadTitle"/>
        <w:spacing w:line="276" w:lineRule="auto"/>
        <w:rPr>
          <w:rFonts w:cs="Arial"/>
          <w:sz w:val="22"/>
          <w:szCs w:val="22"/>
        </w:rPr>
      </w:pPr>
    </w:p>
    <w:p w:rsidR="0026232C" w:rsidRDefault="0026232C" w:rsidP="00AA5020">
      <w:pPr>
        <w:pStyle w:val="IAHeadTitle"/>
        <w:spacing w:line="276" w:lineRule="auto"/>
        <w:rPr>
          <w:rFonts w:cs="Arial"/>
          <w:sz w:val="22"/>
          <w:szCs w:val="22"/>
        </w:rPr>
      </w:pPr>
    </w:p>
    <w:p w:rsidR="0026232C" w:rsidRPr="00937103" w:rsidRDefault="0026232C" w:rsidP="00937103">
      <w:pPr>
        <w:pStyle w:val="IAHeadTitle"/>
        <w:spacing w:line="276" w:lineRule="auto"/>
        <w:jc w:val="both"/>
        <w:rPr>
          <w:rFonts w:cs="Arial"/>
          <w:b/>
          <w:sz w:val="22"/>
          <w:szCs w:val="22"/>
        </w:rPr>
      </w:pPr>
      <w:r w:rsidRPr="00937103">
        <w:rPr>
          <w:rFonts w:cs="Arial"/>
          <w:b/>
          <w:sz w:val="22"/>
          <w:szCs w:val="22"/>
        </w:rPr>
        <w:lastRenderedPageBreak/>
        <w:t>Annex C Consultation Questions for IA</w:t>
      </w:r>
    </w:p>
    <w:p w:rsidR="00BA5703" w:rsidRPr="00937103" w:rsidRDefault="00BA5703" w:rsidP="00937103">
      <w:pPr>
        <w:pStyle w:val="IAHeadTitle"/>
        <w:spacing w:line="276" w:lineRule="auto"/>
        <w:jc w:val="both"/>
        <w:rPr>
          <w:rFonts w:cs="Arial"/>
          <w:sz w:val="22"/>
          <w:szCs w:val="22"/>
        </w:rPr>
      </w:pPr>
    </w:p>
    <w:p w:rsidR="00BA5703" w:rsidRPr="00937103" w:rsidRDefault="00BA5703" w:rsidP="00937103">
      <w:pPr>
        <w:spacing w:line="276" w:lineRule="auto"/>
        <w:jc w:val="both"/>
        <w:rPr>
          <w:rFonts w:cs="Arial"/>
          <w:sz w:val="22"/>
          <w:szCs w:val="22"/>
        </w:rPr>
      </w:pPr>
      <w:r w:rsidRPr="00937103">
        <w:rPr>
          <w:rFonts w:cs="Arial"/>
          <w:sz w:val="22"/>
          <w:szCs w:val="22"/>
        </w:rPr>
        <w:t>Consultation:  This IA will accompany the consultation document. The questions specifically relating to the IA that will be included in the consultation</w:t>
      </w:r>
      <w:r w:rsidR="008F56F4">
        <w:rPr>
          <w:rFonts w:cs="Arial"/>
          <w:sz w:val="22"/>
          <w:szCs w:val="22"/>
        </w:rPr>
        <w:t xml:space="preserve"> document</w:t>
      </w:r>
      <w:r w:rsidRPr="00937103">
        <w:rPr>
          <w:rFonts w:cs="Arial"/>
          <w:sz w:val="22"/>
          <w:szCs w:val="22"/>
        </w:rPr>
        <w:t xml:space="preserve"> are: </w:t>
      </w:r>
    </w:p>
    <w:p w:rsidR="0007148D" w:rsidRPr="00937103" w:rsidRDefault="0007148D" w:rsidP="00937103">
      <w:pPr>
        <w:spacing w:line="276" w:lineRule="auto"/>
        <w:jc w:val="both"/>
        <w:rPr>
          <w:rFonts w:cs="Arial"/>
          <w:sz w:val="22"/>
          <w:szCs w:val="22"/>
        </w:rPr>
      </w:pPr>
    </w:p>
    <w:p w:rsidR="001F3E81" w:rsidRPr="008F56F4" w:rsidRDefault="001F3E81" w:rsidP="00937103">
      <w:pPr>
        <w:pStyle w:val="IAHeadTitle"/>
        <w:numPr>
          <w:ilvl w:val="0"/>
          <w:numId w:val="13"/>
        </w:numPr>
        <w:spacing w:line="276" w:lineRule="auto"/>
        <w:jc w:val="both"/>
        <w:rPr>
          <w:rFonts w:cs="Arial"/>
          <w:sz w:val="22"/>
          <w:szCs w:val="22"/>
        </w:rPr>
      </w:pPr>
      <w:r>
        <w:rPr>
          <w:rFonts w:cs="Arial"/>
          <w:bCs/>
          <w:sz w:val="22"/>
          <w:szCs w:val="22"/>
        </w:rPr>
        <w:t>Do you agree with the Government’s approach to implementing and enforcing the new marketing standards and labelling requirements in the new CMO? If not, why not, and what should the Government be doing instead?</w:t>
      </w:r>
    </w:p>
    <w:p w:rsidR="008F56F4" w:rsidRDefault="008F56F4" w:rsidP="008F56F4">
      <w:pPr>
        <w:pStyle w:val="IAHeadTitle"/>
        <w:spacing w:line="276" w:lineRule="auto"/>
        <w:ind w:left="360"/>
        <w:jc w:val="both"/>
        <w:rPr>
          <w:rFonts w:cs="Arial"/>
          <w:bCs/>
          <w:sz w:val="22"/>
          <w:szCs w:val="22"/>
        </w:rPr>
      </w:pPr>
    </w:p>
    <w:p w:rsidR="008F56F4" w:rsidRDefault="008F56F4" w:rsidP="008F56F4">
      <w:pPr>
        <w:pStyle w:val="IAHeadTitle"/>
        <w:spacing w:line="276" w:lineRule="auto"/>
        <w:jc w:val="both"/>
        <w:rPr>
          <w:rFonts w:cs="Arial"/>
          <w:bCs/>
          <w:sz w:val="22"/>
          <w:szCs w:val="22"/>
        </w:rPr>
      </w:pPr>
      <w:r>
        <w:rPr>
          <w:rFonts w:cs="Arial"/>
          <w:bCs/>
          <w:sz w:val="22"/>
          <w:szCs w:val="22"/>
        </w:rPr>
        <w:t>In addition, the answering following questions will assist us in finalising the impact assessment after consultation and can be responded to using the consultation email address (</w:t>
      </w:r>
      <w:r>
        <w:rPr>
          <w:b/>
          <w:color w:val="auto"/>
          <w:sz w:val="20"/>
        </w:rPr>
        <w:t>cmo.consultation@defra.gsi.gov.uk)</w:t>
      </w:r>
      <w:r>
        <w:rPr>
          <w:rFonts w:cs="Arial"/>
          <w:bCs/>
          <w:sz w:val="22"/>
          <w:szCs w:val="22"/>
        </w:rPr>
        <w:t>.</w:t>
      </w:r>
    </w:p>
    <w:p w:rsidR="008F56F4" w:rsidRDefault="008F56F4" w:rsidP="008F56F4">
      <w:pPr>
        <w:pStyle w:val="IAHeadTitle"/>
        <w:spacing w:line="276" w:lineRule="auto"/>
        <w:jc w:val="both"/>
        <w:rPr>
          <w:rFonts w:cs="Arial"/>
          <w:bCs/>
          <w:sz w:val="22"/>
          <w:szCs w:val="22"/>
        </w:rPr>
      </w:pPr>
    </w:p>
    <w:p w:rsidR="008F56F4" w:rsidRPr="00937103" w:rsidRDefault="008F56F4" w:rsidP="00E811F2">
      <w:pPr>
        <w:pStyle w:val="ListParagraph"/>
        <w:numPr>
          <w:ilvl w:val="0"/>
          <w:numId w:val="39"/>
        </w:numPr>
        <w:autoSpaceDE w:val="0"/>
        <w:autoSpaceDN w:val="0"/>
        <w:adjustRightInd w:val="0"/>
        <w:spacing w:line="276" w:lineRule="auto"/>
        <w:jc w:val="both"/>
        <w:rPr>
          <w:rFonts w:ascii="Arial" w:hAnsi="Arial" w:cs="Arial"/>
          <w:noProof/>
        </w:rPr>
      </w:pPr>
      <w:r w:rsidRPr="00937103">
        <w:rPr>
          <w:rFonts w:ascii="Arial" w:hAnsi="Arial" w:cs="Arial"/>
          <w:noProof/>
        </w:rPr>
        <w:t>Do you think that there are any issues that we have not identified that we should be aware of?</w:t>
      </w:r>
    </w:p>
    <w:p w:rsidR="008F56F4" w:rsidRPr="00937103" w:rsidRDefault="008F56F4" w:rsidP="00E811F2">
      <w:pPr>
        <w:pStyle w:val="ListParagraph"/>
        <w:numPr>
          <w:ilvl w:val="0"/>
          <w:numId w:val="39"/>
        </w:numPr>
        <w:autoSpaceDE w:val="0"/>
        <w:autoSpaceDN w:val="0"/>
        <w:adjustRightInd w:val="0"/>
        <w:spacing w:line="276" w:lineRule="auto"/>
        <w:jc w:val="both"/>
        <w:rPr>
          <w:rFonts w:ascii="Arial" w:hAnsi="Arial" w:cs="Arial"/>
          <w:noProof/>
        </w:rPr>
      </w:pPr>
      <w:r w:rsidRPr="00937103">
        <w:rPr>
          <w:rFonts w:ascii="Arial" w:hAnsi="Arial" w:cs="Arial"/>
        </w:rPr>
        <w:t>Do you have any comments/evidence on the costs and benefits presented in the impact assessment? Are there any costs or benefits missing? If so please provide evidence to support their inclusion.</w:t>
      </w:r>
    </w:p>
    <w:p w:rsidR="008F56F4" w:rsidRPr="00937103" w:rsidRDefault="008F56F4" w:rsidP="00E811F2">
      <w:pPr>
        <w:pStyle w:val="IAHeadTitle"/>
        <w:numPr>
          <w:ilvl w:val="0"/>
          <w:numId w:val="39"/>
        </w:numPr>
        <w:spacing w:line="276" w:lineRule="auto"/>
        <w:jc w:val="both"/>
        <w:rPr>
          <w:rFonts w:cs="Arial"/>
          <w:bCs/>
          <w:sz w:val="22"/>
          <w:szCs w:val="22"/>
        </w:rPr>
      </w:pPr>
      <w:r w:rsidRPr="00937103">
        <w:rPr>
          <w:rFonts w:cs="Arial"/>
          <w:bCs/>
          <w:sz w:val="22"/>
          <w:szCs w:val="22"/>
        </w:rPr>
        <w:t>Stakeholders are invited to provide views on the proposed policy options and suggest any further ways in which the CMO could be implemented at least cost.</w:t>
      </w:r>
    </w:p>
    <w:p w:rsidR="008F56F4" w:rsidRPr="00937103" w:rsidRDefault="008F56F4" w:rsidP="00E811F2">
      <w:pPr>
        <w:pStyle w:val="IAHeadTitle"/>
        <w:numPr>
          <w:ilvl w:val="0"/>
          <w:numId w:val="39"/>
        </w:numPr>
        <w:spacing w:line="276" w:lineRule="auto"/>
        <w:jc w:val="both"/>
        <w:rPr>
          <w:rFonts w:cs="Arial"/>
          <w:bCs/>
          <w:sz w:val="22"/>
          <w:szCs w:val="22"/>
        </w:rPr>
      </w:pPr>
      <w:r w:rsidRPr="00937103">
        <w:rPr>
          <w:rFonts w:cs="Arial"/>
          <w:bCs/>
          <w:sz w:val="22"/>
          <w:szCs w:val="22"/>
        </w:rPr>
        <w:t>Stakeholders are invited to provide views on the labelling costs set out. Are the time to familiarise and hourly wage rate assumptions realistic? Are there any additional costs that we have not identified or groups we have missed? Please provide figures and evidence for those figures.</w:t>
      </w:r>
    </w:p>
    <w:p w:rsidR="008F56F4" w:rsidRPr="00937103" w:rsidRDefault="008F56F4" w:rsidP="00E811F2">
      <w:pPr>
        <w:pStyle w:val="IAHeadTitle"/>
        <w:numPr>
          <w:ilvl w:val="0"/>
          <w:numId w:val="39"/>
        </w:numPr>
        <w:spacing w:line="276" w:lineRule="auto"/>
        <w:jc w:val="both"/>
        <w:rPr>
          <w:rFonts w:cs="Arial"/>
          <w:bCs/>
          <w:sz w:val="22"/>
          <w:szCs w:val="22"/>
        </w:rPr>
      </w:pPr>
      <w:r w:rsidRPr="00937103">
        <w:rPr>
          <w:rFonts w:cs="Arial"/>
          <w:bCs/>
          <w:sz w:val="22"/>
          <w:szCs w:val="22"/>
        </w:rPr>
        <w:t>Stakeholders are invited to provide any views on the description of the benefits above. Are there any benefits that have been missed? Could any benefits of implementation of the CMO in E &amp; W be quantified? Please provide figures and evidence with suggestions.</w:t>
      </w:r>
    </w:p>
    <w:p w:rsidR="008F56F4" w:rsidRPr="008F56F4" w:rsidRDefault="008F56F4" w:rsidP="00E811F2">
      <w:pPr>
        <w:pStyle w:val="IAHeadTitle"/>
        <w:numPr>
          <w:ilvl w:val="0"/>
          <w:numId w:val="39"/>
        </w:numPr>
        <w:spacing w:line="276" w:lineRule="auto"/>
        <w:jc w:val="both"/>
        <w:rPr>
          <w:rFonts w:cs="Arial"/>
          <w:sz w:val="22"/>
          <w:szCs w:val="22"/>
        </w:rPr>
      </w:pPr>
      <w:r w:rsidRPr="00937103">
        <w:rPr>
          <w:rFonts w:cs="Arial"/>
          <w:bCs/>
          <w:sz w:val="22"/>
          <w:szCs w:val="22"/>
        </w:rPr>
        <w:t>Government is keen to capture any up-to-date information that can assist in finalising this Impact Assessment and drafting the new Statutory Instrument, in particular around costs, efficacy of measures, etc. Please contribute any up-to-date information you think will be useful in refining and completing this Impact Assessment.</w:t>
      </w:r>
    </w:p>
    <w:sectPr w:rsidR="008F56F4" w:rsidRPr="008F56F4" w:rsidSect="00332EB2">
      <w:footerReference w:type="default" r:id="rId12"/>
      <w:footnotePr>
        <w:numRestart w:val="eachSect"/>
      </w:footnotePr>
      <w:pgSz w:w="11907" w:h="16840" w:code="9"/>
      <w:pgMar w:top="680" w:right="851" w:bottom="680" w:left="851" w:header="284" w:footer="28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2AA" w:rsidRDefault="000C32AA">
      <w:r>
        <w:separator/>
      </w:r>
    </w:p>
  </w:endnote>
  <w:endnote w:type="continuationSeparator" w:id="0">
    <w:p w:rsidR="000C32AA" w:rsidRDefault="000C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2AA" w:rsidRPr="00EB43FD" w:rsidRDefault="000C32AA" w:rsidP="005A3880">
    <w:pPr>
      <w:pStyle w:val="Footer"/>
    </w:pPr>
    <w:r w:rsidRPr="00EB43FD">
      <w:rPr>
        <w:rStyle w:val="PageNumber"/>
        <w:rFonts w:eastAsia="SimSun"/>
        <w:b w:val="0"/>
        <w:szCs w:val="18"/>
      </w:rPr>
      <w:fldChar w:fldCharType="begin"/>
    </w:r>
    <w:r w:rsidRPr="00EB43FD">
      <w:rPr>
        <w:rStyle w:val="PageNumber"/>
        <w:rFonts w:eastAsia="SimSun"/>
        <w:b w:val="0"/>
        <w:szCs w:val="18"/>
      </w:rPr>
      <w:instrText xml:space="preserve"> PAGE </w:instrText>
    </w:r>
    <w:r w:rsidRPr="00EB43FD">
      <w:rPr>
        <w:rStyle w:val="PageNumber"/>
        <w:rFonts w:eastAsia="SimSun"/>
        <w:b w:val="0"/>
        <w:szCs w:val="18"/>
      </w:rPr>
      <w:fldChar w:fldCharType="separate"/>
    </w:r>
    <w:r w:rsidR="004311A7">
      <w:rPr>
        <w:rStyle w:val="PageNumber"/>
        <w:rFonts w:eastAsia="SimSun"/>
        <w:b w:val="0"/>
        <w:noProof/>
        <w:szCs w:val="18"/>
      </w:rPr>
      <w:t>1</w:t>
    </w:r>
    <w:r w:rsidRPr="00EB43FD">
      <w:rPr>
        <w:rStyle w:val="PageNumber"/>
        <w:rFonts w:eastAsia="SimSun"/>
        <w:b w:val="0"/>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2AA" w:rsidRPr="00EB43FD" w:rsidRDefault="000C32AA"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4311A7">
      <w:rPr>
        <w:rStyle w:val="PageNumber"/>
        <w:b w:val="0"/>
        <w:noProof/>
        <w:szCs w:val="18"/>
      </w:rPr>
      <w:t>20</w:t>
    </w:r>
    <w:r w:rsidRPr="00EB43FD">
      <w:rPr>
        <w:rStyle w:val="PageNumber"/>
        <w:b w:val="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2AA" w:rsidRDefault="000C32AA">
      <w:r>
        <w:separator/>
      </w:r>
    </w:p>
  </w:footnote>
  <w:footnote w:type="continuationSeparator" w:id="0">
    <w:p w:rsidR="000C32AA" w:rsidRDefault="000C32AA">
      <w:r>
        <w:continuationSeparator/>
      </w:r>
    </w:p>
  </w:footnote>
  <w:footnote w:id="1">
    <w:p w:rsidR="000C32AA" w:rsidRDefault="000C32AA" w:rsidP="004854F9">
      <w:pPr>
        <w:pStyle w:val="FootnoteText"/>
      </w:pPr>
      <w:r>
        <w:rPr>
          <w:rStyle w:val="FootnoteReference"/>
        </w:rPr>
        <w:footnoteRef/>
      </w:r>
      <w:r>
        <w:t xml:space="preserve"> Seafood here includes unprocessed fish, molluscs, crustaceans and seaweed harvested from the wild and produced by aquaculture (including freshwater)</w:t>
      </w:r>
      <w:r>
        <w:rPr>
          <w:lang w:val="en-GB"/>
        </w:rPr>
        <w:t xml:space="preserve"> – see Annex A for list of affected products</w:t>
      </w:r>
      <w:r>
        <w:t>.</w:t>
      </w:r>
    </w:p>
  </w:footnote>
  <w:footnote w:id="2">
    <w:p w:rsidR="000C32AA" w:rsidRDefault="000C32AA" w:rsidP="004854F9">
      <w:pPr>
        <w:pStyle w:val="FootnoteText"/>
      </w:pPr>
      <w:r>
        <w:rPr>
          <w:rStyle w:val="FootnoteReference"/>
        </w:rPr>
        <w:footnoteRef/>
      </w:r>
      <w:r>
        <w:t xml:space="preserve"> See the following link for details: </w:t>
      </w:r>
      <w:r w:rsidRPr="000D3C4E">
        <w:t>https://www.gov.uk/government/consultations/proposals-relating-to-the-common-fisheries-policy-and-the-common-organisation-of-the-markets-in-fishery-and-aquaculture-products</w:t>
      </w:r>
    </w:p>
  </w:footnote>
  <w:footnote w:id="3">
    <w:p w:rsidR="000C32AA" w:rsidRDefault="000C32AA" w:rsidP="004854F9">
      <w:pPr>
        <w:pStyle w:val="FootnoteText"/>
      </w:pPr>
      <w:r>
        <w:rPr>
          <w:rStyle w:val="FootnoteReference"/>
        </w:rPr>
        <w:footnoteRef/>
      </w:r>
      <w:r>
        <w:t xml:space="preserve"> HMT Green Book (2003) </w:t>
      </w:r>
      <w:hyperlink r:id="rId1" w:history="1">
        <w:r w:rsidRPr="003B22F7">
          <w:rPr>
            <w:rStyle w:val="Hyperlink"/>
          </w:rPr>
          <w:t>https://www.gov.uk/government/uploads/system/uploads/attachment_data/file/220541/green_book_complete.pdf</w:t>
        </w:r>
      </w:hyperlink>
      <w:r>
        <w:t xml:space="preserve"> </w:t>
      </w:r>
    </w:p>
  </w:footnote>
  <w:footnote w:id="4">
    <w:p w:rsidR="000C32AA" w:rsidRPr="007D6D91" w:rsidRDefault="000C32AA">
      <w:pPr>
        <w:pStyle w:val="FootnoteText"/>
        <w:rPr>
          <w:lang w:val="en-GB"/>
        </w:rPr>
      </w:pPr>
      <w:r>
        <w:rPr>
          <w:rStyle w:val="FootnoteReference"/>
        </w:rPr>
        <w:footnoteRef/>
      </w:r>
      <w:r>
        <w:t xml:space="preserve"> </w:t>
      </w:r>
      <w:r>
        <w:rPr>
          <w:lang w:val="en-GB"/>
        </w:rPr>
        <w:t>The mandatory information required on gear types used is given by the first column of Annex III of the legislation and is included as Annex B in this impact assessment.</w:t>
      </w:r>
    </w:p>
  </w:footnote>
  <w:footnote w:id="5">
    <w:p w:rsidR="000C32AA" w:rsidRPr="006720E7" w:rsidRDefault="000C32AA" w:rsidP="00BB2158">
      <w:pPr>
        <w:pStyle w:val="FootnoteText"/>
        <w:rPr>
          <w:lang w:val="en-GB"/>
        </w:rPr>
      </w:pPr>
      <w:r>
        <w:rPr>
          <w:rStyle w:val="FootnoteReference"/>
        </w:rPr>
        <w:footnoteRef/>
      </w:r>
      <w:r>
        <w:t xml:space="preserve"> </w:t>
      </w:r>
      <w:r>
        <w:rPr>
          <w:lang w:val="en-GB"/>
        </w:rPr>
        <w:t>See the second column of Annex B.</w:t>
      </w:r>
    </w:p>
  </w:footnote>
  <w:footnote w:id="6">
    <w:p w:rsidR="000C32AA" w:rsidRPr="000061B1" w:rsidRDefault="000C32AA">
      <w:pPr>
        <w:pStyle w:val="FootnoteText"/>
        <w:rPr>
          <w:lang w:val="en-GB"/>
        </w:rPr>
      </w:pPr>
      <w:r>
        <w:rPr>
          <w:rStyle w:val="FootnoteReference"/>
        </w:rPr>
        <w:footnoteRef/>
      </w:r>
      <w:r>
        <w:t xml:space="preserve"> </w:t>
      </w:r>
      <w:r>
        <w:rPr>
          <w:lang w:val="en-GB"/>
        </w:rPr>
        <w:t xml:space="preserve">A QR code is a matrix that is readable by smart phone or other scanner in order to obtain detailed information on a product electronically that would not fit on the label otherwise. </w:t>
      </w:r>
    </w:p>
  </w:footnote>
  <w:footnote w:id="7">
    <w:p w:rsidR="000C32AA" w:rsidRPr="006A051C" w:rsidRDefault="000C32AA">
      <w:pPr>
        <w:pStyle w:val="FootnoteText"/>
        <w:rPr>
          <w:lang w:val="en-GB"/>
        </w:rPr>
      </w:pPr>
      <w:r>
        <w:rPr>
          <w:rStyle w:val="FootnoteReference"/>
        </w:rPr>
        <w:footnoteRef/>
      </w:r>
      <w:r>
        <w:t xml:space="preserve"> </w:t>
      </w:r>
      <w:r w:rsidRPr="006A051C">
        <w:t>http://www.marinemanagement.org.uk/about/documents/section14.pdf</w:t>
      </w:r>
    </w:p>
  </w:footnote>
  <w:footnote w:id="8">
    <w:p w:rsidR="000C32AA" w:rsidRPr="0002624B" w:rsidRDefault="000C32AA">
      <w:pPr>
        <w:pStyle w:val="FootnoteText"/>
        <w:rPr>
          <w:lang w:val="en-GB"/>
        </w:rPr>
      </w:pPr>
      <w:r>
        <w:rPr>
          <w:rStyle w:val="FootnoteReference"/>
        </w:rPr>
        <w:footnoteRef/>
      </w:r>
      <w:r>
        <w:t xml:space="preserve"> </w:t>
      </w:r>
      <w:r>
        <w:rPr>
          <w:lang w:val="en-GB"/>
        </w:rPr>
        <w:t>The EMFF is still under negotiation and so these costs may not be recoverable under the EMFF and in individual cases the application for funding may not be successful anyway.</w:t>
      </w:r>
    </w:p>
  </w:footnote>
  <w:footnote w:id="9">
    <w:p w:rsidR="000C32AA" w:rsidRPr="00B663F4" w:rsidRDefault="000C32AA" w:rsidP="00AA5020">
      <w:pPr>
        <w:pStyle w:val="FootnoteText"/>
        <w:rPr>
          <w:rFonts w:cs="Arial"/>
          <w:szCs w:val="16"/>
        </w:rPr>
      </w:pPr>
      <w:r w:rsidRPr="00B663F4">
        <w:rPr>
          <w:rStyle w:val="FootnoteReference"/>
          <w:rFonts w:cs="Arial"/>
          <w:szCs w:val="16"/>
        </w:rPr>
        <w:footnoteRef/>
      </w:r>
      <w:r w:rsidRPr="00B663F4">
        <w:rPr>
          <w:rFonts w:cs="Arial"/>
          <w:szCs w:val="16"/>
        </w:rPr>
        <w:t>MMO 2013</w:t>
      </w:r>
      <w:r>
        <w:rPr>
          <w:rFonts w:cs="Arial"/>
          <w:szCs w:val="16"/>
        </w:rPr>
        <w:t>:</w:t>
      </w:r>
      <w:r w:rsidRPr="00B663F4">
        <w:rPr>
          <w:rFonts w:cs="Arial"/>
          <w:szCs w:val="16"/>
        </w:rPr>
        <w:t xml:space="preserve"> “</w:t>
      </w:r>
      <w:r>
        <w:rPr>
          <w:rFonts w:cs="Arial"/>
          <w:szCs w:val="16"/>
        </w:rPr>
        <w:t>UK Sea Fisheries Statistics 2012</w:t>
      </w:r>
      <w:r w:rsidRPr="00B663F4">
        <w:rPr>
          <w:rFonts w:cs="Arial"/>
          <w:szCs w:val="16"/>
        </w:rPr>
        <w:t>”</w:t>
      </w:r>
      <w:r>
        <w:rPr>
          <w:rFonts w:cs="Arial"/>
          <w:szCs w:val="16"/>
        </w:rPr>
        <w:t>.</w:t>
      </w:r>
      <w:r w:rsidRPr="00B663F4">
        <w:rPr>
          <w:rFonts w:cs="Arial"/>
          <w:szCs w:val="16"/>
        </w:rPr>
        <w:t xml:space="preserve"> http://www.marinemanagement.org.uk/fisheries/statistics/documents/ukseafish/2012/final.pdf</w:t>
      </w:r>
    </w:p>
  </w:footnote>
  <w:footnote w:id="10">
    <w:p w:rsidR="000C32AA" w:rsidRPr="00BF762E" w:rsidRDefault="000C32AA" w:rsidP="004E00A3">
      <w:pPr>
        <w:pStyle w:val="FootnoteText"/>
      </w:pPr>
      <w:r>
        <w:rPr>
          <w:rStyle w:val="FootnoteReference"/>
        </w:rPr>
        <w:footnoteRef/>
      </w:r>
      <w:r>
        <w:t xml:space="preserve"> This is based on 346 vessels in English and Welsh POs out of 590 English and Welsh administered vessels in 2012 (MMO,2013). However, in reality Scottish, Northern Irish and other nationality vessels may be members of English and Welsh POs and vice versa; meaning this is just an estimate based on the assumption that only English and Welsh Vessels are members of English and Welsh POs.</w:t>
      </w:r>
    </w:p>
  </w:footnote>
  <w:footnote w:id="11">
    <w:p w:rsidR="000C32AA" w:rsidRPr="00215A3D" w:rsidRDefault="000C32AA" w:rsidP="00AA5020">
      <w:pPr>
        <w:pStyle w:val="FootnoteText"/>
      </w:pPr>
      <w:r>
        <w:rPr>
          <w:rStyle w:val="FootnoteReference"/>
        </w:rPr>
        <w:footnoteRef/>
      </w:r>
      <w:r>
        <w:t xml:space="preserve"> Shellfish can include freshwater, saltwater, and diadromous (lives in both types of water) shellfish such as mussels, scallops and oysters. </w:t>
      </w:r>
    </w:p>
  </w:footnote>
  <w:footnote w:id="12">
    <w:p w:rsidR="000C32AA" w:rsidRPr="00215A3D" w:rsidRDefault="000C32AA" w:rsidP="00AA5020">
      <w:pPr>
        <w:pStyle w:val="FootnoteText"/>
      </w:pPr>
      <w:r>
        <w:rPr>
          <w:rStyle w:val="FootnoteReference"/>
        </w:rPr>
        <w:footnoteRef/>
      </w:r>
      <w:r>
        <w:t xml:space="preserve"> Finfish can include freshwater, saltwater, and diadromous (lives in both types of water) fish such as Atlantic salmon, trout and carp.</w:t>
      </w:r>
    </w:p>
  </w:footnote>
  <w:footnote w:id="13">
    <w:p w:rsidR="000C32AA" w:rsidRPr="00B663F4" w:rsidRDefault="000C32AA" w:rsidP="00AA5020">
      <w:pPr>
        <w:pStyle w:val="FootnoteText"/>
        <w:rPr>
          <w:rFonts w:cs="Arial"/>
          <w:szCs w:val="16"/>
        </w:rPr>
      </w:pPr>
      <w:r w:rsidRPr="00B663F4">
        <w:rPr>
          <w:rStyle w:val="FootnoteReference"/>
          <w:rFonts w:cs="Arial"/>
          <w:szCs w:val="16"/>
        </w:rPr>
        <w:footnoteRef/>
      </w:r>
      <w:r w:rsidRPr="00B663F4">
        <w:rPr>
          <w:rFonts w:cs="Arial"/>
          <w:szCs w:val="16"/>
        </w:rPr>
        <w:t xml:space="preserve"> Seafish 2013: “The Seafish Guide to Aquaculture”. http://www.seafish.org/media/publications/SeafishGuidetoAquaculture_201309.pdf</w:t>
      </w:r>
    </w:p>
  </w:footnote>
  <w:footnote w:id="14">
    <w:p w:rsidR="000C32AA" w:rsidRPr="00971CA6" w:rsidRDefault="000C32AA" w:rsidP="00AA5020">
      <w:pPr>
        <w:pStyle w:val="FootnoteText"/>
        <w:rPr>
          <w:rFonts w:cs="Arial"/>
          <w:szCs w:val="16"/>
        </w:rPr>
      </w:pPr>
      <w:r w:rsidRPr="00971CA6">
        <w:rPr>
          <w:rStyle w:val="FootnoteReference"/>
          <w:rFonts w:cs="Arial"/>
          <w:szCs w:val="16"/>
        </w:rPr>
        <w:footnoteRef/>
      </w:r>
      <w:r>
        <w:rPr>
          <w:rFonts w:cs="Arial"/>
          <w:szCs w:val="16"/>
        </w:rPr>
        <w:t xml:space="preserve"> Seafish 2011</w:t>
      </w:r>
      <w:r w:rsidRPr="00971CA6">
        <w:rPr>
          <w:rFonts w:cs="Arial"/>
          <w:szCs w:val="16"/>
        </w:rPr>
        <w:t>: “Who’s who in UK Aquaculture”. http://www.seafish.org/media/Publications/SeafishSummary_WhosWhoinUKaquaculture_201111.pdf</w:t>
      </w:r>
    </w:p>
  </w:footnote>
  <w:footnote w:id="15">
    <w:p w:rsidR="000C32AA" w:rsidRPr="006160B6" w:rsidRDefault="000C32AA">
      <w:pPr>
        <w:pStyle w:val="FootnoteText"/>
        <w:rPr>
          <w:lang w:val="en-GB"/>
        </w:rPr>
      </w:pPr>
      <w:r>
        <w:rPr>
          <w:rStyle w:val="FootnoteReference"/>
        </w:rPr>
        <w:footnoteRef/>
      </w:r>
      <w:r>
        <w:t xml:space="preserve"> </w:t>
      </w:r>
      <w:r>
        <w:rPr>
          <w:lang w:val="en-GB"/>
        </w:rPr>
        <w:t xml:space="preserve">This is </w:t>
      </w:r>
      <w:r w:rsidRPr="006160B6">
        <w:rPr>
          <w:szCs w:val="16"/>
          <w:lang w:val="en-GB"/>
        </w:rPr>
        <w:t>because</w:t>
      </w:r>
      <w:r>
        <w:rPr>
          <w:szCs w:val="16"/>
          <w:lang w:val="en-GB"/>
        </w:rPr>
        <w:t xml:space="preserve"> an IBO’s</w:t>
      </w:r>
      <w:r w:rsidRPr="006160B6">
        <w:rPr>
          <w:szCs w:val="16"/>
          <w:lang w:val="en-GB"/>
        </w:rPr>
        <w:t xml:space="preserve"> </w:t>
      </w:r>
      <w:r w:rsidRPr="006160B6">
        <w:rPr>
          <w:rFonts w:cs="Arial"/>
          <w:szCs w:val="16"/>
        </w:rPr>
        <w:t>aim is to improve the coordination of, and the conditions for, making fishery and aquaculture products available</w:t>
      </w:r>
      <w:r>
        <w:rPr>
          <w:rFonts w:cs="Arial"/>
          <w:szCs w:val="16"/>
          <w:lang w:val="en-GB"/>
        </w:rPr>
        <w:t xml:space="preserve"> along the supply chain and</w:t>
      </w:r>
      <w:r w:rsidRPr="006160B6">
        <w:rPr>
          <w:rFonts w:cs="Arial"/>
          <w:szCs w:val="16"/>
        </w:rPr>
        <w:t xml:space="preserve"> on the market</w:t>
      </w:r>
      <w:r>
        <w:rPr>
          <w:rFonts w:cs="Arial"/>
          <w:szCs w:val="16"/>
          <w:lang w:val="en-GB"/>
        </w:rPr>
        <w:t xml:space="preserve"> and can operate over a large area. There are 5 IBOs across the whole EU.</w:t>
      </w:r>
    </w:p>
  </w:footnote>
  <w:footnote w:id="16">
    <w:p w:rsidR="000C32AA" w:rsidRPr="00805965" w:rsidRDefault="000C32AA" w:rsidP="001A1090">
      <w:pPr>
        <w:pStyle w:val="FootnoteText"/>
        <w:rPr>
          <w:lang w:val="en-GB"/>
        </w:rPr>
      </w:pPr>
      <w:r>
        <w:rPr>
          <w:rStyle w:val="FootnoteReference"/>
        </w:rPr>
        <w:footnoteRef/>
      </w:r>
      <w:r>
        <w:t xml:space="preserve"> </w:t>
      </w:r>
      <w:r>
        <w:rPr>
          <w:lang w:val="en-GB"/>
        </w:rPr>
        <w:t xml:space="preserve">Seafish 2012: “2012 Survey of the UK Seafood Processing Industry”. </w:t>
      </w:r>
      <w:r w:rsidRPr="00805965">
        <w:rPr>
          <w:lang w:val="en-GB"/>
        </w:rPr>
        <w:t>http://www.seafish.org/media/Publications/2012_Survey_of_the_UK_Seafood_Processing_Industry.pdf</w:t>
      </w:r>
    </w:p>
  </w:footnote>
  <w:footnote w:id="17">
    <w:p w:rsidR="000C32AA" w:rsidRPr="007F5DEF" w:rsidRDefault="000C32AA" w:rsidP="0068009D">
      <w:pPr>
        <w:pStyle w:val="FootnoteText"/>
        <w:rPr>
          <w:rFonts w:cs="Arial"/>
          <w:szCs w:val="16"/>
        </w:rPr>
      </w:pPr>
      <w:r w:rsidRPr="007F5DEF">
        <w:rPr>
          <w:rStyle w:val="FootnoteReference"/>
          <w:rFonts w:cs="Arial"/>
          <w:szCs w:val="16"/>
        </w:rPr>
        <w:footnoteRef/>
      </w:r>
      <w:r w:rsidRPr="007F5DEF">
        <w:rPr>
          <w:rFonts w:cs="Arial"/>
          <w:szCs w:val="16"/>
        </w:rPr>
        <w:t xml:space="preserve"> </w:t>
      </w:r>
      <w:r>
        <w:rPr>
          <w:rFonts w:cs="Arial"/>
          <w:szCs w:val="16"/>
        </w:rPr>
        <w:t xml:space="preserve">Up-to-date IDBR date not available for Wales by business size so Welsh data (2010) taken from </w:t>
      </w:r>
      <w:r w:rsidRPr="007F5DEF">
        <w:rPr>
          <w:rFonts w:cs="Arial"/>
          <w:szCs w:val="16"/>
        </w:rPr>
        <w:t>Defra 2013: “Amending the Fish Labelling (England) Regulations 2010”</w:t>
      </w:r>
      <w:r>
        <w:rPr>
          <w:rFonts w:cs="Arial"/>
          <w:szCs w:val="16"/>
          <w:lang w:val="en-GB"/>
        </w:rPr>
        <w:t>.</w:t>
      </w:r>
      <w:r w:rsidRPr="007F5DEF">
        <w:rPr>
          <w:rFonts w:cs="Arial"/>
          <w:szCs w:val="16"/>
        </w:rPr>
        <w:t xml:space="preserve"> http://www.legislation.gov.uk/ukia/2013/83/pdfs/ukia_20130083_en.pdf</w:t>
      </w:r>
    </w:p>
  </w:footnote>
  <w:footnote w:id="18">
    <w:p w:rsidR="000C32AA" w:rsidRPr="0097589A" w:rsidRDefault="000C32AA" w:rsidP="008B6233">
      <w:pPr>
        <w:pStyle w:val="FootnoteText"/>
        <w:rPr>
          <w:rFonts w:cs="Arial"/>
        </w:rPr>
      </w:pPr>
      <w:r>
        <w:rPr>
          <w:rStyle w:val="FootnoteReference"/>
        </w:rPr>
        <w:footnoteRef/>
      </w:r>
      <w:r>
        <w:t xml:space="preserve"> </w:t>
      </w:r>
      <w:r w:rsidRPr="0097589A">
        <w:rPr>
          <w:rFonts w:cs="Arial"/>
        </w:rPr>
        <w:t>Seafish, 2013</w:t>
      </w:r>
      <w:r>
        <w:rPr>
          <w:rFonts w:cs="Arial"/>
          <w:lang w:val="en-GB"/>
        </w:rPr>
        <w:t>a</w:t>
      </w:r>
      <w:r w:rsidRPr="0097589A">
        <w:rPr>
          <w:rFonts w:cs="Arial"/>
        </w:rPr>
        <w:t>: “Seafood is a multi-billion pound industry in the UK</w:t>
      </w:r>
      <w:r>
        <w:rPr>
          <w:rFonts w:cs="Arial"/>
        </w:rPr>
        <w:t xml:space="preserve">”. </w:t>
      </w:r>
      <w:r w:rsidRPr="0097589A">
        <w:rPr>
          <w:rFonts w:cs="Arial"/>
        </w:rPr>
        <w:t>http://www.seafish.org/research--economics/market-insight/market-summary</w:t>
      </w:r>
    </w:p>
  </w:footnote>
  <w:footnote w:id="19">
    <w:p w:rsidR="000C32AA" w:rsidRPr="000850BD" w:rsidRDefault="000C32AA" w:rsidP="0008742A">
      <w:pPr>
        <w:pStyle w:val="FootnoteText"/>
        <w:rPr>
          <w:rFonts w:cs="Arial"/>
          <w:szCs w:val="16"/>
        </w:rPr>
      </w:pPr>
      <w:r w:rsidRPr="000850BD">
        <w:rPr>
          <w:rStyle w:val="FootnoteReference"/>
          <w:rFonts w:cs="Arial"/>
          <w:szCs w:val="16"/>
        </w:rPr>
        <w:footnoteRef/>
      </w:r>
      <w:r w:rsidRPr="000850BD">
        <w:rPr>
          <w:szCs w:val="16"/>
        </w:rPr>
        <w:t xml:space="preserve"> </w:t>
      </w:r>
      <w:r w:rsidRPr="000850BD">
        <w:rPr>
          <w:rFonts w:cs="Arial"/>
          <w:szCs w:val="16"/>
        </w:rPr>
        <w:t>Defra, 2012: “Impact Assessment on a Statutory Instrument implementing Regulation (EU) 1169/2011 on the provision of food information to consumers” (Defra IA 1443). https://www.gov.uk/government/uploads/system/uploads/attachment_data/file/82667/consult-fic-ia-20121107.pdf</w:t>
      </w:r>
    </w:p>
  </w:footnote>
  <w:footnote w:id="20">
    <w:p w:rsidR="000C32AA" w:rsidRPr="00701DB1" w:rsidRDefault="000C32AA" w:rsidP="0008742A">
      <w:pPr>
        <w:pStyle w:val="FootnoteText"/>
        <w:rPr>
          <w:rFonts w:cs="Arial"/>
        </w:rPr>
      </w:pPr>
      <w:r w:rsidRPr="000850BD">
        <w:rPr>
          <w:rStyle w:val="FootnoteReference"/>
          <w:rFonts w:cs="Arial"/>
          <w:szCs w:val="16"/>
        </w:rPr>
        <w:footnoteRef/>
      </w:r>
      <w:r w:rsidRPr="000850BD">
        <w:rPr>
          <w:rFonts w:cs="Arial"/>
          <w:szCs w:val="16"/>
        </w:rPr>
        <w:t xml:space="preserve"> Campden 2010: “Developing a framework for assessing the costs of labelling changes in the UK” (FFG 0901). http://archive.defra.gov.uk/evidence/economics/foodfarm/reports/documents</w:t>
      </w:r>
      <w:r w:rsidRPr="00701DB1">
        <w:rPr>
          <w:rFonts w:cs="Arial"/>
          <w:sz w:val="18"/>
        </w:rPr>
        <w:t>/labelling-changes.pdf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7FAA"/>
    <w:multiLevelType w:val="hybridMultilevel"/>
    <w:tmpl w:val="F4C0FB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5A3786"/>
    <w:multiLevelType w:val="hybridMultilevel"/>
    <w:tmpl w:val="8612E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379C9"/>
    <w:multiLevelType w:val="hybridMultilevel"/>
    <w:tmpl w:val="DA989DAC"/>
    <w:lvl w:ilvl="0" w:tplc="0809001B">
      <w:start w:val="1"/>
      <w:numFmt w:val="lowerRoman"/>
      <w:lvlText w:val="%1."/>
      <w:lvlJc w:val="right"/>
      <w:pPr>
        <w:ind w:left="1080" w:hanging="360"/>
      </w:p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3">
    <w:nsid w:val="09663427"/>
    <w:multiLevelType w:val="hybridMultilevel"/>
    <w:tmpl w:val="F7CAB112"/>
    <w:lvl w:ilvl="0" w:tplc="0809001B">
      <w:start w:val="1"/>
      <w:numFmt w:val="lowerRoman"/>
      <w:lvlText w:val="%1."/>
      <w:lvlJc w:val="right"/>
      <w:pPr>
        <w:ind w:left="927" w:hanging="360"/>
      </w:pPr>
      <w:rPr>
        <w:b w:val="0"/>
        <w:i w:val="0"/>
        <w:sz w:val="22"/>
      </w:rPr>
    </w:lvl>
    <w:lvl w:ilvl="1" w:tplc="08090001">
      <w:start w:val="1"/>
      <w:numFmt w:val="lowerRoman"/>
      <w:lvlText w:val="%2."/>
      <w:lvlJc w:val="right"/>
      <w:pPr>
        <w:ind w:left="928" w:hanging="360"/>
      </w:pPr>
      <w:rPr>
        <w:rFonts w:cs="Times New Roman"/>
      </w:rPr>
    </w:lvl>
    <w:lvl w:ilvl="2" w:tplc="08090001">
      <w:start w:val="1"/>
      <w:numFmt w:val="lowerRoman"/>
      <w:lvlText w:val="%3."/>
      <w:lvlJc w:val="right"/>
      <w:pPr>
        <w:ind w:left="1456" w:hanging="180"/>
      </w:pPr>
      <w:rPr>
        <w:rFonts w:cs="Times New Roman"/>
      </w:rPr>
    </w:lvl>
    <w:lvl w:ilvl="3" w:tplc="08090001">
      <w:start w:val="1"/>
      <w:numFmt w:val="decimal"/>
      <w:lvlText w:val="%4."/>
      <w:lvlJc w:val="left"/>
      <w:pPr>
        <w:ind w:left="5040" w:hanging="360"/>
      </w:pPr>
      <w:rPr>
        <w:rFonts w:cs="Times New Roman"/>
      </w:rPr>
    </w:lvl>
    <w:lvl w:ilvl="4" w:tplc="08090003">
      <w:start w:val="1"/>
      <w:numFmt w:val="lowerLetter"/>
      <w:lvlText w:val="%5."/>
      <w:lvlJc w:val="left"/>
      <w:pPr>
        <w:ind w:left="5760" w:hanging="360"/>
      </w:pPr>
      <w:rPr>
        <w:rFonts w:cs="Times New Roman"/>
      </w:rPr>
    </w:lvl>
    <w:lvl w:ilvl="5" w:tplc="08090005">
      <w:start w:val="1"/>
      <w:numFmt w:val="lowerRoman"/>
      <w:lvlText w:val="%6."/>
      <w:lvlJc w:val="right"/>
      <w:pPr>
        <w:ind w:left="6480" w:hanging="180"/>
      </w:pPr>
      <w:rPr>
        <w:rFonts w:cs="Times New Roman"/>
      </w:rPr>
    </w:lvl>
    <w:lvl w:ilvl="6" w:tplc="08090001">
      <w:start w:val="1"/>
      <w:numFmt w:val="decimal"/>
      <w:lvlText w:val="%7."/>
      <w:lvlJc w:val="left"/>
      <w:pPr>
        <w:ind w:left="7200" w:hanging="360"/>
      </w:pPr>
      <w:rPr>
        <w:rFonts w:cs="Times New Roman"/>
      </w:rPr>
    </w:lvl>
    <w:lvl w:ilvl="7" w:tplc="08090003">
      <w:start w:val="1"/>
      <w:numFmt w:val="lowerLetter"/>
      <w:lvlText w:val="%8."/>
      <w:lvlJc w:val="left"/>
      <w:pPr>
        <w:ind w:left="7920" w:hanging="360"/>
      </w:pPr>
      <w:rPr>
        <w:rFonts w:cs="Times New Roman"/>
      </w:rPr>
    </w:lvl>
    <w:lvl w:ilvl="8" w:tplc="08090005">
      <w:start w:val="1"/>
      <w:numFmt w:val="lowerRoman"/>
      <w:lvlText w:val="%9."/>
      <w:lvlJc w:val="right"/>
      <w:pPr>
        <w:ind w:left="8640" w:hanging="180"/>
      </w:pPr>
      <w:rPr>
        <w:rFonts w:cs="Times New Roman"/>
      </w:rPr>
    </w:lvl>
  </w:abstractNum>
  <w:abstractNum w:abstractNumId="4">
    <w:nsid w:val="0B3C36FF"/>
    <w:multiLevelType w:val="hybridMultilevel"/>
    <w:tmpl w:val="CAC6A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78149D"/>
    <w:multiLevelType w:val="hybridMultilevel"/>
    <w:tmpl w:val="28FEE3A8"/>
    <w:lvl w:ilvl="0" w:tplc="9E629994">
      <w:start w:val="1"/>
      <w:numFmt w:val="decimal"/>
      <w:lvlText w:val="%1."/>
      <w:lvlJc w:val="left"/>
      <w:pPr>
        <w:ind w:left="349" w:hanging="360"/>
      </w:pPr>
      <w:rPr>
        <w:rFonts w:hint="default"/>
      </w:rPr>
    </w:lvl>
    <w:lvl w:ilvl="1" w:tplc="08090019">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6">
    <w:nsid w:val="0F804F2B"/>
    <w:multiLevelType w:val="hybridMultilevel"/>
    <w:tmpl w:val="9000D9CE"/>
    <w:lvl w:ilvl="0" w:tplc="FD66B828">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31E1437"/>
    <w:multiLevelType w:val="multilevel"/>
    <w:tmpl w:val="F54ABA14"/>
    <w:lvl w:ilvl="0">
      <w:start w:val="1"/>
      <w:numFmt w:val="decimal"/>
      <w:lvlText w:val="%1."/>
      <w:lvlJc w:val="left"/>
      <w:pPr>
        <w:tabs>
          <w:tab w:val="num" w:pos="360"/>
        </w:tabs>
        <w:ind w:left="360" w:hanging="360"/>
      </w:pPr>
      <w:rPr>
        <w:rFonts w:hint="default"/>
        <w:sz w:val="24"/>
      </w:rPr>
    </w:lvl>
    <w:lvl w:ilvl="1">
      <w:start w:val="1"/>
      <w:numFmt w:val="decimal"/>
      <w:isLgl/>
      <w:lvlText w:val="%1.%2"/>
      <w:lvlJc w:val="left"/>
      <w:pPr>
        <w:ind w:left="420" w:hanging="420"/>
      </w:pPr>
      <w:rPr>
        <w:rFonts w:ascii="Arial" w:hAnsi="Arial" w:cs="Arial"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20B503EA"/>
    <w:multiLevelType w:val="hybridMultilevel"/>
    <w:tmpl w:val="D22EE38A"/>
    <w:lvl w:ilvl="0" w:tplc="202EF782">
      <w:start w:val="1"/>
      <w:numFmt w:val="decimal"/>
      <w:lvlText w:val="%1."/>
      <w:lvlJc w:val="left"/>
      <w:pPr>
        <w:ind w:left="927" w:hanging="360"/>
      </w:pPr>
      <w:rPr>
        <w:rFonts w:ascii="Arial" w:hAnsi="Arial" w:cs="Arial" w:hint="default"/>
        <w:b w:val="0"/>
        <w:i w:val="0"/>
        <w:sz w:val="22"/>
      </w:rPr>
    </w:lvl>
    <w:lvl w:ilvl="1" w:tplc="08090001">
      <w:start w:val="1"/>
      <w:numFmt w:val="lowerRoman"/>
      <w:lvlText w:val="%2."/>
      <w:lvlJc w:val="right"/>
      <w:pPr>
        <w:ind w:left="928" w:hanging="360"/>
      </w:pPr>
      <w:rPr>
        <w:rFonts w:cs="Times New Roman"/>
      </w:rPr>
    </w:lvl>
    <w:lvl w:ilvl="2" w:tplc="08090001">
      <w:start w:val="1"/>
      <w:numFmt w:val="lowerRoman"/>
      <w:lvlText w:val="%3."/>
      <w:lvlJc w:val="right"/>
      <w:pPr>
        <w:ind w:left="1456" w:hanging="180"/>
      </w:pPr>
      <w:rPr>
        <w:rFonts w:cs="Times New Roman"/>
      </w:rPr>
    </w:lvl>
    <w:lvl w:ilvl="3" w:tplc="0809001B">
      <w:start w:val="1"/>
      <w:numFmt w:val="lowerRoman"/>
      <w:lvlText w:val="%4."/>
      <w:lvlJc w:val="right"/>
      <w:pPr>
        <w:ind w:left="5040" w:hanging="360"/>
      </w:pPr>
    </w:lvl>
    <w:lvl w:ilvl="4" w:tplc="08090003">
      <w:start w:val="1"/>
      <w:numFmt w:val="lowerLetter"/>
      <w:lvlText w:val="%5."/>
      <w:lvlJc w:val="left"/>
      <w:pPr>
        <w:ind w:left="5760" w:hanging="360"/>
      </w:pPr>
      <w:rPr>
        <w:rFonts w:cs="Times New Roman"/>
      </w:rPr>
    </w:lvl>
    <w:lvl w:ilvl="5" w:tplc="08090005">
      <w:start w:val="1"/>
      <w:numFmt w:val="lowerRoman"/>
      <w:lvlText w:val="%6."/>
      <w:lvlJc w:val="right"/>
      <w:pPr>
        <w:ind w:left="6480" w:hanging="180"/>
      </w:pPr>
      <w:rPr>
        <w:rFonts w:cs="Times New Roman"/>
      </w:rPr>
    </w:lvl>
    <w:lvl w:ilvl="6" w:tplc="08090001">
      <w:start w:val="1"/>
      <w:numFmt w:val="decimal"/>
      <w:lvlText w:val="%7."/>
      <w:lvlJc w:val="left"/>
      <w:pPr>
        <w:ind w:left="7200" w:hanging="360"/>
      </w:pPr>
      <w:rPr>
        <w:rFonts w:cs="Times New Roman"/>
      </w:rPr>
    </w:lvl>
    <w:lvl w:ilvl="7" w:tplc="08090003">
      <w:start w:val="1"/>
      <w:numFmt w:val="lowerLetter"/>
      <w:lvlText w:val="%8."/>
      <w:lvlJc w:val="left"/>
      <w:pPr>
        <w:ind w:left="7920" w:hanging="360"/>
      </w:pPr>
      <w:rPr>
        <w:rFonts w:cs="Times New Roman"/>
      </w:rPr>
    </w:lvl>
    <w:lvl w:ilvl="8" w:tplc="08090005">
      <w:start w:val="1"/>
      <w:numFmt w:val="lowerRoman"/>
      <w:lvlText w:val="%9."/>
      <w:lvlJc w:val="right"/>
      <w:pPr>
        <w:ind w:left="8640" w:hanging="180"/>
      </w:pPr>
      <w:rPr>
        <w:rFonts w:cs="Times New Roman"/>
      </w:rPr>
    </w:lvl>
  </w:abstractNum>
  <w:abstractNum w:abstractNumId="9">
    <w:nsid w:val="286A2B05"/>
    <w:multiLevelType w:val="multilevel"/>
    <w:tmpl w:val="E4D8B1FE"/>
    <w:lvl w:ilvl="0">
      <w:start w:val="3"/>
      <w:numFmt w:val="decimal"/>
      <w:lvlText w:val="%1"/>
      <w:lvlJc w:val="left"/>
      <w:pPr>
        <w:ind w:left="360" w:hanging="360"/>
      </w:pPr>
      <w:rPr>
        <w:rFonts w:hint="default"/>
        <w:color w:val="000000"/>
      </w:rPr>
    </w:lvl>
    <w:lvl w:ilvl="1">
      <w:start w:val="7"/>
      <w:numFmt w:val="decimal"/>
      <w:lvlText w:val="%1.%2"/>
      <w:lvlJc w:val="left"/>
      <w:pPr>
        <w:ind w:left="360" w:hanging="360"/>
      </w:pPr>
      <w:rPr>
        <w:rFonts w:ascii="Arial" w:hAnsi="Arial" w:cs="Arial"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B54630A"/>
    <w:multiLevelType w:val="multilevel"/>
    <w:tmpl w:val="F54ABA14"/>
    <w:lvl w:ilvl="0">
      <w:start w:val="1"/>
      <w:numFmt w:val="decimal"/>
      <w:lvlText w:val="%1."/>
      <w:lvlJc w:val="left"/>
      <w:pPr>
        <w:tabs>
          <w:tab w:val="num" w:pos="360"/>
        </w:tabs>
        <w:ind w:left="360" w:hanging="360"/>
      </w:pPr>
      <w:rPr>
        <w:rFonts w:hint="default"/>
        <w:sz w:val="24"/>
      </w:rPr>
    </w:lvl>
    <w:lvl w:ilvl="1">
      <w:start w:val="1"/>
      <w:numFmt w:val="decimal"/>
      <w:isLgl/>
      <w:lvlText w:val="%1.%2"/>
      <w:lvlJc w:val="left"/>
      <w:pPr>
        <w:ind w:left="420" w:hanging="420"/>
      </w:pPr>
      <w:rPr>
        <w:rFonts w:ascii="Arial" w:hAnsi="Arial" w:cs="Arial"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31607D73"/>
    <w:multiLevelType w:val="hybridMultilevel"/>
    <w:tmpl w:val="E0C46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514E89"/>
    <w:multiLevelType w:val="hybridMultilevel"/>
    <w:tmpl w:val="588AFF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383743F3"/>
    <w:multiLevelType w:val="multilevel"/>
    <w:tmpl w:val="E4D8B1FE"/>
    <w:lvl w:ilvl="0">
      <w:start w:val="3"/>
      <w:numFmt w:val="decimal"/>
      <w:lvlText w:val="%1"/>
      <w:lvlJc w:val="left"/>
      <w:pPr>
        <w:ind w:left="360" w:hanging="360"/>
      </w:pPr>
      <w:rPr>
        <w:rFonts w:hint="default"/>
        <w:color w:val="000000"/>
      </w:rPr>
    </w:lvl>
    <w:lvl w:ilvl="1">
      <w:start w:val="7"/>
      <w:numFmt w:val="decimal"/>
      <w:lvlText w:val="%1.%2"/>
      <w:lvlJc w:val="left"/>
      <w:pPr>
        <w:ind w:left="360" w:hanging="360"/>
      </w:pPr>
      <w:rPr>
        <w:rFonts w:ascii="Arial" w:hAnsi="Arial" w:cs="Arial"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38C0674B"/>
    <w:multiLevelType w:val="hybridMultilevel"/>
    <w:tmpl w:val="CFD83E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E73A60"/>
    <w:multiLevelType w:val="hybridMultilevel"/>
    <w:tmpl w:val="8D7EB78C"/>
    <w:lvl w:ilvl="0" w:tplc="D7683C3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3125B93"/>
    <w:multiLevelType w:val="hybridMultilevel"/>
    <w:tmpl w:val="B0CAAA42"/>
    <w:lvl w:ilvl="0" w:tplc="08090011">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8">
    <w:nsid w:val="4CCA23B6"/>
    <w:multiLevelType w:val="hybridMultilevel"/>
    <w:tmpl w:val="2152897A"/>
    <w:lvl w:ilvl="0" w:tplc="08090001">
      <w:start w:val="1"/>
      <w:numFmt w:val="lowerRoman"/>
      <w:lvlText w:val="%1."/>
      <w:lvlJc w:val="right"/>
      <w:pPr>
        <w:ind w:left="928"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4FB515D3"/>
    <w:multiLevelType w:val="multilevel"/>
    <w:tmpl w:val="E4D8B1FE"/>
    <w:lvl w:ilvl="0">
      <w:start w:val="3"/>
      <w:numFmt w:val="decimal"/>
      <w:lvlText w:val="%1"/>
      <w:lvlJc w:val="left"/>
      <w:pPr>
        <w:ind w:left="360" w:hanging="360"/>
      </w:pPr>
      <w:rPr>
        <w:rFonts w:hint="default"/>
        <w:color w:val="000000"/>
      </w:rPr>
    </w:lvl>
    <w:lvl w:ilvl="1">
      <w:start w:val="7"/>
      <w:numFmt w:val="decimal"/>
      <w:lvlText w:val="%1.%2"/>
      <w:lvlJc w:val="left"/>
      <w:pPr>
        <w:ind w:left="360" w:hanging="360"/>
      </w:pPr>
      <w:rPr>
        <w:rFonts w:ascii="Arial" w:hAnsi="Arial" w:cs="Arial"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527507A0"/>
    <w:multiLevelType w:val="hybridMultilevel"/>
    <w:tmpl w:val="256CFF28"/>
    <w:lvl w:ilvl="0" w:tplc="202EF782">
      <w:start w:val="1"/>
      <w:numFmt w:val="decimal"/>
      <w:lvlText w:val="%1."/>
      <w:lvlJc w:val="left"/>
      <w:pPr>
        <w:ind w:left="360" w:hanging="360"/>
      </w:pPr>
      <w:rPr>
        <w:rFonts w:ascii="Arial" w:hAnsi="Arial" w:cs="Arial" w:hint="default"/>
        <w:b w:val="0"/>
        <w:i w:val="0"/>
        <w:sz w:val="22"/>
      </w:rPr>
    </w:lvl>
    <w:lvl w:ilvl="1" w:tplc="4AAC0AA8">
      <w:start w:val="1"/>
      <w:numFmt w:val="lowerRoman"/>
      <w:lvlText w:val="%2."/>
      <w:lvlJc w:val="right"/>
      <w:pPr>
        <w:ind w:left="1211" w:hanging="360"/>
      </w:pPr>
      <w:rPr>
        <w:rFonts w:cs="Times New Roman"/>
        <w:b w:val="0"/>
      </w:rPr>
    </w:lvl>
    <w:lvl w:ilvl="2" w:tplc="0809001B">
      <w:start w:val="1"/>
      <w:numFmt w:val="lowerRoman"/>
      <w:lvlText w:val="%3."/>
      <w:lvlJc w:val="right"/>
      <w:pPr>
        <w:ind w:left="1173" w:hanging="180"/>
      </w:pPr>
    </w:lvl>
    <w:lvl w:ilvl="3" w:tplc="08090001">
      <w:start w:val="1"/>
      <w:numFmt w:val="decimal"/>
      <w:lvlText w:val="%4."/>
      <w:lvlJc w:val="left"/>
      <w:pPr>
        <w:ind w:left="5040" w:hanging="360"/>
      </w:pPr>
      <w:rPr>
        <w:rFonts w:cs="Times New Roman"/>
      </w:rPr>
    </w:lvl>
    <w:lvl w:ilvl="4" w:tplc="08090003">
      <w:start w:val="1"/>
      <w:numFmt w:val="lowerLetter"/>
      <w:lvlText w:val="%5."/>
      <w:lvlJc w:val="left"/>
      <w:pPr>
        <w:ind w:left="5760" w:hanging="360"/>
      </w:pPr>
      <w:rPr>
        <w:rFonts w:cs="Times New Roman"/>
      </w:rPr>
    </w:lvl>
    <w:lvl w:ilvl="5" w:tplc="08090005">
      <w:start w:val="1"/>
      <w:numFmt w:val="lowerRoman"/>
      <w:lvlText w:val="%6."/>
      <w:lvlJc w:val="right"/>
      <w:pPr>
        <w:ind w:left="6480" w:hanging="180"/>
      </w:pPr>
      <w:rPr>
        <w:rFonts w:cs="Times New Roman"/>
      </w:rPr>
    </w:lvl>
    <w:lvl w:ilvl="6" w:tplc="08090001">
      <w:start w:val="1"/>
      <w:numFmt w:val="decimal"/>
      <w:lvlText w:val="%7."/>
      <w:lvlJc w:val="left"/>
      <w:pPr>
        <w:ind w:left="7200" w:hanging="360"/>
      </w:pPr>
      <w:rPr>
        <w:rFonts w:cs="Times New Roman"/>
      </w:rPr>
    </w:lvl>
    <w:lvl w:ilvl="7" w:tplc="08090003">
      <w:start w:val="1"/>
      <w:numFmt w:val="lowerLetter"/>
      <w:lvlText w:val="%8."/>
      <w:lvlJc w:val="left"/>
      <w:pPr>
        <w:ind w:left="7920" w:hanging="360"/>
      </w:pPr>
      <w:rPr>
        <w:rFonts w:cs="Times New Roman"/>
      </w:rPr>
    </w:lvl>
    <w:lvl w:ilvl="8" w:tplc="08090005">
      <w:start w:val="1"/>
      <w:numFmt w:val="lowerRoman"/>
      <w:lvlText w:val="%9."/>
      <w:lvlJc w:val="right"/>
      <w:pPr>
        <w:ind w:left="8640" w:hanging="180"/>
      </w:pPr>
      <w:rPr>
        <w:rFonts w:cs="Times New Roman"/>
      </w:rPr>
    </w:lvl>
  </w:abstractNum>
  <w:abstractNum w:abstractNumId="21">
    <w:nsid w:val="559F04AB"/>
    <w:multiLevelType w:val="multilevel"/>
    <w:tmpl w:val="C61A4DCA"/>
    <w:lvl w:ilvl="0">
      <w:start w:val="4"/>
      <w:numFmt w:val="decimal"/>
      <w:lvlText w:val="%1."/>
      <w:lvlJc w:val="left"/>
      <w:pPr>
        <w:ind w:left="360" w:hanging="360"/>
      </w:pPr>
      <w:rPr>
        <w:rFonts w:ascii="Arial" w:hAnsi="Arial" w:cs="Arial" w:hint="default"/>
        <w:b/>
        <w:sz w:val="24"/>
      </w:rPr>
    </w:lvl>
    <w:lvl w:ilvl="1">
      <w:start w:val="1"/>
      <w:numFmt w:val="decimal"/>
      <w:isLgl/>
      <w:lvlText w:val="%1.%2"/>
      <w:lvlJc w:val="left"/>
      <w:pPr>
        <w:ind w:left="435" w:hanging="43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56221D01"/>
    <w:multiLevelType w:val="multilevel"/>
    <w:tmpl w:val="1F960CB6"/>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6750AF9"/>
    <w:multiLevelType w:val="multilevel"/>
    <w:tmpl w:val="E4D8B1FE"/>
    <w:lvl w:ilvl="0">
      <w:start w:val="3"/>
      <w:numFmt w:val="decimal"/>
      <w:lvlText w:val="%1"/>
      <w:lvlJc w:val="left"/>
      <w:pPr>
        <w:ind w:left="360" w:hanging="360"/>
      </w:pPr>
      <w:rPr>
        <w:rFonts w:hint="default"/>
        <w:color w:val="000000"/>
      </w:rPr>
    </w:lvl>
    <w:lvl w:ilvl="1">
      <w:start w:val="7"/>
      <w:numFmt w:val="decimal"/>
      <w:lvlText w:val="%1.%2"/>
      <w:lvlJc w:val="left"/>
      <w:pPr>
        <w:ind w:left="360" w:hanging="360"/>
      </w:pPr>
      <w:rPr>
        <w:rFonts w:ascii="Arial" w:hAnsi="Arial" w:cs="Arial"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nsid w:val="59DE631B"/>
    <w:multiLevelType w:val="hybridMultilevel"/>
    <w:tmpl w:val="87B8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E00882"/>
    <w:multiLevelType w:val="multilevel"/>
    <w:tmpl w:val="E4D8B1FE"/>
    <w:lvl w:ilvl="0">
      <w:start w:val="3"/>
      <w:numFmt w:val="decimal"/>
      <w:lvlText w:val="%1"/>
      <w:lvlJc w:val="left"/>
      <w:pPr>
        <w:ind w:left="360" w:hanging="360"/>
      </w:pPr>
      <w:rPr>
        <w:rFonts w:hint="default"/>
        <w:color w:val="000000"/>
      </w:rPr>
    </w:lvl>
    <w:lvl w:ilvl="1">
      <w:start w:val="7"/>
      <w:numFmt w:val="decimal"/>
      <w:lvlText w:val="%1.%2"/>
      <w:lvlJc w:val="left"/>
      <w:pPr>
        <w:ind w:left="360" w:hanging="360"/>
      </w:pPr>
      <w:rPr>
        <w:rFonts w:ascii="Arial" w:hAnsi="Arial" w:cs="Arial"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nsid w:val="60DC1302"/>
    <w:multiLevelType w:val="hybridMultilevel"/>
    <w:tmpl w:val="D5B66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A40CDC"/>
    <w:multiLevelType w:val="hybridMultilevel"/>
    <w:tmpl w:val="FF6201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61CF2005"/>
    <w:multiLevelType w:val="hybridMultilevel"/>
    <w:tmpl w:val="CEAC3142"/>
    <w:lvl w:ilvl="0" w:tplc="202EF782">
      <w:start w:val="1"/>
      <w:numFmt w:val="decimal"/>
      <w:lvlText w:val="%1."/>
      <w:lvlJc w:val="left"/>
      <w:pPr>
        <w:ind w:left="360" w:hanging="360"/>
      </w:pPr>
      <w:rPr>
        <w:rFonts w:ascii="Arial" w:hAnsi="Arial" w:cs="Arial" w:hint="default"/>
        <w:b w:val="0"/>
        <w:i w:val="0"/>
        <w:sz w:val="22"/>
      </w:rPr>
    </w:lvl>
    <w:lvl w:ilvl="1" w:tplc="08090001">
      <w:start w:val="1"/>
      <w:numFmt w:val="lowerRoman"/>
      <w:lvlText w:val="%2."/>
      <w:lvlJc w:val="right"/>
      <w:pPr>
        <w:ind w:left="361" w:hanging="360"/>
      </w:pPr>
      <w:rPr>
        <w:rFonts w:cs="Times New Roman"/>
      </w:rPr>
    </w:lvl>
    <w:lvl w:ilvl="2" w:tplc="08090001">
      <w:start w:val="1"/>
      <w:numFmt w:val="lowerRoman"/>
      <w:lvlText w:val="%3."/>
      <w:lvlJc w:val="right"/>
      <w:pPr>
        <w:ind w:left="889" w:hanging="180"/>
      </w:pPr>
      <w:rPr>
        <w:rFonts w:cs="Times New Roman"/>
      </w:rPr>
    </w:lvl>
    <w:lvl w:ilvl="3" w:tplc="08090001">
      <w:start w:val="1"/>
      <w:numFmt w:val="decimal"/>
      <w:lvlText w:val="%4."/>
      <w:lvlJc w:val="left"/>
      <w:pPr>
        <w:ind w:left="4473" w:hanging="360"/>
      </w:pPr>
      <w:rPr>
        <w:rFonts w:cs="Times New Roman"/>
      </w:rPr>
    </w:lvl>
    <w:lvl w:ilvl="4" w:tplc="08090003">
      <w:start w:val="1"/>
      <w:numFmt w:val="lowerLetter"/>
      <w:lvlText w:val="%5."/>
      <w:lvlJc w:val="left"/>
      <w:pPr>
        <w:ind w:left="5193" w:hanging="360"/>
      </w:pPr>
      <w:rPr>
        <w:rFonts w:cs="Times New Roman"/>
      </w:rPr>
    </w:lvl>
    <w:lvl w:ilvl="5" w:tplc="08090005">
      <w:start w:val="1"/>
      <w:numFmt w:val="lowerRoman"/>
      <w:lvlText w:val="%6."/>
      <w:lvlJc w:val="right"/>
      <w:pPr>
        <w:ind w:left="5913" w:hanging="180"/>
      </w:pPr>
      <w:rPr>
        <w:rFonts w:cs="Times New Roman"/>
      </w:rPr>
    </w:lvl>
    <w:lvl w:ilvl="6" w:tplc="08090001">
      <w:start w:val="1"/>
      <w:numFmt w:val="decimal"/>
      <w:lvlText w:val="%7."/>
      <w:lvlJc w:val="left"/>
      <w:pPr>
        <w:ind w:left="6633" w:hanging="360"/>
      </w:pPr>
      <w:rPr>
        <w:rFonts w:cs="Times New Roman"/>
      </w:rPr>
    </w:lvl>
    <w:lvl w:ilvl="7" w:tplc="08090003">
      <w:start w:val="1"/>
      <w:numFmt w:val="lowerLetter"/>
      <w:lvlText w:val="%8."/>
      <w:lvlJc w:val="left"/>
      <w:pPr>
        <w:ind w:left="7353" w:hanging="360"/>
      </w:pPr>
      <w:rPr>
        <w:rFonts w:cs="Times New Roman"/>
      </w:rPr>
    </w:lvl>
    <w:lvl w:ilvl="8" w:tplc="08090005">
      <w:start w:val="1"/>
      <w:numFmt w:val="lowerRoman"/>
      <w:lvlText w:val="%9."/>
      <w:lvlJc w:val="right"/>
      <w:pPr>
        <w:ind w:left="8073" w:hanging="180"/>
      </w:pPr>
      <w:rPr>
        <w:rFonts w:cs="Times New Roman"/>
      </w:rPr>
    </w:lvl>
  </w:abstractNum>
  <w:abstractNum w:abstractNumId="29">
    <w:nsid w:val="659C4E7E"/>
    <w:multiLevelType w:val="hybridMultilevel"/>
    <w:tmpl w:val="0526CA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973216E"/>
    <w:multiLevelType w:val="multilevel"/>
    <w:tmpl w:val="F54ABA14"/>
    <w:lvl w:ilvl="0">
      <w:start w:val="1"/>
      <w:numFmt w:val="decimal"/>
      <w:lvlText w:val="%1."/>
      <w:lvlJc w:val="left"/>
      <w:pPr>
        <w:tabs>
          <w:tab w:val="num" w:pos="360"/>
        </w:tabs>
        <w:ind w:left="360" w:hanging="360"/>
      </w:pPr>
      <w:rPr>
        <w:rFonts w:hint="default"/>
        <w:sz w:val="24"/>
      </w:rPr>
    </w:lvl>
    <w:lvl w:ilvl="1">
      <w:start w:val="1"/>
      <w:numFmt w:val="decimal"/>
      <w:isLgl/>
      <w:lvlText w:val="%1.%2"/>
      <w:lvlJc w:val="left"/>
      <w:pPr>
        <w:ind w:left="420" w:hanging="420"/>
      </w:pPr>
      <w:rPr>
        <w:rFonts w:ascii="Arial" w:hAnsi="Arial" w:cs="Arial"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nsid w:val="70107141"/>
    <w:multiLevelType w:val="hybridMultilevel"/>
    <w:tmpl w:val="A726D442"/>
    <w:lvl w:ilvl="0" w:tplc="D7683C3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8851C2"/>
    <w:multiLevelType w:val="multilevel"/>
    <w:tmpl w:val="3626DD9A"/>
    <w:lvl w:ilvl="0">
      <w:start w:val="1"/>
      <w:numFmt w:val="decimal"/>
      <w:pStyle w:val="IARefNumber"/>
      <w:suff w:val="nothing"/>
      <w:lvlText w:val="%1"/>
      <w:lvlJc w:val="left"/>
      <w:pPr>
        <w:ind w:left="0" w:firstLine="113"/>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3">
    <w:nsid w:val="75A46267"/>
    <w:multiLevelType w:val="hybridMultilevel"/>
    <w:tmpl w:val="A7B44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797220A"/>
    <w:multiLevelType w:val="hybridMultilevel"/>
    <w:tmpl w:val="2152897A"/>
    <w:lvl w:ilvl="0" w:tplc="08090001">
      <w:start w:val="1"/>
      <w:numFmt w:val="lowerRoman"/>
      <w:lvlText w:val="%1."/>
      <w:lvlJc w:val="right"/>
      <w:pPr>
        <w:ind w:left="928"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77D615B1"/>
    <w:multiLevelType w:val="hybridMultilevel"/>
    <w:tmpl w:val="EF621A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nsid w:val="7B3A3809"/>
    <w:multiLevelType w:val="hybridMultilevel"/>
    <w:tmpl w:val="CAC6A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E264199"/>
    <w:multiLevelType w:val="hybridMultilevel"/>
    <w:tmpl w:val="9D1CD2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nsid w:val="7FB75C1D"/>
    <w:multiLevelType w:val="multilevel"/>
    <w:tmpl w:val="7F10F48C"/>
    <w:lvl w:ilvl="0">
      <w:start w:val="1"/>
      <w:numFmt w:val="none"/>
      <w:pStyle w:val="EBNumberRestart"/>
      <w:suff w:val="nothing"/>
      <w:lvlText w:val="%1"/>
      <w:lvlJc w:val="left"/>
      <w:pPr>
        <w:ind w:left="0" w:firstLine="0"/>
      </w:pPr>
      <w:rPr>
        <w:rFonts w:hint="default"/>
      </w:rPr>
    </w:lvl>
    <w:lvl w:ilvl="1">
      <w:start w:val="1"/>
      <w:numFmt w:val="decimal"/>
      <w:pStyle w:val="EBNumber"/>
      <w:lvlText w:val="%1%2."/>
      <w:lvlJc w:val="left"/>
      <w:pPr>
        <w:tabs>
          <w:tab w:val="num" w:pos="425"/>
        </w:tabs>
        <w:ind w:left="425" w:hanging="425"/>
      </w:pPr>
      <w:rPr>
        <w:rFonts w:hint="default"/>
        <w:b w:val="0"/>
      </w:rPr>
    </w:lvl>
    <w:lvl w:ilvl="2">
      <w:start w:val="1"/>
      <w:numFmt w:val="lowerLetter"/>
      <w:lvlText w:val="%1%3."/>
      <w:lvlJc w:val="left"/>
      <w:pPr>
        <w:tabs>
          <w:tab w:val="num" w:pos="851"/>
        </w:tabs>
        <w:ind w:left="851" w:hanging="426"/>
      </w:pPr>
      <w:rPr>
        <w:rFonts w:hint="default"/>
      </w:rPr>
    </w:lvl>
    <w:lvl w:ilvl="3">
      <w:start w:val="1"/>
      <w:numFmt w:val="none"/>
      <w:lvlText w:val="%1"/>
      <w:lvlJc w:val="left"/>
      <w:pPr>
        <w:tabs>
          <w:tab w:val="num" w:pos="2880"/>
        </w:tabs>
        <w:ind w:left="1728" w:hanging="648"/>
      </w:pPr>
      <w:rPr>
        <w:rFonts w:hint="default"/>
      </w:rPr>
    </w:lvl>
    <w:lvl w:ilvl="4">
      <w:start w:val="1"/>
      <w:numFmt w:val="none"/>
      <w:lvlText w:val="%1"/>
      <w:lvlJc w:val="left"/>
      <w:pPr>
        <w:tabs>
          <w:tab w:val="num" w:pos="3600"/>
        </w:tabs>
        <w:ind w:left="2232" w:hanging="792"/>
      </w:pPr>
      <w:rPr>
        <w:rFonts w:hint="default"/>
      </w:rPr>
    </w:lvl>
    <w:lvl w:ilvl="5">
      <w:start w:val="1"/>
      <w:numFmt w:val="none"/>
      <w:lvlText w:val="%1"/>
      <w:lvlJc w:val="left"/>
      <w:pPr>
        <w:tabs>
          <w:tab w:val="num" w:pos="4320"/>
        </w:tabs>
        <w:ind w:left="2736" w:hanging="936"/>
      </w:pPr>
      <w:rPr>
        <w:rFonts w:hint="default"/>
      </w:rPr>
    </w:lvl>
    <w:lvl w:ilvl="6">
      <w:start w:val="1"/>
      <w:numFmt w:val="none"/>
      <w:lvlText w:val="%1"/>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32"/>
  </w:num>
  <w:num w:numId="2">
    <w:abstractNumId w:val="10"/>
  </w:num>
  <w:num w:numId="3">
    <w:abstractNumId w:val="38"/>
  </w:num>
  <w:num w:numId="4">
    <w:abstractNumId w:val="30"/>
  </w:num>
  <w:num w:numId="5">
    <w:abstractNumId w:val="31"/>
  </w:num>
  <w:num w:numId="6">
    <w:abstractNumId w:val="1"/>
  </w:num>
  <w:num w:numId="7">
    <w:abstractNumId w:val="35"/>
  </w:num>
  <w:num w:numId="8">
    <w:abstractNumId w:val="19"/>
  </w:num>
  <w:num w:numId="9">
    <w:abstractNumId w:val="21"/>
  </w:num>
  <w:num w:numId="10">
    <w:abstractNumId w:val="27"/>
  </w:num>
  <w:num w:numId="11">
    <w:abstractNumId w:val="5"/>
  </w:num>
  <w:num w:numId="12">
    <w:abstractNumId w:val="22"/>
  </w:num>
  <w:num w:numId="13">
    <w:abstractNumId w:val="3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7"/>
  </w:num>
  <w:num w:numId="24">
    <w:abstractNumId w:val="2"/>
  </w:num>
  <w:num w:numId="25">
    <w:abstractNumId w:val="23"/>
  </w:num>
  <w:num w:numId="26">
    <w:abstractNumId w:val="9"/>
  </w:num>
  <w:num w:numId="27">
    <w:abstractNumId w:val="25"/>
  </w:num>
  <w:num w:numId="28">
    <w:abstractNumId w:val="29"/>
  </w:num>
  <w:num w:numId="29">
    <w:abstractNumId w:val="14"/>
  </w:num>
  <w:num w:numId="30">
    <w:abstractNumId w:val="12"/>
  </w:num>
  <w:num w:numId="31">
    <w:abstractNumId w:val="24"/>
  </w:num>
  <w:num w:numId="32">
    <w:abstractNumId w:val="16"/>
  </w:num>
  <w:num w:numId="33">
    <w:abstractNumId w:val="37"/>
  </w:num>
  <w:num w:numId="34">
    <w:abstractNumId w:val="30"/>
  </w:num>
  <w:num w:numId="35">
    <w:abstractNumId w:val="33"/>
  </w:num>
  <w:num w:numId="36">
    <w:abstractNumId w:val="13"/>
  </w:num>
  <w:num w:numId="37">
    <w:abstractNumId w:val="26"/>
  </w:num>
  <w:num w:numId="38">
    <w:abstractNumId w:val="4"/>
  </w:num>
  <w:num w:numId="39">
    <w:abstractNumId w:val="15"/>
  </w:num>
  <w:num w:numId="40">
    <w:abstractNumId w:val="11"/>
  </w:num>
  <w:num w:numId="41">
    <w:abstractNumId w:val="6"/>
  </w:num>
  <w:num w:numId="4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oNotShadeFormData/>
  <w:characterSpacingControl w:val="doNotCompress"/>
  <w:hdrShapeDefaults>
    <o:shapedefaults v:ext="edit" spidmax="573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wDoc" w:val="Created"/>
  </w:docVars>
  <w:rsids>
    <w:rsidRoot w:val="00092C07"/>
    <w:rsid w:val="000011C6"/>
    <w:rsid w:val="000019B2"/>
    <w:rsid w:val="00001E72"/>
    <w:rsid w:val="00003923"/>
    <w:rsid w:val="0000505F"/>
    <w:rsid w:val="000061B1"/>
    <w:rsid w:val="000071A5"/>
    <w:rsid w:val="000079C0"/>
    <w:rsid w:val="0001003A"/>
    <w:rsid w:val="00010EE1"/>
    <w:rsid w:val="00012458"/>
    <w:rsid w:val="000131B9"/>
    <w:rsid w:val="00013366"/>
    <w:rsid w:val="0001388E"/>
    <w:rsid w:val="000142F1"/>
    <w:rsid w:val="00014427"/>
    <w:rsid w:val="0001460F"/>
    <w:rsid w:val="00015E41"/>
    <w:rsid w:val="00017450"/>
    <w:rsid w:val="00021306"/>
    <w:rsid w:val="000222F1"/>
    <w:rsid w:val="00022BE0"/>
    <w:rsid w:val="00022F52"/>
    <w:rsid w:val="0002370C"/>
    <w:rsid w:val="000239A7"/>
    <w:rsid w:val="00023E62"/>
    <w:rsid w:val="000241D9"/>
    <w:rsid w:val="00024291"/>
    <w:rsid w:val="000251D0"/>
    <w:rsid w:val="00025F1C"/>
    <w:rsid w:val="0002624B"/>
    <w:rsid w:val="00026555"/>
    <w:rsid w:val="00026AC0"/>
    <w:rsid w:val="00027F97"/>
    <w:rsid w:val="00030A6E"/>
    <w:rsid w:val="0003297E"/>
    <w:rsid w:val="000338A4"/>
    <w:rsid w:val="0003398A"/>
    <w:rsid w:val="00035123"/>
    <w:rsid w:val="0003786D"/>
    <w:rsid w:val="0004016B"/>
    <w:rsid w:val="000407D8"/>
    <w:rsid w:val="00043F23"/>
    <w:rsid w:val="00044850"/>
    <w:rsid w:val="00044ACC"/>
    <w:rsid w:val="00045828"/>
    <w:rsid w:val="00045BAD"/>
    <w:rsid w:val="0004777C"/>
    <w:rsid w:val="00047822"/>
    <w:rsid w:val="00047B5C"/>
    <w:rsid w:val="00047BF1"/>
    <w:rsid w:val="00051403"/>
    <w:rsid w:val="00051985"/>
    <w:rsid w:val="00051AA8"/>
    <w:rsid w:val="00052F44"/>
    <w:rsid w:val="00053BAD"/>
    <w:rsid w:val="0005421C"/>
    <w:rsid w:val="00055716"/>
    <w:rsid w:val="00056EE6"/>
    <w:rsid w:val="0005777D"/>
    <w:rsid w:val="0006047F"/>
    <w:rsid w:val="0006053F"/>
    <w:rsid w:val="000671A2"/>
    <w:rsid w:val="00067A8A"/>
    <w:rsid w:val="00070EEB"/>
    <w:rsid w:val="00071299"/>
    <w:rsid w:val="0007148D"/>
    <w:rsid w:val="00071EB8"/>
    <w:rsid w:val="00072272"/>
    <w:rsid w:val="00074CB0"/>
    <w:rsid w:val="00076183"/>
    <w:rsid w:val="000767AC"/>
    <w:rsid w:val="0007695E"/>
    <w:rsid w:val="00076A78"/>
    <w:rsid w:val="00076C08"/>
    <w:rsid w:val="00080D39"/>
    <w:rsid w:val="00082BAC"/>
    <w:rsid w:val="00084ADB"/>
    <w:rsid w:val="000850BD"/>
    <w:rsid w:val="000857B7"/>
    <w:rsid w:val="000860CC"/>
    <w:rsid w:val="00086128"/>
    <w:rsid w:val="0008731F"/>
    <w:rsid w:val="0008742A"/>
    <w:rsid w:val="00090C3D"/>
    <w:rsid w:val="000928B6"/>
    <w:rsid w:val="00092C07"/>
    <w:rsid w:val="0009381F"/>
    <w:rsid w:val="00093F5C"/>
    <w:rsid w:val="00094680"/>
    <w:rsid w:val="000956FD"/>
    <w:rsid w:val="00095AA3"/>
    <w:rsid w:val="00095F71"/>
    <w:rsid w:val="000A0670"/>
    <w:rsid w:val="000A08C6"/>
    <w:rsid w:val="000A0A7F"/>
    <w:rsid w:val="000A14F6"/>
    <w:rsid w:val="000A36EE"/>
    <w:rsid w:val="000A65A4"/>
    <w:rsid w:val="000A79FC"/>
    <w:rsid w:val="000B07A1"/>
    <w:rsid w:val="000B1176"/>
    <w:rsid w:val="000B377A"/>
    <w:rsid w:val="000B3E49"/>
    <w:rsid w:val="000B3F89"/>
    <w:rsid w:val="000B4A4C"/>
    <w:rsid w:val="000B59DF"/>
    <w:rsid w:val="000B7DCE"/>
    <w:rsid w:val="000C031E"/>
    <w:rsid w:val="000C0D4F"/>
    <w:rsid w:val="000C0E0A"/>
    <w:rsid w:val="000C165A"/>
    <w:rsid w:val="000C1D45"/>
    <w:rsid w:val="000C30D8"/>
    <w:rsid w:val="000C32AA"/>
    <w:rsid w:val="000C4589"/>
    <w:rsid w:val="000C4DC8"/>
    <w:rsid w:val="000C57D5"/>
    <w:rsid w:val="000C6227"/>
    <w:rsid w:val="000C6A87"/>
    <w:rsid w:val="000C7259"/>
    <w:rsid w:val="000D1CB0"/>
    <w:rsid w:val="000D2852"/>
    <w:rsid w:val="000D55B5"/>
    <w:rsid w:val="000D58BD"/>
    <w:rsid w:val="000D5ED5"/>
    <w:rsid w:val="000D7B98"/>
    <w:rsid w:val="000D7F7C"/>
    <w:rsid w:val="000E3308"/>
    <w:rsid w:val="000E3EED"/>
    <w:rsid w:val="000E3FD7"/>
    <w:rsid w:val="000E452D"/>
    <w:rsid w:val="000E4D90"/>
    <w:rsid w:val="000E7977"/>
    <w:rsid w:val="000F01EF"/>
    <w:rsid w:val="000F12AC"/>
    <w:rsid w:val="000F2FD9"/>
    <w:rsid w:val="000F37BB"/>
    <w:rsid w:val="000F4056"/>
    <w:rsid w:val="000F4481"/>
    <w:rsid w:val="000F4818"/>
    <w:rsid w:val="000F57BB"/>
    <w:rsid w:val="000F7271"/>
    <w:rsid w:val="000F775B"/>
    <w:rsid w:val="000F78F1"/>
    <w:rsid w:val="00101961"/>
    <w:rsid w:val="001021BD"/>
    <w:rsid w:val="0010284A"/>
    <w:rsid w:val="00102870"/>
    <w:rsid w:val="001063AC"/>
    <w:rsid w:val="00110BD8"/>
    <w:rsid w:val="001110DB"/>
    <w:rsid w:val="00115D70"/>
    <w:rsid w:val="00120113"/>
    <w:rsid w:val="001235DD"/>
    <w:rsid w:val="0012369A"/>
    <w:rsid w:val="001243CD"/>
    <w:rsid w:val="00127373"/>
    <w:rsid w:val="00131158"/>
    <w:rsid w:val="00131EA1"/>
    <w:rsid w:val="00132BA2"/>
    <w:rsid w:val="00132EE5"/>
    <w:rsid w:val="00133A17"/>
    <w:rsid w:val="00133C58"/>
    <w:rsid w:val="00133D6D"/>
    <w:rsid w:val="00134F4A"/>
    <w:rsid w:val="001365F4"/>
    <w:rsid w:val="00137647"/>
    <w:rsid w:val="001378B1"/>
    <w:rsid w:val="0014052E"/>
    <w:rsid w:val="0014140D"/>
    <w:rsid w:val="00141827"/>
    <w:rsid w:val="0014189C"/>
    <w:rsid w:val="00141B6F"/>
    <w:rsid w:val="0014336D"/>
    <w:rsid w:val="00144469"/>
    <w:rsid w:val="00144833"/>
    <w:rsid w:val="00146B4B"/>
    <w:rsid w:val="001477D1"/>
    <w:rsid w:val="00147FC1"/>
    <w:rsid w:val="00150812"/>
    <w:rsid w:val="00150DAE"/>
    <w:rsid w:val="00151C2A"/>
    <w:rsid w:val="00151CFC"/>
    <w:rsid w:val="00151FB4"/>
    <w:rsid w:val="0015254E"/>
    <w:rsid w:val="00152C60"/>
    <w:rsid w:val="001535F3"/>
    <w:rsid w:val="00153787"/>
    <w:rsid w:val="00153EB7"/>
    <w:rsid w:val="00155898"/>
    <w:rsid w:val="00156E0C"/>
    <w:rsid w:val="001570ED"/>
    <w:rsid w:val="00160691"/>
    <w:rsid w:val="00165113"/>
    <w:rsid w:val="00167419"/>
    <w:rsid w:val="001709E2"/>
    <w:rsid w:val="00170FF0"/>
    <w:rsid w:val="00172907"/>
    <w:rsid w:val="00174C10"/>
    <w:rsid w:val="00174CBA"/>
    <w:rsid w:val="00175447"/>
    <w:rsid w:val="00176294"/>
    <w:rsid w:val="001763E3"/>
    <w:rsid w:val="00182B85"/>
    <w:rsid w:val="00183038"/>
    <w:rsid w:val="001835A0"/>
    <w:rsid w:val="00183882"/>
    <w:rsid w:val="0018428E"/>
    <w:rsid w:val="001844B6"/>
    <w:rsid w:val="00184794"/>
    <w:rsid w:val="001851A3"/>
    <w:rsid w:val="001851B9"/>
    <w:rsid w:val="001855B1"/>
    <w:rsid w:val="00186106"/>
    <w:rsid w:val="00186B2C"/>
    <w:rsid w:val="00187168"/>
    <w:rsid w:val="0018719E"/>
    <w:rsid w:val="0019021E"/>
    <w:rsid w:val="00190399"/>
    <w:rsid w:val="00190F9A"/>
    <w:rsid w:val="00192DB5"/>
    <w:rsid w:val="00194050"/>
    <w:rsid w:val="00194745"/>
    <w:rsid w:val="00194B6F"/>
    <w:rsid w:val="00194E96"/>
    <w:rsid w:val="00195E04"/>
    <w:rsid w:val="00197D44"/>
    <w:rsid w:val="00197F9C"/>
    <w:rsid w:val="001A07F1"/>
    <w:rsid w:val="001A1090"/>
    <w:rsid w:val="001A3B0B"/>
    <w:rsid w:val="001A4332"/>
    <w:rsid w:val="001A4432"/>
    <w:rsid w:val="001A478E"/>
    <w:rsid w:val="001A509E"/>
    <w:rsid w:val="001A697A"/>
    <w:rsid w:val="001A6FE6"/>
    <w:rsid w:val="001A7B61"/>
    <w:rsid w:val="001A7BF7"/>
    <w:rsid w:val="001A7D6D"/>
    <w:rsid w:val="001B2DE0"/>
    <w:rsid w:val="001B305C"/>
    <w:rsid w:val="001B34EB"/>
    <w:rsid w:val="001B3868"/>
    <w:rsid w:val="001B59EE"/>
    <w:rsid w:val="001B68C5"/>
    <w:rsid w:val="001C0644"/>
    <w:rsid w:val="001C09BB"/>
    <w:rsid w:val="001C0B58"/>
    <w:rsid w:val="001C220D"/>
    <w:rsid w:val="001C3245"/>
    <w:rsid w:val="001C4977"/>
    <w:rsid w:val="001C5B61"/>
    <w:rsid w:val="001C605E"/>
    <w:rsid w:val="001C73FA"/>
    <w:rsid w:val="001C7C39"/>
    <w:rsid w:val="001D09CC"/>
    <w:rsid w:val="001D0AF4"/>
    <w:rsid w:val="001D12D6"/>
    <w:rsid w:val="001D1383"/>
    <w:rsid w:val="001D1C99"/>
    <w:rsid w:val="001D2096"/>
    <w:rsid w:val="001D243F"/>
    <w:rsid w:val="001D34CD"/>
    <w:rsid w:val="001D3A43"/>
    <w:rsid w:val="001D3C11"/>
    <w:rsid w:val="001D4D42"/>
    <w:rsid w:val="001D5EC9"/>
    <w:rsid w:val="001D6043"/>
    <w:rsid w:val="001D6B90"/>
    <w:rsid w:val="001E09B6"/>
    <w:rsid w:val="001E152A"/>
    <w:rsid w:val="001E1DA0"/>
    <w:rsid w:val="001E308B"/>
    <w:rsid w:val="001E710A"/>
    <w:rsid w:val="001F31F6"/>
    <w:rsid w:val="001F3E81"/>
    <w:rsid w:val="001F522C"/>
    <w:rsid w:val="001F5423"/>
    <w:rsid w:val="001F5DD9"/>
    <w:rsid w:val="001F5EF6"/>
    <w:rsid w:val="001F69E9"/>
    <w:rsid w:val="001F71C9"/>
    <w:rsid w:val="001F7FE1"/>
    <w:rsid w:val="00200592"/>
    <w:rsid w:val="0020104C"/>
    <w:rsid w:val="00201B79"/>
    <w:rsid w:val="00202559"/>
    <w:rsid w:val="002026A2"/>
    <w:rsid w:val="00202E56"/>
    <w:rsid w:val="002033D6"/>
    <w:rsid w:val="00203758"/>
    <w:rsid w:val="00203786"/>
    <w:rsid w:val="002044A1"/>
    <w:rsid w:val="002052F6"/>
    <w:rsid w:val="00205E05"/>
    <w:rsid w:val="0020708B"/>
    <w:rsid w:val="00207767"/>
    <w:rsid w:val="00207805"/>
    <w:rsid w:val="00207B21"/>
    <w:rsid w:val="00207D2A"/>
    <w:rsid w:val="00210366"/>
    <w:rsid w:val="00211257"/>
    <w:rsid w:val="002144F0"/>
    <w:rsid w:val="00215825"/>
    <w:rsid w:val="00215A3D"/>
    <w:rsid w:val="002161FC"/>
    <w:rsid w:val="00216F02"/>
    <w:rsid w:val="0021731F"/>
    <w:rsid w:val="00217CA1"/>
    <w:rsid w:val="00220F29"/>
    <w:rsid w:val="00221FAD"/>
    <w:rsid w:val="0022208B"/>
    <w:rsid w:val="0022490F"/>
    <w:rsid w:val="002274E5"/>
    <w:rsid w:val="0022767B"/>
    <w:rsid w:val="00230A3B"/>
    <w:rsid w:val="0023133A"/>
    <w:rsid w:val="00232379"/>
    <w:rsid w:val="00233D2D"/>
    <w:rsid w:val="002347A2"/>
    <w:rsid w:val="00234F96"/>
    <w:rsid w:val="00235E17"/>
    <w:rsid w:val="002369E4"/>
    <w:rsid w:val="002411FB"/>
    <w:rsid w:val="00241491"/>
    <w:rsid w:val="00241738"/>
    <w:rsid w:val="002425C2"/>
    <w:rsid w:val="00242C41"/>
    <w:rsid w:val="002437A8"/>
    <w:rsid w:val="00244E4E"/>
    <w:rsid w:val="00246360"/>
    <w:rsid w:val="00250259"/>
    <w:rsid w:val="002509FA"/>
    <w:rsid w:val="00251677"/>
    <w:rsid w:val="00251ED1"/>
    <w:rsid w:val="00252A18"/>
    <w:rsid w:val="00252D0B"/>
    <w:rsid w:val="002530A8"/>
    <w:rsid w:val="00253F4D"/>
    <w:rsid w:val="002545FA"/>
    <w:rsid w:val="0026082F"/>
    <w:rsid w:val="0026191F"/>
    <w:rsid w:val="0026232C"/>
    <w:rsid w:val="00262437"/>
    <w:rsid w:val="002627D7"/>
    <w:rsid w:val="00265153"/>
    <w:rsid w:val="00265D4A"/>
    <w:rsid w:val="00266789"/>
    <w:rsid w:val="002707E7"/>
    <w:rsid w:val="002718D6"/>
    <w:rsid w:val="00272539"/>
    <w:rsid w:val="00272F62"/>
    <w:rsid w:val="002731A0"/>
    <w:rsid w:val="002733F2"/>
    <w:rsid w:val="0027360F"/>
    <w:rsid w:val="00273A3C"/>
    <w:rsid w:val="00273F13"/>
    <w:rsid w:val="00275835"/>
    <w:rsid w:val="00281E7E"/>
    <w:rsid w:val="00282045"/>
    <w:rsid w:val="002820AD"/>
    <w:rsid w:val="00282EFA"/>
    <w:rsid w:val="002837FC"/>
    <w:rsid w:val="00284C30"/>
    <w:rsid w:val="00286282"/>
    <w:rsid w:val="0028755A"/>
    <w:rsid w:val="00287BA8"/>
    <w:rsid w:val="00290335"/>
    <w:rsid w:val="0029158C"/>
    <w:rsid w:val="00292EFB"/>
    <w:rsid w:val="0029328B"/>
    <w:rsid w:val="00296946"/>
    <w:rsid w:val="00296D94"/>
    <w:rsid w:val="002A06DA"/>
    <w:rsid w:val="002A1441"/>
    <w:rsid w:val="002A456F"/>
    <w:rsid w:val="002A47DD"/>
    <w:rsid w:val="002A55C8"/>
    <w:rsid w:val="002A6E2B"/>
    <w:rsid w:val="002B2161"/>
    <w:rsid w:val="002B2572"/>
    <w:rsid w:val="002B4D79"/>
    <w:rsid w:val="002B6026"/>
    <w:rsid w:val="002B7335"/>
    <w:rsid w:val="002B77F5"/>
    <w:rsid w:val="002C1949"/>
    <w:rsid w:val="002C1D0C"/>
    <w:rsid w:val="002C1EC2"/>
    <w:rsid w:val="002C313C"/>
    <w:rsid w:val="002C331D"/>
    <w:rsid w:val="002C50F6"/>
    <w:rsid w:val="002C5308"/>
    <w:rsid w:val="002C609C"/>
    <w:rsid w:val="002D04F9"/>
    <w:rsid w:val="002D0FB5"/>
    <w:rsid w:val="002D18EA"/>
    <w:rsid w:val="002D1AE9"/>
    <w:rsid w:val="002D2D7E"/>
    <w:rsid w:val="002D3103"/>
    <w:rsid w:val="002D4104"/>
    <w:rsid w:val="002D4177"/>
    <w:rsid w:val="002D548B"/>
    <w:rsid w:val="002D5C3A"/>
    <w:rsid w:val="002D66B1"/>
    <w:rsid w:val="002D7ECF"/>
    <w:rsid w:val="002E1443"/>
    <w:rsid w:val="002E1D4E"/>
    <w:rsid w:val="002E46DE"/>
    <w:rsid w:val="002E5406"/>
    <w:rsid w:val="002E78D7"/>
    <w:rsid w:val="002F1CB1"/>
    <w:rsid w:val="002F355A"/>
    <w:rsid w:val="002F3633"/>
    <w:rsid w:val="002F4E62"/>
    <w:rsid w:val="002F59DC"/>
    <w:rsid w:val="002F5B67"/>
    <w:rsid w:val="002F653C"/>
    <w:rsid w:val="002F66A5"/>
    <w:rsid w:val="002F7D4C"/>
    <w:rsid w:val="00300BA9"/>
    <w:rsid w:val="00300CED"/>
    <w:rsid w:val="003030E1"/>
    <w:rsid w:val="00304677"/>
    <w:rsid w:val="0030499C"/>
    <w:rsid w:val="00304C1D"/>
    <w:rsid w:val="003069E8"/>
    <w:rsid w:val="0030783C"/>
    <w:rsid w:val="00307E85"/>
    <w:rsid w:val="00310269"/>
    <w:rsid w:val="00310E67"/>
    <w:rsid w:val="003111DB"/>
    <w:rsid w:val="00311373"/>
    <w:rsid w:val="00311CCB"/>
    <w:rsid w:val="00311DB1"/>
    <w:rsid w:val="00312880"/>
    <w:rsid w:val="00312FBD"/>
    <w:rsid w:val="0031315A"/>
    <w:rsid w:val="00313937"/>
    <w:rsid w:val="00313F2E"/>
    <w:rsid w:val="00314466"/>
    <w:rsid w:val="003149E9"/>
    <w:rsid w:val="00315455"/>
    <w:rsid w:val="00316724"/>
    <w:rsid w:val="00316B83"/>
    <w:rsid w:val="00317DAD"/>
    <w:rsid w:val="003203C7"/>
    <w:rsid w:val="00320415"/>
    <w:rsid w:val="003205D7"/>
    <w:rsid w:val="003207F5"/>
    <w:rsid w:val="00321A72"/>
    <w:rsid w:val="00322E0B"/>
    <w:rsid w:val="00323107"/>
    <w:rsid w:val="00323A15"/>
    <w:rsid w:val="00323B10"/>
    <w:rsid w:val="00324485"/>
    <w:rsid w:val="00331DCE"/>
    <w:rsid w:val="00332055"/>
    <w:rsid w:val="00332280"/>
    <w:rsid w:val="00332373"/>
    <w:rsid w:val="003323DB"/>
    <w:rsid w:val="00332B05"/>
    <w:rsid w:val="00332EB2"/>
    <w:rsid w:val="00332ED8"/>
    <w:rsid w:val="003330C7"/>
    <w:rsid w:val="00335C9A"/>
    <w:rsid w:val="00336666"/>
    <w:rsid w:val="003367A0"/>
    <w:rsid w:val="00337734"/>
    <w:rsid w:val="00337BCB"/>
    <w:rsid w:val="003409BF"/>
    <w:rsid w:val="0034339E"/>
    <w:rsid w:val="003453B9"/>
    <w:rsid w:val="00345525"/>
    <w:rsid w:val="00346D18"/>
    <w:rsid w:val="00351302"/>
    <w:rsid w:val="0035160D"/>
    <w:rsid w:val="00353488"/>
    <w:rsid w:val="00354084"/>
    <w:rsid w:val="00354A61"/>
    <w:rsid w:val="00354B38"/>
    <w:rsid w:val="00355742"/>
    <w:rsid w:val="00355E73"/>
    <w:rsid w:val="00356841"/>
    <w:rsid w:val="00361C12"/>
    <w:rsid w:val="0036230A"/>
    <w:rsid w:val="003630EA"/>
    <w:rsid w:val="00364715"/>
    <w:rsid w:val="00365687"/>
    <w:rsid w:val="003657AB"/>
    <w:rsid w:val="00370A03"/>
    <w:rsid w:val="00372A69"/>
    <w:rsid w:val="003740F8"/>
    <w:rsid w:val="0037427F"/>
    <w:rsid w:val="0037447F"/>
    <w:rsid w:val="00375FB0"/>
    <w:rsid w:val="0037638E"/>
    <w:rsid w:val="00376491"/>
    <w:rsid w:val="00380189"/>
    <w:rsid w:val="0038053D"/>
    <w:rsid w:val="00380A15"/>
    <w:rsid w:val="00381107"/>
    <w:rsid w:val="00381308"/>
    <w:rsid w:val="003818E8"/>
    <w:rsid w:val="003848EF"/>
    <w:rsid w:val="00384905"/>
    <w:rsid w:val="00385BF8"/>
    <w:rsid w:val="00386560"/>
    <w:rsid w:val="00391CE4"/>
    <w:rsid w:val="00391E40"/>
    <w:rsid w:val="00392311"/>
    <w:rsid w:val="00392873"/>
    <w:rsid w:val="00393A38"/>
    <w:rsid w:val="00394648"/>
    <w:rsid w:val="00395DFD"/>
    <w:rsid w:val="00395F95"/>
    <w:rsid w:val="00396C1A"/>
    <w:rsid w:val="00396E3F"/>
    <w:rsid w:val="003A0B15"/>
    <w:rsid w:val="003A151C"/>
    <w:rsid w:val="003A5312"/>
    <w:rsid w:val="003A53C5"/>
    <w:rsid w:val="003A5EEC"/>
    <w:rsid w:val="003A6079"/>
    <w:rsid w:val="003A68AB"/>
    <w:rsid w:val="003A7572"/>
    <w:rsid w:val="003B00ED"/>
    <w:rsid w:val="003B04F0"/>
    <w:rsid w:val="003B1336"/>
    <w:rsid w:val="003B20FC"/>
    <w:rsid w:val="003B26DE"/>
    <w:rsid w:val="003B30DD"/>
    <w:rsid w:val="003B3E18"/>
    <w:rsid w:val="003B67C7"/>
    <w:rsid w:val="003B72CF"/>
    <w:rsid w:val="003B78AB"/>
    <w:rsid w:val="003C2DEE"/>
    <w:rsid w:val="003C4286"/>
    <w:rsid w:val="003C6C81"/>
    <w:rsid w:val="003D11C0"/>
    <w:rsid w:val="003D2341"/>
    <w:rsid w:val="003D2D82"/>
    <w:rsid w:val="003D33A3"/>
    <w:rsid w:val="003D3845"/>
    <w:rsid w:val="003D41BE"/>
    <w:rsid w:val="003D4CA4"/>
    <w:rsid w:val="003D5566"/>
    <w:rsid w:val="003D572E"/>
    <w:rsid w:val="003D57B2"/>
    <w:rsid w:val="003D6907"/>
    <w:rsid w:val="003D6960"/>
    <w:rsid w:val="003D7431"/>
    <w:rsid w:val="003D77EE"/>
    <w:rsid w:val="003D7F62"/>
    <w:rsid w:val="003E0510"/>
    <w:rsid w:val="003E14B6"/>
    <w:rsid w:val="003E1BBB"/>
    <w:rsid w:val="003E2295"/>
    <w:rsid w:val="003E23AE"/>
    <w:rsid w:val="003E26C7"/>
    <w:rsid w:val="003E4BD5"/>
    <w:rsid w:val="003E54B6"/>
    <w:rsid w:val="003E58BD"/>
    <w:rsid w:val="003E60A6"/>
    <w:rsid w:val="003E66BB"/>
    <w:rsid w:val="003E6766"/>
    <w:rsid w:val="003E6842"/>
    <w:rsid w:val="003E7A4D"/>
    <w:rsid w:val="003F163E"/>
    <w:rsid w:val="003F1F49"/>
    <w:rsid w:val="003F2789"/>
    <w:rsid w:val="003F2E47"/>
    <w:rsid w:val="003F2FA0"/>
    <w:rsid w:val="003F41A2"/>
    <w:rsid w:val="003F42A7"/>
    <w:rsid w:val="003F50CE"/>
    <w:rsid w:val="003F6045"/>
    <w:rsid w:val="003F70A8"/>
    <w:rsid w:val="003F71C5"/>
    <w:rsid w:val="003F7DDF"/>
    <w:rsid w:val="004016DE"/>
    <w:rsid w:val="004025DC"/>
    <w:rsid w:val="00402E80"/>
    <w:rsid w:val="00405ACA"/>
    <w:rsid w:val="00413D85"/>
    <w:rsid w:val="0041555E"/>
    <w:rsid w:val="00416050"/>
    <w:rsid w:val="00416FC0"/>
    <w:rsid w:val="004175D4"/>
    <w:rsid w:val="00417EA4"/>
    <w:rsid w:val="004240A9"/>
    <w:rsid w:val="00424647"/>
    <w:rsid w:val="0042494E"/>
    <w:rsid w:val="00425C72"/>
    <w:rsid w:val="00426AB3"/>
    <w:rsid w:val="004311A7"/>
    <w:rsid w:val="004311AA"/>
    <w:rsid w:val="00431475"/>
    <w:rsid w:val="00432445"/>
    <w:rsid w:val="004329BB"/>
    <w:rsid w:val="00432AA0"/>
    <w:rsid w:val="0043446F"/>
    <w:rsid w:val="0043683F"/>
    <w:rsid w:val="00437799"/>
    <w:rsid w:val="004406D1"/>
    <w:rsid w:val="00441454"/>
    <w:rsid w:val="004422A6"/>
    <w:rsid w:val="00442A0E"/>
    <w:rsid w:val="00442EA0"/>
    <w:rsid w:val="00443E3E"/>
    <w:rsid w:val="00444029"/>
    <w:rsid w:val="004442E2"/>
    <w:rsid w:val="00444D28"/>
    <w:rsid w:val="00445634"/>
    <w:rsid w:val="00450D5F"/>
    <w:rsid w:val="00451CB4"/>
    <w:rsid w:val="0045253C"/>
    <w:rsid w:val="00452B35"/>
    <w:rsid w:val="00452CBC"/>
    <w:rsid w:val="00453B12"/>
    <w:rsid w:val="004547EA"/>
    <w:rsid w:val="00455EAA"/>
    <w:rsid w:val="00456494"/>
    <w:rsid w:val="00457408"/>
    <w:rsid w:val="004577E1"/>
    <w:rsid w:val="0045799A"/>
    <w:rsid w:val="00463490"/>
    <w:rsid w:val="00466326"/>
    <w:rsid w:val="00467504"/>
    <w:rsid w:val="004675CB"/>
    <w:rsid w:val="00470BEA"/>
    <w:rsid w:val="00471060"/>
    <w:rsid w:val="004716AC"/>
    <w:rsid w:val="00471E07"/>
    <w:rsid w:val="00471E78"/>
    <w:rsid w:val="004763AF"/>
    <w:rsid w:val="0048050D"/>
    <w:rsid w:val="00480FB5"/>
    <w:rsid w:val="0048196D"/>
    <w:rsid w:val="00481DBF"/>
    <w:rsid w:val="00483E1A"/>
    <w:rsid w:val="00483FB7"/>
    <w:rsid w:val="00484600"/>
    <w:rsid w:val="00485114"/>
    <w:rsid w:val="004854F9"/>
    <w:rsid w:val="004860C0"/>
    <w:rsid w:val="00487074"/>
    <w:rsid w:val="004874F8"/>
    <w:rsid w:val="0049072A"/>
    <w:rsid w:val="00490841"/>
    <w:rsid w:val="00490FF7"/>
    <w:rsid w:val="004930F6"/>
    <w:rsid w:val="0049416F"/>
    <w:rsid w:val="004948C9"/>
    <w:rsid w:val="00495404"/>
    <w:rsid w:val="00497931"/>
    <w:rsid w:val="00497FCA"/>
    <w:rsid w:val="004A0768"/>
    <w:rsid w:val="004A14BC"/>
    <w:rsid w:val="004A2D4B"/>
    <w:rsid w:val="004A2FC2"/>
    <w:rsid w:val="004A32EA"/>
    <w:rsid w:val="004A3D93"/>
    <w:rsid w:val="004A3EFD"/>
    <w:rsid w:val="004A3F27"/>
    <w:rsid w:val="004A4FBA"/>
    <w:rsid w:val="004A7E39"/>
    <w:rsid w:val="004B1880"/>
    <w:rsid w:val="004B1E62"/>
    <w:rsid w:val="004B3B7B"/>
    <w:rsid w:val="004B5251"/>
    <w:rsid w:val="004C180F"/>
    <w:rsid w:val="004C1BBB"/>
    <w:rsid w:val="004C1E85"/>
    <w:rsid w:val="004C2615"/>
    <w:rsid w:val="004C3C6C"/>
    <w:rsid w:val="004C46FC"/>
    <w:rsid w:val="004C4C8F"/>
    <w:rsid w:val="004D0574"/>
    <w:rsid w:val="004D0C7C"/>
    <w:rsid w:val="004D1134"/>
    <w:rsid w:val="004D118B"/>
    <w:rsid w:val="004D192C"/>
    <w:rsid w:val="004D2123"/>
    <w:rsid w:val="004D2B69"/>
    <w:rsid w:val="004D403D"/>
    <w:rsid w:val="004D6A72"/>
    <w:rsid w:val="004D6E55"/>
    <w:rsid w:val="004D7157"/>
    <w:rsid w:val="004D788A"/>
    <w:rsid w:val="004D7D02"/>
    <w:rsid w:val="004E00A3"/>
    <w:rsid w:val="004E1174"/>
    <w:rsid w:val="004E29C6"/>
    <w:rsid w:val="004E3E8F"/>
    <w:rsid w:val="004E4095"/>
    <w:rsid w:val="004E5E6C"/>
    <w:rsid w:val="004E64BD"/>
    <w:rsid w:val="004E6683"/>
    <w:rsid w:val="004F0D66"/>
    <w:rsid w:val="004F1AEB"/>
    <w:rsid w:val="004F1AF2"/>
    <w:rsid w:val="004F3F45"/>
    <w:rsid w:val="004F52A4"/>
    <w:rsid w:val="004F5E43"/>
    <w:rsid w:val="004F6CF8"/>
    <w:rsid w:val="004F7BA3"/>
    <w:rsid w:val="00500698"/>
    <w:rsid w:val="00500C9D"/>
    <w:rsid w:val="00501B2A"/>
    <w:rsid w:val="00503C39"/>
    <w:rsid w:val="0050536F"/>
    <w:rsid w:val="00506528"/>
    <w:rsid w:val="005071EF"/>
    <w:rsid w:val="00507986"/>
    <w:rsid w:val="005109CC"/>
    <w:rsid w:val="00510AC6"/>
    <w:rsid w:val="005116B1"/>
    <w:rsid w:val="0051216C"/>
    <w:rsid w:val="00517351"/>
    <w:rsid w:val="00520444"/>
    <w:rsid w:val="00521801"/>
    <w:rsid w:val="005222D3"/>
    <w:rsid w:val="005232F5"/>
    <w:rsid w:val="0052352A"/>
    <w:rsid w:val="0052463E"/>
    <w:rsid w:val="0052490C"/>
    <w:rsid w:val="00524A0C"/>
    <w:rsid w:val="00525511"/>
    <w:rsid w:val="00526B28"/>
    <w:rsid w:val="00527387"/>
    <w:rsid w:val="00527393"/>
    <w:rsid w:val="005273E7"/>
    <w:rsid w:val="00527A7D"/>
    <w:rsid w:val="005304C3"/>
    <w:rsid w:val="0053377B"/>
    <w:rsid w:val="00533D7B"/>
    <w:rsid w:val="00537BBB"/>
    <w:rsid w:val="005409C5"/>
    <w:rsid w:val="00540A7C"/>
    <w:rsid w:val="00544292"/>
    <w:rsid w:val="005455F0"/>
    <w:rsid w:val="005456EC"/>
    <w:rsid w:val="00547154"/>
    <w:rsid w:val="00547658"/>
    <w:rsid w:val="00551D82"/>
    <w:rsid w:val="00552371"/>
    <w:rsid w:val="00554795"/>
    <w:rsid w:val="00556777"/>
    <w:rsid w:val="00556DEA"/>
    <w:rsid w:val="00557C09"/>
    <w:rsid w:val="00560465"/>
    <w:rsid w:val="00560972"/>
    <w:rsid w:val="005622E9"/>
    <w:rsid w:val="00563F7B"/>
    <w:rsid w:val="00563FB9"/>
    <w:rsid w:val="005640A6"/>
    <w:rsid w:val="00565819"/>
    <w:rsid w:val="005658EB"/>
    <w:rsid w:val="0056664A"/>
    <w:rsid w:val="00567007"/>
    <w:rsid w:val="005675AF"/>
    <w:rsid w:val="00570F8E"/>
    <w:rsid w:val="00570FCD"/>
    <w:rsid w:val="00571B06"/>
    <w:rsid w:val="00572118"/>
    <w:rsid w:val="00572298"/>
    <w:rsid w:val="00573359"/>
    <w:rsid w:val="005739CA"/>
    <w:rsid w:val="00573B44"/>
    <w:rsid w:val="005742E3"/>
    <w:rsid w:val="00574A89"/>
    <w:rsid w:val="00575F80"/>
    <w:rsid w:val="00575FFA"/>
    <w:rsid w:val="00576F30"/>
    <w:rsid w:val="00583F6E"/>
    <w:rsid w:val="00585CDE"/>
    <w:rsid w:val="00586CE4"/>
    <w:rsid w:val="00586D82"/>
    <w:rsid w:val="005875FD"/>
    <w:rsid w:val="005879B8"/>
    <w:rsid w:val="005905D8"/>
    <w:rsid w:val="00591130"/>
    <w:rsid w:val="00593648"/>
    <w:rsid w:val="005938A2"/>
    <w:rsid w:val="00594AC6"/>
    <w:rsid w:val="00594F99"/>
    <w:rsid w:val="00596F19"/>
    <w:rsid w:val="005970B5"/>
    <w:rsid w:val="005978D0"/>
    <w:rsid w:val="005A0026"/>
    <w:rsid w:val="005A00DB"/>
    <w:rsid w:val="005A0A54"/>
    <w:rsid w:val="005A0B86"/>
    <w:rsid w:val="005A2338"/>
    <w:rsid w:val="005A276B"/>
    <w:rsid w:val="005A2FC0"/>
    <w:rsid w:val="005A3880"/>
    <w:rsid w:val="005A5AA0"/>
    <w:rsid w:val="005A62D0"/>
    <w:rsid w:val="005A66F6"/>
    <w:rsid w:val="005A7A14"/>
    <w:rsid w:val="005B2862"/>
    <w:rsid w:val="005B341F"/>
    <w:rsid w:val="005B44D6"/>
    <w:rsid w:val="005B473D"/>
    <w:rsid w:val="005B5651"/>
    <w:rsid w:val="005B613F"/>
    <w:rsid w:val="005B6BD2"/>
    <w:rsid w:val="005C0E7F"/>
    <w:rsid w:val="005C69B2"/>
    <w:rsid w:val="005D0B63"/>
    <w:rsid w:val="005D1728"/>
    <w:rsid w:val="005D27B8"/>
    <w:rsid w:val="005D2C6A"/>
    <w:rsid w:val="005D2E03"/>
    <w:rsid w:val="005D4544"/>
    <w:rsid w:val="005D4E99"/>
    <w:rsid w:val="005D4F09"/>
    <w:rsid w:val="005D5178"/>
    <w:rsid w:val="005D6EA8"/>
    <w:rsid w:val="005D6F05"/>
    <w:rsid w:val="005E10E3"/>
    <w:rsid w:val="005E15C3"/>
    <w:rsid w:val="005E3FC7"/>
    <w:rsid w:val="005E7EA9"/>
    <w:rsid w:val="005F0EA7"/>
    <w:rsid w:val="005F32E7"/>
    <w:rsid w:val="005F3758"/>
    <w:rsid w:val="005F49C1"/>
    <w:rsid w:val="005F4D3B"/>
    <w:rsid w:val="005F54D7"/>
    <w:rsid w:val="005F698B"/>
    <w:rsid w:val="00600956"/>
    <w:rsid w:val="00602401"/>
    <w:rsid w:val="0060342C"/>
    <w:rsid w:val="00604158"/>
    <w:rsid w:val="00604C84"/>
    <w:rsid w:val="00605608"/>
    <w:rsid w:val="00605FBD"/>
    <w:rsid w:val="006062B5"/>
    <w:rsid w:val="0060666C"/>
    <w:rsid w:val="00606C5F"/>
    <w:rsid w:val="006070C4"/>
    <w:rsid w:val="0060786F"/>
    <w:rsid w:val="00610F70"/>
    <w:rsid w:val="00615CA5"/>
    <w:rsid w:val="00615D43"/>
    <w:rsid w:val="006160B6"/>
    <w:rsid w:val="006161E9"/>
    <w:rsid w:val="00616AE9"/>
    <w:rsid w:val="00616BCC"/>
    <w:rsid w:val="0061758F"/>
    <w:rsid w:val="0061761A"/>
    <w:rsid w:val="0062064D"/>
    <w:rsid w:val="00620D19"/>
    <w:rsid w:val="00620F29"/>
    <w:rsid w:val="006218AC"/>
    <w:rsid w:val="00623992"/>
    <w:rsid w:val="00623DFF"/>
    <w:rsid w:val="00624299"/>
    <w:rsid w:val="006243EB"/>
    <w:rsid w:val="00625536"/>
    <w:rsid w:val="00625AC1"/>
    <w:rsid w:val="006267F8"/>
    <w:rsid w:val="00630966"/>
    <w:rsid w:val="00630EC4"/>
    <w:rsid w:val="00630EC9"/>
    <w:rsid w:val="00631B4C"/>
    <w:rsid w:val="00632522"/>
    <w:rsid w:val="006328B1"/>
    <w:rsid w:val="00632CB9"/>
    <w:rsid w:val="006334C6"/>
    <w:rsid w:val="00635BAE"/>
    <w:rsid w:val="006419AC"/>
    <w:rsid w:val="00641D5A"/>
    <w:rsid w:val="00643B89"/>
    <w:rsid w:val="00645936"/>
    <w:rsid w:val="00646433"/>
    <w:rsid w:val="006468FD"/>
    <w:rsid w:val="00646B92"/>
    <w:rsid w:val="00646E3C"/>
    <w:rsid w:val="00647402"/>
    <w:rsid w:val="00650282"/>
    <w:rsid w:val="00650545"/>
    <w:rsid w:val="00650A11"/>
    <w:rsid w:val="00650C4E"/>
    <w:rsid w:val="006511BB"/>
    <w:rsid w:val="006531EF"/>
    <w:rsid w:val="00653EE4"/>
    <w:rsid w:val="006540FF"/>
    <w:rsid w:val="00655933"/>
    <w:rsid w:val="00655DC3"/>
    <w:rsid w:val="00656305"/>
    <w:rsid w:val="00656D69"/>
    <w:rsid w:val="006574A9"/>
    <w:rsid w:val="0066034A"/>
    <w:rsid w:val="006631B8"/>
    <w:rsid w:val="00663310"/>
    <w:rsid w:val="0066483A"/>
    <w:rsid w:val="006656EC"/>
    <w:rsid w:val="006658F9"/>
    <w:rsid w:val="006662EE"/>
    <w:rsid w:val="00667977"/>
    <w:rsid w:val="006720E7"/>
    <w:rsid w:val="00672221"/>
    <w:rsid w:val="006725A4"/>
    <w:rsid w:val="00674043"/>
    <w:rsid w:val="0067720E"/>
    <w:rsid w:val="00677C65"/>
    <w:rsid w:val="0068009D"/>
    <w:rsid w:val="0068051F"/>
    <w:rsid w:val="006805D1"/>
    <w:rsid w:val="00682091"/>
    <w:rsid w:val="006824EE"/>
    <w:rsid w:val="00682BBC"/>
    <w:rsid w:val="00682F18"/>
    <w:rsid w:val="0068365B"/>
    <w:rsid w:val="00684490"/>
    <w:rsid w:val="00684CD6"/>
    <w:rsid w:val="00685745"/>
    <w:rsid w:val="006867B7"/>
    <w:rsid w:val="00686805"/>
    <w:rsid w:val="00686F5E"/>
    <w:rsid w:val="00690C38"/>
    <w:rsid w:val="006914EF"/>
    <w:rsid w:val="00692DE8"/>
    <w:rsid w:val="0069403E"/>
    <w:rsid w:val="006945C8"/>
    <w:rsid w:val="006957C5"/>
    <w:rsid w:val="00695EB7"/>
    <w:rsid w:val="00696FC2"/>
    <w:rsid w:val="00697555"/>
    <w:rsid w:val="00697AA6"/>
    <w:rsid w:val="006A051C"/>
    <w:rsid w:val="006A0557"/>
    <w:rsid w:val="006A1B09"/>
    <w:rsid w:val="006A2A2C"/>
    <w:rsid w:val="006A2D92"/>
    <w:rsid w:val="006A56C1"/>
    <w:rsid w:val="006A5A2E"/>
    <w:rsid w:val="006A5AF3"/>
    <w:rsid w:val="006A6A3B"/>
    <w:rsid w:val="006A7126"/>
    <w:rsid w:val="006A7192"/>
    <w:rsid w:val="006B04D1"/>
    <w:rsid w:val="006B3C41"/>
    <w:rsid w:val="006B4257"/>
    <w:rsid w:val="006B47A4"/>
    <w:rsid w:val="006B48AE"/>
    <w:rsid w:val="006B7B42"/>
    <w:rsid w:val="006C0521"/>
    <w:rsid w:val="006C0E8F"/>
    <w:rsid w:val="006C278F"/>
    <w:rsid w:val="006C2978"/>
    <w:rsid w:val="006C4BA2"/>
    <w:rsid w:val="006C5CE3"/>
    <w:rsid w:val="006C6938"/>
    <w:rsid w:val="006C7426"/>
    <w:rsid w:val="006C7A7A"/>
    <w:rsid w:val="006D1474"/>
    <w:rsid w:val="006D1C57"/>
    <w:rsid w:val="006D1F7D"/>
    <w:rsid w:val="006D23DC"/>
    <w:rsid w:val="006D29CD"/>
    <w:rsid w:val="006D2BE3"/>
    <w:rsid w:val="006D2BEB"/>
    <w:rsid w:val="006D2BF3"/>
    <w:rsid w:val="006D31E2"/>
    <w:rsid w:val="006D3327"/>
    <w:rsid w:val="006D37CF"/>
    <w:rsid w:val="006D523F"/>
    <w:rsid w:val="006D7760"/>
    <w:rsid w:val="006E11EC"/>
    <w:rsid w:val="006E1383"/>
    <w:rsid w:val="006E17B6"/>
    <w:rsid w:val="006E2AE8"/>
    <w:rsid w:val="006E32F7"/>
    <w:rsid w:val="006E3955"/>
    <w:rsid w:val="006E7242"/>
    <w:rsid w:val="006F0945"/>
    <w:rsid w:val="006F0BEF"/>
    <w:rsid w:val="006F3BB8"/>
    <w:rsid w:val="006F5637"/>
    <w:rsid w:val="006F790C"/>
    <w:rsid w:val="00702BBA"/>
    <w:rsid w:val="00703D2D"/>
    <w:rsid w:val="00703E66"/>
    <w:rsid w:val="00704A0C"/>
    <w:rsid w:val="00705362"/>
    <w:rsid w:val="007059D0"/>
    <w:rsid w:val="00706FE9"/>
    <w:rsid w:val="0071064C"/>
    <w:rsid w:val="00710BF9"/>
    <w:rsid w:val="00712914"/>
    <w:rsid w:val="00712BDE"/>
    <w:rsid w:val="0071360C"/>
    <w:rsid w:val="0071367B"/>
    <w:rsid w:val="0071394F"/>
    <w:rsid w:val="007139B6"/>
    <w:rsid w:val="0071468E"/>
    <w:rsid w:val="0071569A"/>
    <w:rsid w:val="00716703"/>
    <w:rsid w:val="0071686F"/>
    <w:rsid w:val="00716D5C"/>
    <w:rsid w:val="00716E66"/>
    <w:rsid w:val="00717760"/>
    <w:rsid w:val="00717800"/>
    <w:rsid w:val="007208D9"/>
    <w:rsid w:val="00720AF5"/>
    <w:rsid w:val="00720C9D"/>
    <w:rsid w:val="00720FFE"/>
    <w:rsid w:val="00721C7C"/>
    <w:rsid w:val="00722696"/>
    <w:rsid w:val="00727C9E"/>
    <w:rsid w:val="007311D2"/>
    <w:rsid w:val="00732185"/>
    <w:rsid w:val="0073258B"/>
    <w:rsid w:val="00732766"/>
    <w:rsid w:val="00732A7F"/>
    <w:rsid w:val="00732BA8"/>
    <w:rsid w:val="0073350E"/>
    <w:rsid w:val="00733F8C"/>
    <w:rsid w:val="0073412E"/>
    <w:rsid w:val="00734182"/>
    <w:rsid w:val="00734E99"/>
    <w:rsid w:val="00735184"/>
    <w:rsid w:val="007359A7"/>
    <w:rsid w:val="00735C53"/>
    <w:rsid w:val="00736A54"/>
    <w:rsid w:val="00741720"/>
    <w:rsid w:val="00743BF5"/>
    <w:rsid w:val="00744ECC"/>
    <w:rsid w:val="0074677C"/>
    <w:rsid w:val="007468EB"/>
    <w:rsid w:val="00746E21"/>
    <w:rsid w:val="0074740B"/>
    <w:rsid w:val="00747E73"/>
    <w:rsid w:val="0075393B"/>
    <w:rsid w:val="007543AD"/>
    <w:rsid w:val="0075471A"/>
    <w:rsid w:val="0075771C"/>
    <w:rsid w:val="007608D7"/>
    <w:rsid w:val="00763D76"/>
    <w:rsid w:val="00764D8D"/>
    <w:rsid w:val="00764FAA"/>
    <w:rsid w:val="00766D48"/>
    <w:rsid w:val="00767A04"/>
    <w:rsid w:val="00767B54"/>
    <w:rsid w:val="00771EFE"/>
    <w:rsid w:val="00772955"/>
    <w:rsid w:val="00773B58"/>
    <w:rsid w:val="007740C7"/>
    <w:rsid w:val="00774343"/>
    <w:rsid w:val="007754E1"/>
    <w:rsid w:val="00776FBC"/>
    <w:rsid w:val="00777487"/>
    <w:rsid w:val="007777A1"/>
    <w:rsid w:val="0078003D"/>
    <w:rsid w:val="00780EF2"/>
    <w:rsid w:val="00781407"/>
    <w:rsid w:val="0078273E"/>
    <w:rsid w:val="00782DCD"/>
    <w:rsid w:val="00782F88"/>
    <w:rsid w:val="0078471D"/>
    <w:rsid w:val="007847F1"/>
    <w:rsid w:val="00784CBD"/>
    <w:rsid w:val="00784EC0"/>
    <w:rsid w:val="00786688"/>
    <w:rsid w:val="007867F3"/>
    <w:rsid w:val="0078730F"/>
    <w:rsid w:val="0078760F"/>
    <w:rsid w:val="007913FD"/>
    <w:rsid w:val="007914E6"/>
    <w:rsid w:val="007919E4"/>
    <w:rsid w:val="0079221B"/>
    <w:rsid w:val="007925C2"/>
    <w:rsid w:val="007927ED"/>
    <w:rsid w:val="00794184"/>
    <w:rsid w:val="007949D8"/>
    <w:rsid w:val="00795D78"/>
    <w:rsid w:val="00796A50"/>
    <w:rsid w:val="00797F0A"/>
    <w:rsid w:val="007A01E1"/>
    <w:rsid w:val="007A099A"/>
    <w:rsid w:val="007A09FA"/>
    <w:rsid w:val="007A49C2"/>
    <w:rsid w:val="007A4BDD"/>
    <w:rsid w:val="007A5B13"/>
    <w:rsid w:val="007B0110"/>
    <w:rsid w:val="007B0459"/>
    <w:rsid w:val="007B05B3"/>
    <w:rsid w:val="007B101A"/>
    <w:rsid w:val="007B14CE"/>
    <w:rsid w:val="007B15E4"/>
    <w:rsid w:val="007B2F4F"/>
    <w:rsid w:val="007B33D7"/>
    <w:rsid w:val="007B45FE"/>
    <w:rsid w:val="007B5101"/>
    <w:rsid w:val="007B53B6"/>
    <w:rsid w:val="007B6193"/>
    <w:rsid w:val="007B7399"/>
    <w:rsid w:val="007C08F8"/>
    <w:rsid w:val="007C0A8F"/>
    <w:rsid w:val="007C10C3"/>
    <w:rsid w:val="007C1837"/>
    <w:rsid w:val="007C2377"/>
    <w:rsid w:val="007C293A"/>
    <w:rsid w:val="007C3EC5"/>
    <w:rsid w:val="007C42E2"/>
    <w:rsid w:val="007C5789"/>
    <w:rsid w:val="007C6283"/>
    <w:rsid w:val="007D0CC0"/>
    <w:rsid w:val="007D2214"/>
    <w:rsid w:val="007D537B"/>
    <w:rsid w:val="007D6D91"/>
    <w:rsid w:val="007D6F3F"/>
    <w:rsid w:val="007E01A3"/>
    <w:rsid w:val="007E1522"/>
    <w:rsid w:val="007E280D"/>
    <w:rsid w:val="007E353A"/>
    <w:rsid w:val="007E57AB"/>
    <w:rsid w:val="007E59A4"/>
    <w:rsid w:val="007E6CF8"/>
    <w:rsid w:val="007E6ECC"/>
    <w:rsid w:val="007E7DF0"/>
    <w:rsid w:val="007F0ABE"/>
    <w:rsid w:val="007F0ED9"/>
    <w:rsid w:val="007F2213"/>
    <w:rsid w:val="007F25A7"/>
    <w:rsid w:val="007F2645"/>
    <w:rsid w:val="007F34B1"/>
    <w:rsid w:val="007F4668"/>
    <w:rsid w:val="007F4CF5"/>
    <w:rsid w:val="007F571B"/>
    <w:rsid w:val="007F64C7"/>
    <w:rsid w:val="007F716B"/>
    <w:rsid w:val="008031EC"/>
    <w:rsid w:val="008054F0"/>
    <w:rsid w:val="00805965"/>
    <w:rsid w:val="00805BD3"/>
    <w:rsid w:val="00805BE1"/>
    <w:rsid w:val="0080762F"/>
    <w:rsid w:val="00807DB6"/>
    <w:rsid w:val="00807FFA"/>
    <w:rsid w:val="00815425"/>
    <w:rsid w:val="008155E3"/>
    <w:rsid w:val="00815B78"/>
    <w:rsid w:val="00817638"/>
    <w:rsid w:val="008228A5"/>
    <w:rsid w:val="00822B3C"/>
    <w:rsid w:val="00824087"/>
    <w:rsid w:val="00825628"/>
    <w:rsid w:val="00826978"/>
    <w:rsid w:val="00826A42"/>
    <w:rsid w:val="00830ED9"/>
    <w:rsid w:val="00833FB8"/>
    <w:rsid w:val="00834367"/>
    <w:rsid w:val="0083449C"/>
    <w:rsid w:val="00834859"/>
    <w:rsid w:val="008368F5"/>
    <w:rsid w:val="008369A3"/>
    <w:rsid w:val="00837007"/>
    <w:rsid w:val="00837300"/>
    <w:rsid w:val="0083752F"/>
    <w:rsid w:val="00837689"/>
    <w:rsid w:val="00837AA7"/>
    <w:rsid w:val="00837F65"/>
    <w:rsid w:val="008410B6"/>
    <w:rsid w:val="00841DB1"/>
    <w:rsid w:val="00845B33"/>
    <w:rsid w:val="00846D8C"/>
    <w:rsid w:val="008478CE"/>
    <w:rsid w:val="00847C2B"/>
    <w:rsid w:val="00847E7D"/>
    <w:rsid w:val="00847F14"/>
    <w:rsid w:val="00850CF7"/>
    <w:rsid w:val="00851D60"/>
    <w:rsid w:val="0085224E"/>
    <w:rsid w:val="00852DEA"/>
    <w:rsid w:val="00854B58"/>
    <w:rsid w:val="0085583B"/>
    <w:rsid w:val="008579E1"/>
    <w:rsid w:val="00857E85"/>
    <w:rsid w:val="008604B4"/>
    <w:rsid w:val="00860BA4"/>
    <w:rsid w:val="00860E75"/>
    <w:rsid w:val="0086103A"/>
    <w:rsid w:val="008617EA"/>
    <w:rsid w:val="0086208D"/>
    <w:rsid w:val="008629E3"/>
    <w:rsid w:val="00864321"/>
    <w:rsid w:val="00864881"/>
    <w:rsid w:val="00865DC8"/>
    <w:rsid w:val="008676FC"/>
    <w:rsid w:val="00870D58"/>
    <w:rsid w:val="00872638"/>
    <w:rsid w:val="008727AA"/>
    <w:rsid w:val="008729DD"/>
    <w:rsid w:val="00872DA0"/>
    <w:rsid w:val="00872F1D"/>
    <w:rsid w:val="00873250"/>
    <w:rsid w:val="00873825"/>
    <w:rsid w:val="008739EF"/>
    <w:rsid w:val="00873ADE"/>
    <w:rsid w:val="0087606C"/>
    <w:rsid w:val="00876F9A"/>
    <w:rsid w:val="00877C17"/>
    <w:rsid w:val="00880F1B"/>
    <w:rsid w:val="008839E5"/>
    <w:rsid w:val="008840AE"/>
    <w:rsid w:val="00886D21"/>
    <w:rsid w:val="00887238"/>
    <w:rsid w:val="0088761A"/>
    <w:rsid w:val="00892576"/>
    <w:rsid w:val="00894601"/>
    <w:rsid w:val="00894CD3"/>
    <w:rsid w:val="00895D49"/>
    <w:rsid w:val="008960F2"/>
    <w:rsid w:val="00896192"/>
    <w:rsid w:val="00896782"/>
    <w:rsid w:val="0089699B"/>
    <w:rsid w:val="008A0001"/>
    <w:rsid w:val="008A0AB8"/>
    <w:rsid w:val="008A1C18"/>
    <w:rsid w:val="008A4482"/>
    <w:rsid w:val="008A4654"/>
    <w:rsid w:val="008A6491"/>
    <w:rsid w:val="008A6708"/>
    <w:rsid w:val="008A67E3"/>
    <w:rsid w:val="008A7145"/>
    <w:rsid w:val="008A7966"/>
    <w:rsid w:val="008A7CF1"/>
    <w:rsid w:val="008B0674"/>
    <w:rsid w:val="008B0CFF"/>
    <w:rsid w:val="008B11B1"/>
    <w:rsid w:val="008B20C2"/>
    <w:rsid w:val="008B310F"/>
    <w:rsid w:val="008B333C"/>
    <w:rsid w:val="008B3CD2"/>
    <w:rsid w:val="008B4A9C"/>
    <w:rsid w:val="008B5C6E"/>
    <w:rsid w:val="008B6233"/>
    <w:rsid w:val="008B75E1"/>
    <w:rsid w:val="008C011F"/>
    <w:rsid w:val="008C0805"/>
    <w:rsid w:val="008C096C"/>
    <w:rsid w:val="008C0AB3"/>
    <w:rsid w:val="008C0B6E"/>
    <w:rsid w:val="008C1CAA"/>
    <w:rsid w:val="008C1DB6"/>
    <w:rsid w:val="008C26F4"/>
    <w:rsid w:val="008C4888"/>
    <w:rsid w:val="008C624A"/>
    <w:rsid w:val="008C626E"/>
    <w:rsid w:val="008D033D"/>
    <w:rsid w:val="008D115F"/>
    <w:rsid w:val="008D1DB1"/>
    <w:rsid w:val="008D1DF0"/>
    <w:rsid w:val="008D2A37"/>
    <w:rsid w:val="008D3892"/>
    <w:rsid w:val="008D39AA"/>
    <w:rsid w:val="008D5118"/>
    <w:rsid w:val="008D55F9"/>
    <w:rsid w:val="008D6A9C"/>
    <w:rsid w:val="008E0D56"/>
    <w:rsid w:val="008E1A34"/>
    <w:rsid w:val="008E2B2F"/>
    <w:rsid w:val="008E348C"/>
    <w:rsid w:val="008E3745"/>
    <w:rsid w:val="008E3B51"/>
    <w:rsid w:val="008E4DFF"/>
    <w:rsid w:val="008E549E"/>
    <w:rsid w:val="008E67C0"/>
    <w:rsid w:val="008E7460"/>
    <w:rsid w:val="008E7F9F"/>
    <w:rsid w:val="008F09FE"/>
    <w:rsid w:val="008F0B36"/>
    <w:rsid w:val="008F1046"/>
    <w:rsid w:val="008F18B3"/>
    <w:rsid w:val="008F1DEE"/>
    <w:rsid w:val="008F1E40"/>
    <w:rsid w:val="008F2532"/>
    <w:rsid w:val="008F281A"/>
    <w:rsid w:val="008F2DC7"/>
    <w:rsid w:val="008F55A3"/>
    <w:rsid w:val="008F56F4"/>
    <w:rsid w:val="008F5890"/>
    <w:rsid w:val="008F5B59"/>
    <w:rsid w:val="008F64B5"/>
    <w:rsid w:val="008F6E9D"/>
    <w:rsid w:val="008F77CD"/>
    <w:rsid w:val="0090033D"/>
    <w:rsid w:val="00900C12"/>
    <w:rsid w:val="00901B17"/>
    <w:rsid w:val="00901EDF"/>
    <w:rsid w:val="00903CAE"/>
    <w:rsid w:val="00904B02"/>
    <w:rsid w:val="00904BBF"/>
    <w:rsid w:val="009050B9"/>
    <w:rsid w:val="00905752"/>
    <w:rsid w:val="0090602B"/>
    <w:rsid w:val="00906288"/>
    <w:rsid w:val="00906E14"/>
    <w:rsid w:val="009076FD"/>
    <w:rsid w:val="009078D8"/>
    <w:rsid w:val="009128E8"/>
    <w:rsid w:val="00912988"/>
    <w:rsid w:val="0091532C"/>
    <w:rsid w:val="00917013"/>
    <w:rsid w:val="009201B1"/>
    <w:rsid w:val="00920962"/>
    <w:rsid w:val="00920A27"/>
    <w:rsid w:val="00922C08"/>
    <w:rsid w:val="0092335F"/>
    <w:rsid w:val="0092534F"/>
    <w:rsid w:val="00925B0C"/>
    <w:rsid w:val="0092726F"/>
    <w:rsid w:val="009308F0"/>
    <w:rsid w:val="00932D14"/>
    <w:rsid w:val="00933701"/>
    <w:rsid w:val="009338FE"/>
    <w:rsid w:val="0093694C"/>
    <w:rsid w:val="00936C94"/>
    <w:rsid w:val="00936D67"/>
    <w:rsid w:val="00937036"/>
    <w:rsid w:val="00937103"/>
    <w:rsid w:val="00937CD8"/>
    <w:rsid w:val="00937DFB"/>
    <w:rsid w:val="00941B0B"/>
    <w:rsid w:val="00941D69"/>
    <w:rsid w:val="00941DDC"/>
    <w:rsid w:val="00942A3B"/>
    <w:rsid w:val="009430A7"/>
    <w:rsid w:val="00944597"/>
    <w:rsid w:val="0094485D"/>
    <w:rsid w:val="00944936"/>
    <w:rsid w:val="00944AA7"/>
    <w:rsid w:val="00946AD7"/>
    <w:rsid w:val="00946E88"/>
    <w:rsid w:val="00947C30"/>
    <w:rsid w:val="00947F91"/>
    <w:rsid w:val="00951E5D"/>
    <w:rsid w:val="00952D7C"/>
    <w:rsid w:val="00953558"/>
    <w:rsid w:val="009540D9"/>
    <w:rsid w:val="00954601"/>
    <w:rsid w:val="009546F6"/>
    <w:rsid w:val="00955879"/>
    <w:rsid w:val="00956819"/>
    <w:rsid w:val="009569C9"/>
    <w:rsid w:val="00956B7E"/>
    <w:rsid w:val="00956BA1"/>
    <w:rsid w:val="00960181"/>
    <w:rsid w:val="00961356"/>
    <w:rsid w:val="00962C9F"/>
    <w:rsid w:val="0096455D"/>
    <w:rsid w:val="00964F54"/>
    <w:rsid w:val="00964FD7"/>
    <w:rsid w:val="00965CBF"/>
    <w:rsid w:val="00965FBB"/>
    <w:rsid w:val="00966271"/>
    <w:rsid w:val="00970926"/>
    <w:rsid w:val="0097372C"/>
    <w:rsid w:val="00973D35"/>
    <w:rsid w:val="00976124"/>
    <w:rsid w:val="009769C6"/>
    <w:rsid w:val="00977031"/>
    <w:rsid w:val="009770A5"/>
    <w:rsid w:val="00977F47"/>
    <w:rsid w:val="00980FD2"/>
    <w:rsid w:val="00981890"/>
    <w:rsid w:val="009831F2"/>
    <w:rsid w:val="009837EF"/>
    <w:rsid w:val="00984BDC"/>
    <w:rsid w:val="009857E0"/>
    <w:rsid w:val="00987A1D"/>
    <w:rsid w:val="009918FB"/>
    <w:rsid w:val="00991CE2"/>
    <w:rsid w:val="009941BE"/>
    <w:rsid w:val="009960B8"/>
    <w:rsid w:val="009977DD"/>
    <w:rsid w:val="009A00D3"/>
    <w:rsid w:val="009A0497"/>
    <w:rsid w:val="009A08E2"/>
    <w:rsid w:val="009A1A9A"/>
    <w:rsid w:val="009A2976"/>
    <w:rsid w:val="009A500B"/>
    <w:rsid w:val="009A5362"/>
    <w:rsid w:val="009A73AA"/>
    <w:rsid w:val="009B04A7"/>
    <w:rsid w:val="009B0B5F"/>
    <w:rsid w:val="009B157C"/>
    <w:rsid w:val="009B2254"/>
    <w:rsid w:val="009B230A"/>
    <w:rsid w:val="009B2E32"/>
    <w:rsid w:val="009B36BF"/>
    <w:rsid w:val="009B38EC"/>
    <w:rsid w:val="009B47D1"/>
    <w:rsid w:val="009B500E"/>
    <w:rsid w:val="009B5872"/>
    <w:rsid w:val="009B5A80"/>
    <w:rsid w:val="009B671B"/>
    <w:rsid w:val="009B6747"/>
    <w:rsid w:val="009B6ACF"/>
    <w:rsid w:val="009B6B48"/>
    <w:rsid w:val="009B7123"/>
    <w:rsid w:val="009C06B9"/>
    <w:rsid w:val="009C0844"/>
    <w:rsid w:val="009C107D"/>
    <w:rsid w:val="009C2845"/>
    <w:rsid w:val="009C2C22"/>
    <w:rsid w:val="009C2CE8"/>
    <w:rsid w:val="009C3E19"/>
    <w:rsid w:val="009C61D5"/>
    <w:rsid w:val="009C74B5"/>
    <w:rsid w:val="009C7BD2"/>
    <w:rsid w:val="009D0086"/>
    <w:rsid w:val="009D0D57"/>
    <w:rsid w:val="009D0E47"/>
    <w:rsid w:val="009D1F1C"/>
    <w:rsid w:val="009D2902"/>
    <w:rsid w:val="009D3AEC"/>
    <w:rsid w:val="009D475C"/>
    <w:rsid w:val="009D6901"/>
    <w:rsid w:val="009D7957"/>
    <w:rsid w:val="009D7CE6"/>
    <w:rsid w:val="009E008F"/>
    <w:rsid w:val="009E0870"/>
    <w:rsid w:val="009E1037"/>
    <w:rsid w:val="009E262C"/>
    <w:rsid w:val="009E6430"/>
    <w:rsid w:val="009E6681"/>
    <w:rsid w:val="009E720C"/>
    <w:rsid w:val="009E771F"/>
    <w:rsid w:val="009F0629"/>
    <w:rsid w:val="009F4785"/>
    <w:rsid w:val="009F48BD"/>
    <w:rsid w:val="009F56A0"/>
    <w:rsid w:val="00A0056F"/>
    <w:rsid w:val="00A00F82"/>
    <w:rsid w:val="00A02658"/>
    <w:rsid w:val="00A02AB8"/>
    <w:rsid w:val="00A0395C"/>
    <w:rsid w:val="00A0481B"/>
    <w:rsid w:val="00A052F7"/>
    <w:rsid w:val="00A05393"/>
    <w:rsid w:val="00A055B6"/>
    <w:rsid w:val="00A05924"/>
    <w:rsid w:val="00A07B65"/>
    <w:rsid w:val="00A10FA0"/>
    <w:rsid w:val="00A12337"/>
    <w:rsid w:val="00A126C6"/>
    <w:rsid w:val="00A127AE"/>
    <w:rsid w:val="00A16F38"/>
    <w:rsid w:val="00A17A2C"/>
    <w:rsid w:val="00A212FC"/>
    <w:rsid w:val="00A21598"/>
    <w:rsid w:val="00A21C3A"/>
    <w:rsid w:val="00A22274"/>
    <w:rsid w:val="00A223AF"/>
    <w:rsid w:val="00A2267C"/>
    <w:rsid w:val="00A23419"/>
    <w:rsid w:val="00A30A86"/>
    <w:rsid w:val="00A3212F"/>
    <w:rsid w:val="00A32793"/>
    <w:rsid w:val="00A350BA"/>
    <w:rsid w:val="00A35EEC"/>
    <w:rsid w:val="00A376D1"/>
    <w:rsid w:val="00A412A4"/>
    <w:rsid w:val="00A44A0C"/>
    <w:rsid w:val="00A44E29"/>
    <w:rsid w:val="00A46BA8"/>
    <w:rsid w:val="00A54607"/>
    <w:rsid w:val="00A54622"/>
    <w:rsid w:val="00A566F7"/>
    <w:rsid w:val="00A624D4"/>
    <w:rsid w:val="00A63795"/>
    <w:rsid w:val="00A63817"/>
    <w:rsid w:val="00A63F6D"/>
    <w:rsid w:val="00A64DFC"/>
    <w:rsid w:val="00A64E67"/>
    <w:rsid w:val="00A67A78"/>
    <w:rsid w:val="00A67E26"/>
    <w:rsid w:val="00A67EE1"/>
    <w:rsid w:val="00A70986"/>
    <w:rsid w:val="00A74022"/>
    <w:rsid w:val="00A74B24"/>
    <w:rsid w:val="00A74FE2"/>
    <w:rsid w:val="00A75DAF"/>
    <w:rsid w:val="00A80316"/>
    <w:rsid w:val="00A80DCD"/>
    <w:rsid w:val="00A81BA0"/>
    <w:rsid w:val="00A8360B"/>
    <w:rsid w:val="00A84666"/>
    <w:rsid w:val="00A84D7D"/>
    <w:rsid w:val="00A8547A"/>
    <w:rsid w:val="00A857D9"/>
    <w:rsid w:val="00A90A64"/>
    <w:rsid w:val="00A91448"/>
    <w:rsid w:val="00A91504"/>
    <w:rsid w:val="00A92245"/>
    <w:rsid w:val="00A92A26"/>
    <w:rsid w:val="00A93A78"/>
    <w:rsid w:val="00A96770"/>
    <w:rsid w:val="00AA2592"/>
    <w:rsid w:val="00AA25A1"/>
    <w:rsid w:val="00AA2B6A"/>
    <w:rsid w:val="00AA4054"/>
    <w:rsid w:val="00AA4B70"/>
    <w:rsid w:val="00AA5020"/>
    <w:rsid w:val="00AA52D1"/>
    <w:rsid w:val="00AA6575"/>
    <w:rsid w:val="00AA757B"/>
    <w:rsid w:val="00AA7756"/>
    <w:rsid w:val="00AB3AFC"/>
    <w:rsid w:val="00AB574B"/>
    <w:rsid w:val="00AB6DF3"/>
    <w:rsid w:val="00AB761B"/>
    <w:rsid w:val="00AB79EC"/>
    <w:rsid w:val="00AC06AD"/>
    <w:rsid w:val="00AC1849"/>
    <w:rsid w:val="00AC1DB2"/>
    <w:rsid w:val="00AC23DD"/>
    <w:rsid w:val="00AC4436"/>
    <w:rsid w:val="00AC578A"/>
    <w:rsid w:val="00AC6D7C"/>
    <w:rsid w:val="00AC758F"/>
    <w:rsid w:val="00AD01BB"/>
    <w:rsid w:val="00AD02B4"/>
    <w:rsid w:val="00AD0CC7"/>
    <w:rsid w:val="00AD261B"/>
    <w:rsid w:val="00AD4CDC"/>
    <w:rsid w:val="00AD4F2E"/>
    <w:rsid w:val="00AD52EC"/>
    <w:rsid w:val="00AD5C7A"/>
    <w:rsid w:val="00AD640D"/>
    <w:rsid w:val="00AD6B21"/>
    <w:rsid w:val="00AD6D7F"/>
    <w:rsid w:val="00AD7839"/>
    <w:rsid w:val="00AE0DAF"/>
    <w:rsid w:val="00AE1E77"/>
    <w:rsid w:val="00AE30F5"/>
    <w:rsid w:val="00AE311C"/>
    <w:rsid w:val="00AE32FC"/>
    <w:rsid w:val="00AE3926"/>
    <w:rsid w:val="00AE46AA"/>
    <w:rsid w:val="00AE5D76"/>
    <w:rsid w:val="00AE6061"/>
    <w:rsid w:val="00AF0388"/>
    <w:rsid w:val="00AF05EF"/>
    <w:rsid w:val="00AF0863"/>
    <w:rsid w:val="00AF29BB"/>
    <w:rsid w:val="00AF2B88"/>
    <w:rsid w:val="00AF5F2E"/>
    <w:rsid w:val="00AF63A9"/>
    <w:rsid w:val="00AF66AD"/>
    <w:rsid w:val="00AF6FD7"/>
    <w:rsid w:val="00AF739D"/>
    <w:rsid w:val="00AF7FD4"/>
    <w:rsid w:val="00B0030A"/>
    <w:rsid w:val="00B006A9"/>
    <w:rsid w:val="00B01ECE"/>
    <w:rsid w:val="00B0219D"/>
    <w:rsid w:val="00B0286C"/>
    <w:rsid w:val="00B0476D"/>
    <w:rsid w:val="00B05013"/>
    <w:rsid w:val="00B06148"/>
    <w:rsid w:val="00B068F2"/>
    <w:rsid w:val="00B07F44"/>
    <w:rsid w:val="00B10CB3"/>
    <w:rsid w:val="00B111EB"/>
    <w:rsid w:val="00B128CF"/>
    <w:rsid w:val="00B12922"/>
    <w:rsid w:val="00B13310"/>
    <w:rsid w:val="00B14177"/>
    <w:rsid w:val="00B154EA"/>
    <w:rsid w:val="00B16720"/>
    <w:rsid w:val="00B20969"/>
    <w:rsid w:val="00B2109F"/>
    <w:rsid w:val="00B22390"/>
    <w:rsid w:val="00B2258D"/>
    <w:rsid w:val="00B232C2"/>
    <w:rsid w:val="00B23F41"/>
    <w:rsid w:val="00B24ECD"/>
    <w:rsid w:val="00B25FF2"/>
    <w:rsid w:val="00B262B3"/>
    <w:rsid w:val="00B3073B"/>
    <w:rsid w:val="00B318B0"/>
    <w:rsid w:val="00B31E53"/>
    <w:rsid w:val="00B31E83"/>
    <w:rsid w:val="00B3230A"/>
    <w:rsid w:val="00B325B0"/>
    <w:rsid w:val="00B328FC"/>
    <w:rsid w:val="00B3411C"/>
    <w:rsid w:val="00B351CA"/>
    <w:rsid w:val="00B35364"/>
    <w:rsid w:val="00B35FC3"/>
    <w:rsid w:val="00B37668"/>
    <w:rsid w:val="00B40D0E"/>
    <w:rsid w:val="00B4136C"/>
    <w:rsid w:val="00B4271C"/>
    <w:rsid w:val="00B42A04"/>
    <w:rsid w:val="00B4321D"/>
    <w:rsid w:val="00B43453"/>
    <w:rsid w:val="00B450F8"/>
    <w:rsid w:val="00B45635"/>
    <w:rsid w:val="00B47A0F"/>
    <w:rsid w:val="00B47CFD"/>
    <w:rsid w:val="00B50649"/>
    <w:rsid w:val="00B50E12"/>
    <w:rsid w:val="00B51DCA"/>
    <w:rsid w:val="00B51EDA"/>
    <w:rsid w:val="00B5400D"/>
    <w:rsid w:val="00B549E8"/>
    <w:rsid w:val="00B557B6"/>
    <w:rsid w:val="00B55E3F"/>
    <w:rsid w:val="00B56163"/>
    <w:rsid w:val="00B56F3C"/>
    <w:rsid w:val="00B601ED"/>
    <w:rsid w:val="00B604A3"/>
    <w:rsid w:val="00B60A1E"/>
    <w:rsid w:val="00B61148"/>
    <w:rsid w:val="00B61595"/>
    <w:rsid w:val="00B63816"/>
    <w:rsid w:val="00B63993"/>
    <w:rsid w:val="00B64D7B"/>
    <w:rsid w:val="00B65FA8"/>
    <w:rsid w:val="00B66384"/>
    <w:rsid w:val="00B664D8"/>
    <w:rsid w:val="00B673C8"/>
    <w:rsid w:val="00B7014D"/>
    <w:rsid w:val="00B7017B"/>
    <w:rsid w:val="00B71A21"/>
    <w:rsid w:val="00B722B5"/>
    <w:rsid w:val="00B73F2E"/>
    <w:rsid w:val="00B74113"/>
    <w:rsid w:val="00B74B03"/>
    <w:rsid w:val="00B75B14"/>
    <w:rsid w:val="00B76B1A"/>
    <w:rsid w:val="00B80721"/>
    <w:rsid w:val="00B827C5"/>
    <w:rsid w:val="00B8391E"/>
    <w:rsid w:val="00B83D1F"/>
    <w:rsid w:val="00B84190"/>
    <w:rsid w:val="00B847B6"/>
    <w:rsid w:val="00B9057D"/>
    <w:rsid w:val="00B91546"/>
    <w:rsid w:val="00B91D3B"/>
    <w:rsid w:val="00B93466"/>
    <w:rsid w:val="00B93713"/>
    <w:rsid w:val="00B937CC"/>
    <w:rsid w:val="00B94293"/>
    <w:rsid w:val="00B9469C"/>
    <w:rsid w:val="00B94B1E"/>
    <w:rsid w:val="00B9718C"/>
    <w:rsid w:val="00B97DBE"/>
    <w:rsid w:val="00BA1691"/>
    <w:rsid w:val="00BA19B8"/>
    <w:rsid w:val="00BA326C"/>
    <w:rsid w:val="00BA3AE8"/>
    <w:rsid w:val="00BA5703"/>
    <w:rsid w:val="00BA5C17"/>
    <w:rsid w:val="00BA6C98"/>
    <w:rsid w:val="00BA6FC4"/>
    <w:rsid w:val="00BB0FB4"/>
    <w:rsid w:val="00BB1709"/>
    <w:rsid w:val="00BB2158"/>
    <w:rsid w:val="00BB249D"/>
    <w:rsid w:val="00BB2B14"/>
    <w:rsid w:val="00BB3EA3"/>
    <w:rsid w:val="00BB4086"/>
    <w:rsid w:val="00BB5311"/>
    <w:rsid w:val="00BB76DF"/>
    <w:rsid w:val="00BB7CB3"/>
    <w:rsid w:val="00BB7CFF"/>
    <w:rsid w:val="00BC17BE"/>
    <w:rsid w:val="00BC2FCC"/>
    <w:rsid w:val="00BC3BAF"/>
    <w:rsid w:val="00BC468A"/>
    <w:rsid w:val="00BC4949"/>
    <w:rsid w:val="00BC7381"/>
    <w:rsid w:val="00BC7D24"/>
    <w:rsid w:val="00BD0413"/>
    <w:rsid w:val="00BD0C96"/>
    <w:rsid w:val="00BD1E67"/>
    <w:rsid w:val="00BD2E17"/>
    <w:rsid w:val="00BD398A"/>
    <w:rsid w:val="00BD483E"/>
    <w:rsid w:val="00BD568B"/>
    <w:rsid w:val="00BD679D"/>
    <w:rsid w:val="00BD6E3E"/>
    <w:rsid w:val="00BD7A1D"/>
    <w:rsid w:val="00BD7B1A"/>
    <w:rsid w:val="00BE2ED0"/>
    <w:rsid w:val="00BE4286"/>
    <w:rsid w:val="00BE445C"/>
    <w:rsid w:val="00BE4622"/>
    <w:rsid w:val="00BE5FB9"/>
    <w:rsid w:val="00BE647C"/>
    <w:rsid w:val="00BE650A"/>
    <w:rsid w:val="00BE655B"/>
    <w:rsid w:val="00BE7CC4"/>
    <w:rsid w:val="00BF0D70"/>
    <w:rsid w:val="00BF129D"/>
    <w:rsid w:val="00BF1CD4"/>
    <w:rsid w:val="00BF268F"/>
    <w:rsid w:val="00BF385C"/>
    <w:rsid w:val="00BF6B96"/>
    <w:rsid w:val="00BF762E"/>
    <w:rsid w:val="00BF7719"/>
    <w:rsid w:val="00C0143F"/>
    <w:rsid w:val="00C01BEE"/>
    <w:rsid w:val="00C02FB5"/>
    <w:rsid w:val="00C0349A"/>
    <w:rsid w:val="00C03AF6"/>
    <w:rsid w:val="00C04EE8"/>
    <w:rsid w:val="00C06A01"/>
    <w:rsid w:val="00C06C22"/>
    <w:rsid w:val="00C079DC"/>
    <w:rsid w:val="00C120C0"/>
    <w:rsid w:val="00C13270"/>
    <w:rsid w:val="00C13419"/>
    <w:rsid w:val="00C13D1D"/>
    <w:rsid w:val="00C13EF0"/>
    <w:rsid w:val="00C1454F"/>
    <w:rsid w:val="00C15A21"/>
    <w:rsid w:val="00C16525"/>
    <w:rsid w:val="00C171C2"/>
    <w:rsid w:val="00C17AAA"/>
    <w:rsid w:val="00C202C8"/>
    <w:rsid w:val="00C2034A"/>
    <w:rsid w:val="00C22E2C"/>
    <w:rsid w:val="00C22EBB"/>
    <w:rsid w:val="00C2312E"/>
    <w:rsid w:val="00C2545A"/>
    <w:rsid w:val="00C2699F"/>
    <w:rsid w:val="00C2710E"/>
    <w:rsid w:val="00C27774"/>
    <w:rsid w:val="00C30AB4"/>
    <w:rsid w:val="00C31262"/>
    <w:rsid w:val="00C3154E"/>
    <w:rsid w:val="00C31CC0"/>
    <w:rsid w:val="00C3203A"/>
    <w:rsid w:val="00C33045"/>
    <w:rsid w:val="00C364F8"/>
    <w:rsid w:val="00C367CC"/>
    <w:rsid w:val="00C406FF"/>
    <w:rsid w:val="00C41A41"/>
    <w:rsid w:val="00C425EC"/>
    <w:rsid w:val="00C42746"/>
    <w:rsid w:val="00C42A2B"/>
    <w:rsid w:val="00C4306B"/>
    <w:rsid w:val="00C45162"/>
    <w:rsid w:val="00C509D3"/>
    <w:rsid w:val="00C5335F"/>
    <w:rsid w:val="00C5347C"/>
    <w:rsid w:val="00C5582F"/>
    <w:rsid w:val="00C6031F"/>
    <w:rsid w:val="00C60925"/>
    <w:rsid w:val="00C60BBD"/>
    <w:rsid w:val="00C6101F"/>
    <w:rsid w:val="00C626A7"/>
    <w:rsid w:val="00C63AF2"/>
    <w:rsid w:val="00C63CA5"/>
    <w:rsid w:val="00C648D7"/>
    <w:rsid w:val="00C65A2E"/>
    <w:rsid w:val="00C67B5C"/>
    <w:rsid w:val="00C67CDD"/>
    <w:rsid w:val="00C734E1"/>
    <w:rsid w:val="00C73D67"/>
    <w:rsid w:val="00C74661"/>
    <w:rsid w:val="00C75C12"/>
    <w:rsid w:val="00C81630"/>
    <w:rsid w:val="00C826BE"/>
    <w:rsid w:val="00C850F4"/>
    <w:rsid w:val="00C85A43"/>
    <w:rsid w:val="00C8661C"/>
    <w:rsid w:val="00C8797D"/>
    <w:rsid w:val="00C902D7"/>
    <w:rsid w:val="00C92CF8"/>
    <w:rsid w:val="00C94463"/>
    <w:rsid w:val="00C94CD6"/>
    <w:rsid w:val="00C9661C"/>
    <w:rsid w:val="00C971CD"/>
    <w:rsid w:val="00CA10EB"/>
    <w:rsid w:val="00CA13A2"/>
    <w:rsid w:val="00CA31D5"/>
    <w:rsid w:val="00CA5577"/>
    <w:rsid w:val="00CA6695"/>
    <w:rsid w:val="00CA70B9"/>
    <w:rsid w:val="00CA7807"/>
    <w:rsid w:val="00CA7FD4"/>
    <w:rsid w:val="00CB1B2E"/>
    <w:rsid w:val="00CB2871"/>
    <w:rsid w:val="00CB45DE"/>
    <w:rsid w:val="00CB511B"/>
    <w:rsid w:val="00CB6756"/>
    <w:rsid w:val="00CC056A"/>
    <w:rsid w:val="00CC1A05"/>
    <w:rsid w:val="00CC2AF7"/>
    <w:rsid w:val="00CC3809"/>
    <w:rsid w:val="00CC3DBD"/>
    <w:rsid w:val="00CC3DCC"/>
    <w:rsid w:val="00CC3E92"/>
    <w:rsid w:val="00CC5E8A"/>
    <w:rsid w:val="00CC621D"/>
    <w:rsid w:val="00CC6BB6"/>
    <w:rsid w:val="00CC6CB4"/>
    <w:rsid w:val="00CC7744"/>
    <w:rsid w:val="00CD058E"/>
    <w:rsid w:val="00CD09D0"/>
    <w:rsid w:val="00CD2C94"/>
    <w:rsid w:val="00CD3F58"/>
    <w:rsid w:val="00CD44C8"/>
    <w:rsid w:val="00CD5E2B"/>
    <w:rsid w:val="00CE17B2"/>
    <w:rsid w:val="00CE30A6"/>
    <w:rsid w:val="00CE42A1"/>
    <w:rsid w:val="00CE6738"/>
    <w:rsid w:val="00CE6CC6"/>
    <w:rsid w:val="00CE7C01"/>
    <w:rsid w:val="00CF2024"/>
    <w:rsid w:val="00CF2109"/>
    <w:rsid w:val="00CF3D20"/>
    <w:rsid w:val="00CF3FBF"/>
    <w:rsid w:val="00CF4945"/>
    <w:rsid w:val="00CF4AD8"/>
    <w:rsid w:val="00CF5CE4"/>
    <w:rsid w:val="00CF61B6"/>
    <w:rsid w:val="00CF636B"/>
    <w:rsid w:val="00CF671F"/>
    <w:rsid w:val="00D00503"/>
    <w:rsid w:val="00D00846"/>
    <w:rsid w:val="00D01950"/>
    <w:rsid w:val="00D04919"/>
    <w:rsid w:val="00D052B4"/>
    <w:rsid w:val="00D076DA"/>
    <w:rsid w:val="00D07902"/>
    <w:rsid w:val="00D10076"/>
    <w:rsid w:val="00D11BA8"/>
    <w:rsid w:val="00D12559"/>
    <w:rsid w:val="00D12778"/>
    <w:rsid w:val="00D1354E"/>
    <w:rsid w:val="00D13B5A"/>
    <w:rsid w:val="00D1488F"/>
    <w:rsid w:val="00D14B93"/>
    <w:rsid w:val="00D15A54"/>
    <w:rsid w:val="00D16690"/>
    <w:rsid w:val="00D173A4"/>
    <w:rsid w:val="00D20645"/>
    <w:rsid w:val="00D20D4C"/>
    <w:rsid w:val="00D2236C"/>
    <w:rsid w:val="00D22AD5"/>
    <w:rsid w:val="00D23351"/>
    <w:rsid w:val="00D23A87"/>
    <w:rsid w:val="00D2449C"/>
    <w:rsid w:val="00D24AAD"/>
    <w:rsid w:val="00D24E4B"/>
    <w:rsid w:val="00D252D1"/>
    <w:rsid w:val="00D2552B"/>
    <w:rsid w:val="00D2758D"/>
    <w:rsid w:val="00D31015"/>
    <w:rsid w:val="00D3177D"/>
    <w:rsid w:val="00D32CFF"/>
    <w:rsid w:val="00D337D1"/>
    <w:rsid w:val="00D33EFF"/>
    <w:rsid w:val="00D342AF"/>
    <w:rsid w:val="00D34808"/>
    <w:rsid w:val="00D357D2"/>
    <w:rsid w:val="00D35E5E"/>
    <w:rsid w:val="00D405B2"/>
    <w:rsid w:val="00D406B9"/>
    <w:rsid w:val="00D420DA"/>
    <w:rsid w:val="00D4241A"/>
    <w:rsid w:val="00D43E31"/>
    <w:rsid w:val="00D44212"/>
    <w:rsid w:val="00D4724F"/>
    <w:rsid w:val="00D478C9"/>
    <w:rsid w:val="00D50283"/>
    <w:rsid w:val="00D5127D"/>
    <w:rsid w:val="00D61473"/>
    <w:rsid w:val="00D62063"/>
    <w:rsid w:val="00D63F07"/>
    <w:rsid w:val="00D6490F"/>
    <w:rsid w:val="00D65CF1"/>
    <w:rsid w:val="00D6643C"/>
    <w:rsid w:val="00D670CE"/>
    <w:rsid w:val="00D675F9"/>
    <w:rsid w:val="00D708DB"/>
    <w:rsid w:val="00D71F7D"/>
    <w:rsid w:val="00D71F97"/>
    <w:rsid w:val="00D7239D"/>
    <w:rsid w:val="00D73421"/>
    <w:rsid w:val="00D738E0"/>
    <w:rsid w:val="00D7450E"/>
    <w:rsid w:val="00D74A41"/>
    <w:rsid w:val="00D76907"/>
    <w:rsid w:val="00D769C0"/>
    <w:rsid w:val="00D76E39"/>
    <w:rsid w:val="00D81644"/>
    <w:rsid w:val="00D85D6C"/>
    <w:rsid w:val="00D87686"/>
    <w:rsid w:val="00D90378"/>
    <w:rsid w:val="00D9121D"/>
    <w:rsid w:val="00D91259"/>
    <w:rsid w:val="00D916AE"/>
    <w:rsid w:val="00D934CA"/>
    <w:rsid w:val="00D940D2"/>
    <w:rsid w:val="00D9441D"/>
    <w:rsid w:val="00D972F3"/>
    <w:rsid w:val="00DA04ED"/>
    <w:rsid w:val="00DA166D"/>
    <w:rsid w:val="00DA35CD"/>
    <w:rsid w:val="00DA3F65"/>
    <w:rsid w:val="00DA40C4"/>
    <w:rsid w:val="00DA664C"/>
    <w:rsid w:val="00DA6F64"/>
    <w:rsid w:val="00DA791C"/>
    <w:rsid w:val="00DB17A2"/>
    <w:rsid w:val="00DB1D74"/>
    <w:rsid w:val="00DB25E4"/>
    <w:rsid w:val="00DB36C2"/>
    <w:rsid w:val="00DB5F07"/>
    <w:rsid w:val="00DB6524"/>
    <w:rsid w:val="00DB6D0F"/>
    <w:rsid w:val="00DB711F"/>
    <w:rsid w:val="00DC12DD"/>
    <w:rsid w:val="00DC1346"/>
    <w:rsid w:val="00DC14F0"/>
    <w:rsid w:val="00DC1945"/>
    <w:rsid w:val="00DC57A3"/>
    <w:rsid w:val="00DC5A80"/>
    <w:rsid w:val="00DC68C9"/>
    <w:rsid w:val="00DC7064"/>
    <w:rsid w:val="00DD0F4E"/>
    <w:rsid w:val="00DD1253"/>
    <w:rsid w:val="00DD1B1B"/>
    <w:rsid w:val="00DD2814"/>
    <w:rsid w:val="00DD32DC"/>
    <w:rsid w:val="00DD33F8"/>
    <w:rsid w:val="00DD3AF0"/>
    <w:rsid w:val="00DD617D"/>
    <w:rsid w:val="00DE04E0"/>
    <w:rsid w:val="00DE05F9"/>
    <w:rsid w:val="00DE06E0"/>
    <w:rsid w:val="00DE44DA"/>
    <w:rsid w:val="00DE4616"/>
    <w:rsid w:val="00DE4AC0"/>
    <w:rsid w:val="00DE55FF"/>
    <w:rsid w:val="00DE5C12"/>
    <w:rsid w:val="00DE5F6F"/>
    <w:rsid w:val="00DE7254"/>
    <w:rsid w:val="00DE7EDD"/>
    <w:rsid w:val="00DE7F03"/>
    <w:rsid w:val="00DF00FA"/>
    <w:rsid w:val="00DF2F4B"/>
    <w:rsid w:val="00DF57F2"/>
    <w:rsid w:val="00DF71A3"/>
    <w:rsid w:val="00DF76C8"/>
    <w:rsid w:val="00E00448"/>
    <w:rsid w:val="00E00B23"/>
    <w:rsid w:val="00E0117D"/>
    <w:rsid w:val="00E0310F"/>
    <w:rsid w:val="00E03125"/>
    <w:rsid w:val="00E035F3"/>
    <w:rsid w:val="00E04D95"/>
    <w:rsid w:val="00E05DB4"/>
    <w:rsid w:val="00E06E65"/>
    <w:rsid w:val="00E0769B"/>
    <w:rsid w:val="00E10B5C"/>
    <w:rsid w:val="00E119E8"/>
    <w:rsid w:val="00E125B3"/>
    <w:rsid w:val="00E12973"/>
    <w:rsid w:val="00E141EC"/>
    <w:rsid w:val="00E14792"/>
    <w:rsid w:val="00E14DAE"/>
    <w:rsid w:val="00E155FA"/>
    <w:rsid w:val="00E169CD"/>
    <w:rsid w:val="00E205A2"/>
    <w:rsid w:val="00E212E0"/>
    <w:rsid w:val="00E217A2"/>
    <w:rsid w:val="00E21D91"/>
    <w:rsid w:val="00E22318"/>
    <w:rsid w:val="00E228DE"/>
    <w:rsid w:val="00E23208"/>
    <w:rsid w:val="00E234AE"/>
    <w:rsid w:val="00E241FA"/>
    <w:rsid w:val="00E24758"/>
    <w:rsid w:val="00E24FB2"/>
    <w:rsid w:val="00E25BE2"/>
    <w:rsid w:val="00E27284"/>
    <w:rsid w:val="00E2763D"/>
    <w:rsid w:val="00E27922"/>
    <w:rsid w:val="00E279F5"/>
    <w:rsid w:val="00E27BE5"/>
    <w:rsid w:val="00E30AE2"/>
    <w:rsid w:val="00E30BFF"/>
    <w:rsid w:val="00E32684"/>
    <w:rsid w:val="00E32847"/>
    <w:rsid w:val="00E33DE9"/>
    <w:rsid w:val="00E345DB"/>
    <w:rsid w:val="00E34CDD"/>
    <w:rsid w:val="00E3545D"/>
    <w:rsid w:val="00E3574A"/>
    <w:rsid w:val="00E35A46"/>
    <w:rsid w:val="00E35A9F"/>
    <w:rsid w:val="00E40533"/>
    <w:rsid w:val="00E405B8"/>
    <w:rsid w:val="00E4087C"/>
    <w:rsid w:val="00E435D8"/>
    <w:rsid w:val="00E4448D"/>
    <w:rsid w:val="00E46E27"/>
    <w:rsid w:val="00E50D28"/>
    <w:rsid w:val="00E51807"/>
    <w:rsid w:val="00E53896"/>
    <w:rsid w:val="00E5597A"/>
    <w:rsid w:val="00E55ABB"/>
    <w:rsid w:val="00E564C7"/>
    <w:rsid w:val="00E5686D"/>
    <w:rsid w:val="00E57654"/>
    <w:rsid w:val="00E60307"/>
    <w:rsid w:val="00E6038C"/>
    <w:rsid w:val="00E60BCA"/>
    <w:rsid w:val="00E61A7E"/>
    <w:rsid w:val="00E61C0E"/>
    <w:rsid w:val="00E62FEA"/>
    <w:rsid w:val="00E64602"/>
    <w:rsid w:val="00E659E5"/>
    <w:rsid w:val="00E67B60"/>
    <w:rsid w:val="00E67D90"/>
    <w:rsid w:val="00E70A6A"/>
    <w:rsid w:val="00E7243F"/>
    <w:rsid w:val="00E72931"/>
    <w:rsid w:val="00E729F4"/>
    <w:rsid w:val="00E72AC3"/>
    <w:rsid w:val="00E74DC5"/>
    <w:rsid w:val="00E75380"/>
    <w:rsid w:val="00E7665D"/>
    <w:rsid w:val="00E766DF"/>
    <w:rsid w:val="00E7739F"/>
    <w:rsid w:val="00E77CA8"/>
    <w:rsid w:val="00E80C03"/>
    <w:rsid w:val="00E80DDC"/>
    <w:rsid w:val="00E811F2"/>
    <w:rsid w:val="00E8172C"/>
    <w:rsid w:val="00E82530"/>
    <w:rsid w:val="00E82A56"/>
    <w:rsid w:val="00E82B1A"/>
    <w:rsid w:val="00E83D8A"/>
    <w:rsid w:val="00E84065"/>
    <w:rsid w:val="00E84781"/>
    <w:rsid w:val="00E854E8"/>
    <w:rsid w:val="00E90462"/>
    <w:rsid w:val="00E90691"/>
    <w:rsid w:val="00E90731"/>
    <w:rsid w:val="00E95813"/>
    <w:rsid w:val="00E95A84"/>
    <w:rsid w:val="00E95BCC"/>
    <w:rsid w:val="00E96CB5"/>
    <w:rsid w:val="00E9789E"/>
    <w:rsid w:val="00E97BF4"/>
    <w:rsid w:val="00EA0B74"/>
    <w:rsid w:val="00EA0E69"/>
    <w:rsid w:val="00EA1347"/>
    <w:rsid w:val="00EA2A88"/>
    <w:rsid w:val="00EA3F82"/>
    <w:rsid w:val="00EA4306"/>
    <w:rsid w:val="00EA43A8"/>
    <w:rsid w:val="00EA48A0"/>
    <w:rsid w:val="00EA4C18"/>
    <w:rsid w:val="00EA78FF"/>
    <w:rsid w:val="00EB002B"/>
    <w:rsid w:val="00EB094A"/>
    <w:rsid w:val="00EB1664"/>
    <w:rsid w:val="00EB279B"/>
    <w:rsid w:val="00EB2D1E"/>
    <w:rsid w:val="00EB3C7C"/>
    <w:rsid w:val="00EB43FD"/>
    <w:rsid w:val="00EB44BE"/>
    <w:rsid w:val="00EB4682"/>
    <w:rsid w:val="00EB477D"/>
    <w:rsid w:val="00EB4FE3"/>
    <w:rsid w:val="00EB63F3"/>
    <w:rsid w:val="00EB7FCF"/>
    <w:rsid w:val="00EC0972"/>
    <w:rsid w:val="00EC28E5"/>
    <w:rsid w:val="00EC2DB4"/>
    <w:rsid w:val="00EC3230"/>
    <w:rsid w:val="00EC38B0"/>
    <w:rsid w:val="00EC5ECF"/>
    <w:rsid w:val="00EC6350"/>
    <w:rsid w:val="00EC6B93"/>
    <w:rsid w:val="00ED0004"/>
    <w:rsid w:val="00ED1FB8"/>
    <w:rsid w:val="00ED2D8E"/>
    <w:rsid w:val="00ED3E95"/>
    <w:rsid w:val="00ED4344"/>
    <w:rsid w:val="00ED4478"/>
    <w:rsid w:val="00EE0868"/>
    <w:rsid w:val="00EE1372"/>
    <w:rsid w:val="00EE1BFF"/>
    <w:rsid w:val="00EE1F4E"/>
    <w:rsid w:val="00EE2F65"/>
    <w:rsid w:val="00EE36F6"/>
    <w:rsid w:val="00EE3E8B"/>
    <w:rsid w:val="00EE52DC"/>
    <w:rsid w:val="00EE58B7"/>
    <w:rsid w:val="00EE6E6D"/>
    <w:rsid w:val="00EF0B62"/>
    <w:rsid w:val="00EF1989"/>
    <w:rsid w:val="00EF3A40"/>
    <w:rsid w:val="00EF4189"/>
    <w:rsid w:val="00EF445D"/>
    <w:rsid w:val="00EF468B"/>
    <w:rsid w:val="00EF5429"/>
    <w:rsid w:val="00EF5DA6"/>
    <w:rsid w:val="00EF63A0"/>
    <w:rsid w:val="00EF76FC"/>
    <w:rsid w:val="00F01792"/>
    <w:rsid w:val="00F01D7C"/>
    <w:rsid w:val="00F027B8"/>
    <w:rsid w:val="00F02857"/>
    <w:rsid w:val="00F03424"/>
    <w:rsid w:val="00F03843"/>
    <w:rsid w:val="00F04CDD"/>
    <w:rsid w:val="00F05BAA"/>
    <w:rsid w:val="00F0606D"/>
    <w:rsid w:val="00F06150"/>
    <w:rsid w:val="00F071A7"/>
    <w:rsid w:val="00F0778D"/>
    <w:rsid w:val="00F077D3"/>
    <w:rsid w:val="00F07E0C"/>
    <w:rsid w:val="00F10602"/>
    <w:rsid w:val="00F12B04"/>
    <w:rsid w:val="00F1328C"/>
    <w:rsid w:val="00F13563"/>
    <w:rsid w:val="00F13939"/>
    <w:rsid w:val="00F13B21"/>
    <w:rsid w:val="00F14463"/>
    <w:rsid w:val="00F1653E"/>
    <w:rsid w:val="00F17DBB"/>
    <w:rsid w:val="00F17FE9"/>
    <w:rsid w:val="00F2128C"/>
    <w:rsid w:val="00F22611"/>
    <w:rsid w:val="00F22FE8"/>
    <w:rsid w:val="00F23291"/>
    <w:rsid w:val="00F25284"/>
    <w:rsid w:val="00F26ADC"/>
    <w:rsid w:val="00F26CA1"/>
    <w:rsid w:val="00F31203"/>
    <w:rsid w:val="00F31416"/>
    <w:rsid w:val="00F33190"/>
    <w:rsid w:val="00F332A2"/>
    <w:rsid w:val="00F337B2"/>
    <w:rsid w:val="00F33D36"/>
    <w:rsid w:val="00F3406F"/>
    <w:rsid w:val="00F344DB"/>
    <w:rsid w:val="00F45799"/>
    <w:rsid w:val="00F4755A"/>
    <w:rsid w:val="00F50C43"/>
    <w:rsid w:val="00F50F4B"/>
    <w:rsid w:val="00F51EF2"/>
    <w:rsid w:val="00F52AEF"/>
    <w:rsid w:val="00F533AA"/>
    <w:rsid w:val="00F53CA2"/>
    <w:rsid w:val="00F547A2"/>
    <w:rsid w:val="00F555C6"/>
    <w:rsid w:val="00F60CC6"/>
    <w:rsid w:val="00F61E2E"/>
    <w:rsid w:val="00F622E8"/>
    <w:rsid w:val="00F63759"/>
    <w:rsid w:val="00F63890"/>
    <w:rsid w:val="00F63895"/>
    <w:rsid w:val="00F63F4E"/>
    <w:rsid w:val="00F64822"/>
    <w:rsid w:val="00F65CB3"/>
    <w:rsid w:val="00F66B4C"/>
    <w:rsid w:val="00F6719E"/>
    <w:rsid w:val="00F671BC"/>
    <w:rsid w:val="00F707E3"/>
    <w:rsid w:val="00F70A77"/>
    <w:rsid w:val="00F71CD0"/>
    <w:rsid w:val="00F71FC5"/>
    <w:rsid w:val="00F72C34"/>
    <w:rsid w:val="00F73049"/>
    <w:rsid w:val="00F7359E"/>
    <w:rsid w:val="00F7378F"/>
    <w:rsid w:val="00F74658"/>
    <w:rsid w:val="00F77609"/>
    <w:rsid w:val="00F82FE6"/>
    <w:rsid w:val="00F9039E"/>
    <w:rsid w:val="00F9065F"/>
    <w:rsid w:val="00F90670"/>
    <w:rsid w:val="00F9142F"/>
    <w:rsid w:val="00F91F5A"/>
    <w:rsid w:val="00F91FD5"/>
    <w:rsid w:val="00F92F01"/>
    <w:rsid w:val="00F9327A"/>
    <w:rsid w:val="00F941C2"/>
    <w:rsid w:val="00F95815"/>
    <w:rsid w:val="00F95B2C"/>
    <w:rsid w:val="00F95E4E"/>
    <w:rsid w:val="00F971E5"/>
    <w:rsid w:val="00F9776A"/>
    <w:rsid w:val="00F97F88"/>
    <w:rsid w:val="00FA0DBD"/>
    <w:rsid w:val="00FA13C2"/>
    <w:rsid w:val="00FA324A"/>
    <w:rsid w:val="00FA3ED1"/>
    <w:rsid w:val="00FA509B"/>
    <w:rsid w:val="00FA52AA"/>
    <w:rsid w:val="00FB0F81"/>
    <w:rsid w:val="00FB17F6"/>
    <w:rsid w:val="00FB3078"/>
    <w:rsid w:val="00FB3263"/>
    <w:rsid w:val="00FB4E09"/>
    <w:rsid w:val="00FB5CFE"/>
    <w:rsid w:val="00FB6ED3"/>
    <w:rsid w:val="00FB79D5"/>
    <w:rsid w:val="00FC07D5"/>
    <w:rsid w:val="00FC0D50"/>
    <w:rsid w:val="00FC16B9"/>
    <w:rsid w:val="00FC2468"/>
    <w:rsid w:val="00FC26DB"/>
    <w:rsid w:val="00FC275F"/>
    <w:rsid w:val="00FC2E8E"/>
    <w:rsid w:val="00FC315C"/>
    <w:rsid w:val="00FC3832"/>
    <w:rsid w:val="00FC4754"/>
    <w:rsid w:val="00FC58F3"/>
    <w:rsid w:val="00FC6BFA"/>
    <w:rsid w:val="00FD0E5F"/>
    <w:rsid w:val="00FD1F2A"/>
    <w:rsid w:val="00FD5FBF"/>
    <w:rsid w:val="00FE13B2"/>
    <w:rsid w:val="00FE3313"/>
    <w:rsid w:val="00FE3D4B"/>
    <w:rsid w:val="00FE4058"/>
    <w:rsid w:val="00FE41CB"/>
    <w:rsid w:val="00FE4BD8"/>
    <w:rsid w:val="00FE574F"/>
    <w:rsid w:val="00FE598F"/>
    <w:rsid w:val="00FE610F"/>
    <w:rsid w:val="00FE7312"/>
    <w:rsid w:val="00FF029E"/>
    <w:rsid w:val="00FF030E"/>
    <w:rsid w:val="00FF0918"/>
    <w:rsid w:val="00FF0A78"/>
    <w:rsid w:val="00FF2332"/>
    <w:rsid w:val="00FF2825"/>
    <w:rsid w:val="00FF49EA"/>
    <w:rsid w:val="00FF5832"/>
    <w:rsid w:val="00FF5A4F"/>
    <w:rsid w:val="00FF6F4D"/>
    <w:rsid w:val="00FF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8D9"/>
    <w:rPr>
      <w:rFonts w:ascii="Arial" w:hAnsi="Arial"/>
      <w:sz w:val="24"/>
      <w:szCs w:val="24"/>
      <w:lang w:eastAsia="en-US"/>
    </w:rPr>
  </w:style>
  <w:style w:type="paragraph" w:styleId="Heading1">
    <w:name w:val="heading 1"/>
    <w:basedOn w:val="Normal"/>
    <w:next w:val="Normal"/>
    <w:link w:val="Heading1Char"/>
    <w:uiPriority w:val="9"/>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link w:val="Heading2Char"/>
    <w:uiPriority w:val="9"/>
    <w:qFormat/>
    <w:rsid w:val="002B7335"/>
    <w:pPr>
      <w:keepNext/>
      <w:keepLines/>
      <w:spacing w:before="480" w:after="240"/>
      <w:outlineLvl w:val="1"/>
    </w:pPr>
    <w:rPr>
      <w:rFonts w:cs="Arial"/>
      <w:bCs/>
      <w:color w:val="000000"/>
      <w:sz w:val="32"/>
      <w:szCs w:val="22"/>
      <w:lang w:eastAsia="en-GB"/>
    </w:rPr>
  </w:style>
  <w:style w:type="paragraph" w:styleId="Heading3">
    <w:name w:val="heading 3"/>
    <w:aliases w:val="EBHeading2"/>
    <w:basedOn w:val="Normal"/>
    <w:next w:val="EBBodyPara"/>
    <w:qFormat/>
    <w:rsid w:val="002B7335"/>
    <w:pPr>
      <w:keepNext/>
      <w:keepLines/>
      <w:spacing w:before="360" w:after="240"/>
      <w:outlineLvl w:val="2"/>
    </w:pPr>
    <w:rPr>
      <w:rFonts w:cs="Arial"/>
      <w:b/>
      <w:bCs/>
      <w:color w:val="000000"/>
      <w:szCs w:val="22"/>
      <w:lang w:eastAsia="en-GB"/>
    </w:rPr>
  </w:style>
  <w:style w:type="paragraph" w:styleId="Heading4">
    <w:name w:val="heading 4"/>
    <w:aliases w:val="EBHeading3"/>
    <w:basedOn w:val="EBBodyPara"/>
    <w:next w:val="Normal"/>
    <w:link w:val="Heading4Char"/>
    <w:qFormat/>
    <w:rsid w:val="002B7335"/>
    <w:pPr>
      <w:spacing w:before="240"/>
      <w:outlineLvl w:val="3"/>
    </w:pPr>
    <w:rPr>
      <w:b/>
    </w:rPr>
  </w:style>
  <w:style w:type="paragraph" w:styleId="Heading5">
    <w:name w:val="heading 5"/>
    <w:aliases w:val="EBHeading4"/>
    <w:basedOn w:val="Normal"/>
    <w:next w:val="Normal"/>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link w:val="IATableLabel"/>
    <w:rsid w:val="00402E80"/>
    <w:rPr>
      <w:rFonts w:ascii="Arial" w:eastAsia="SimSun" w:hAnsi="Arial"/>
      <w:b/>
      <w:color w:val="000000"/>
      <w:spacing w:val="-5"/>
      <w:lang w:val="en-GB" w:eastAsia="zh-CN" w:bidi="ar-SA"/>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sz w:val="22"/>
    </w:rPr>
  </w:style>
  <w:style w:type="character" w:customStyle="1" w:styleId="IATableTextChar">
    <w:name w:val="IATableText Char"/>
    <w:link w:val="IATableText"/>
    <w:rsid w:val="00220F29"/>
    <w:rPr>
      <w:rFonts w:ascii="Arial" w:eastAsia="SimSun" w:hAnsi="Arial"/>
      <w:b/>
      <w:color w:val="000000"/>
      <w:spacing w:val="-5"/>
      <w:sz w:val="22"/>
      <w:lang w:val="en-GB" w:eastAsia="zh-CN" w:bidi="ar-SA"/>
    </w:rPr>
  </w:style>
  <w:style w:type="paragraph" w:styleId="BodyText">
    <w:name w:val="Body Text"/>
    <w:basedOn w:val="Normal"/>
    <w:link w:val="BodyTextChar"/>
    <w:rsid w:val="003E54B6"/>
    <w:pPr>
      <w:spacing w:after="120"/>
    </w:pPr>
    <w:rPr>
      <w:rFonts w:cs="Arial"/>
      <w:bCs/>
      <w:color w:val="000000"/>
      <w:sz w:val="22"/>
      <w:szCs w:val="22"/>
      <w:lang w:eastAsia="en-GB"/>
    </w:rPr>
  </w:style>
  <w:style w:type="table" w:styleId="TableGrid">
    <w:name w:val="Table Grid"/>
    <w:basedOn w:val="TableNormal"/>
    <w:uiPriority w:val="59"/>
    <w:rsid w:val="00026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F64C7"/>
    <w:pPr>
      <w:ind w:left="113"/>
      <w:outlineLvl w:val="0"/>
    </w:pPr>
    <w:rPr>
      <w:rFonts w:cs="Arial"/>
      <w:bCs/>
      <w:color w:val="FFFFFF"/>
      <w:kern w:val="28"/>
      <w:sz w:val="32"/>
      <w:szCs w:val="32"/>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rsid w:val="00570F8E"/>
    <w:rPr>
      <w:rFonts w:ascii="Arial" w:eastAsia="SimSun" w:hAnsi="Arial"/>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Ind w:w="0" w:type="dxa"/>
      <w:tblBorders>
        <w:top w:val="single" w:sz="12" w:space="0" w:color="008080"/>
        <w:left w:val="single" w:sz="12" w:space="0" w:color="008080"/>
        <w:bottom w:val="single" w:sz="12" w:space="0" w:color="008080"/>
        <w:right w:val="single" w:sz="12" w:space="0" w:color="008080"/>
        <w:insideH w:val="single" w:sz="12" w:space="0" w:color="008080"/>
      </w:tblBorders>
      <w:tblCellMar>
        <w:top w:w="0" w:type="dxa"/>
        <w:left w:w="0" w:type="dxa"/>
        <w:bottom w:w="0" w:type="dxa"/>
        <w:right w:w="0" w:type="dxa"/>
      </w:tblCellMar>
    </w:tblPr>
    <w:tcPr>
      <w:shd w:val="clear" w:color="auto" w:fill="008080"/>
      <w:vAlign w:val="center"/>
    </w:tcPr>
  </w:style>
  <w:style w:type="paragraph" w:customStyle="1" w:styleId="IATableNotes">
    <w:name w:val="IATableNotes"/>
    <w:basedOn w:val="Normal"/>
    <w:link w:val="IATableNotesChar"/>
    <w:rsid w:val="006A5A2E"/>
    <w:pPr>
      <w:spacing w:before="60" w:after="60"/>
      <w:ind w:left="113" w:right="113"/>
    </w:pPr>
    <w:rPr>
      <w:rFonts w:eastAsia="SimSun"/>
      <w:sz w:val="18"/>
      <w:szCs w:val="20"/>
      <w:lang w:eastAsia="zh-CN"/>
    </w:rPr>
  </w:style>
  <w:style w:type="character" w:customStyle="1" w:styleId="IATableNotesChar">
    <w:name w:val="IATableNotes Char"/>
    <w:link w:val="IATableNotes"/>
    <w:rsid w:val="006A5A2E"/>
    <w:rPr>
      <w:rFonts w:ascii="Arial" w:eastAsia="SimSun" w:hAnsi="Arial"/>
      <w:sz w:val="18"/>
      <w:lang w:val="en-GB" w:eastAsia="zh-CN" w:bidi="ar-SA"/>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rsid w:val="006A5A2E"/>
    <w:rPr>
      <w:rFonts w:ascii="Arial" w:eastAsia="SimSun" w:hAnsi="Arial"/>
      <w:b/>
      <w:bCs/>
      <w:i/>
      <w:iCs/>
      <w:sz w:val="18"/>
      <w:lang w:val="en-GB" w:eastAsia="zh-CN" w:bidi="ar-SA"/>
    </w:rPr>
  </w:style>
  <w:style w:type="paragraph" w:customStyle="1" w:styleId="IAHeadTitle">
    <w:name w:val="IAHeadTitle"/>
    <w:basedOn w:val="IAHeadDept"/>
    <w:link w:val="IAHeadTitleChar"/>
    <w:rsid w:val="008228A5"/>
    <w:pPr>
      <w:spacing w:before="0" w:after="0"/>
    </w:pPr>
    <w:rPr>
      <w:b w:val="0"/>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rsid w:val="009050B9"/>
    <w:rPr>
      <w:rFonts w:ascii="Arial" w:eastAsia="SimSun" w:hAnsi="Arial"/>
      <w:b/>
      <w:color w:val="000000"/>
      <w:spacing w:val="-5"/>
      <w:szCs w:val="22"/>
      <w:u w:val="single"/>
      <w:lang w:val="en-GB" w:eastAsia="zh-CN" w:bidi="ar-SA"/>
    </w:rPr>
  </w:style>
  <w:style w:type="paragraph" w:customStyle="1" w:styleId="IASign-off">
    <w:name w:val="IA Sign-off"/>
    <w:basedOn w:val="IATableText"/>
    <w:rsid w:val="00C67CDD"/>
    <w:pPr>
      <w:spacing w:before="0" w:after="0"/>
      <w:ind w:left="0" w:right="284"/>
    </w:pPr>
    <w:rPr>
      <w:b w:val="0"/>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paragraph" w:styleId="Header">
    <w:name w:val="header"/>
    <w:basedOn w:val="Normal"/>
    <w:rsid w:val="00E96CB5"/>
    <w:pPr>
      <w:jc w:val="center"/>
    </w:pPr>
    <w:rPr>
      <w:caps/>
    </w:rPr>
  </w:style>
  <w:style w:type="paragraph" w:styleId="Footer">
    <w:name w:val="footer"/>
    <w:basedOn w:val="Normal"/>
    <w:rsid w:val="000407D8"/>
    <w:pPr>
      <w:tabs>
        <w:tab w:val="center" w:pos="5132"/>
        <w:tab w:val="right" w:pos="10260"/>
      </w:tabs>
      <w:jc w:val="center"/>
    </w:pPr>
    <w:rPr>
      <w:b/>
      <w:sz w:val="18"/>
    </w:rPr>
  </w:style>
  <w:style w:type="character" w:styleId="PageNumber">
    <w:name w:val="page number"/>
    <w:basedOn w:val="DefaultParagraphFont"/>
    <w:rsid w:val="00EB43FD"/>
  </w:style>
  <w:style w:type="character" w:customStyle="1" w:styleId="BodyTextChar">
    <w:name w:val="Body Text Char"/>
    <w:link w:val="BodyText"/>
    <w:rsid w:val="0049416F"/>
    <w:rPr>
      <w:rFonts w:ascii="Arial" w:hAnsi="Arial" w:cs="Arial"/>
      <w:bCs/>
      <w:color w:val="000000"/>
      <w:sz w:val="22"/>
      <w:szCs w:val="22"/>
      <w:lang w:val="en-GB" w:eastAsia="en-GB" w:bidi="ar-SA"/>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aliases w:val="Char1 Char Char,Char1 Char, Char1 Char Char, Char1 Char, Char5,Char5,Footnote Text Char1 Char,Footnote Text Char Char Char,fn,Footnote,Footnote Text Char Char,Footnote Text Char Char Char Char,Footnote Text1 Char,Footnote Text1,FOOTNOTES"/>
    <w:basedOn w:val="Normal"/>
    <w:link w:val="FootnoteTextChar"/>
    <w:uiPriority w:val="99"/>
    <w:rsid w:val="00490FF7"/>
    <w:rPr>
      <w:rFonts w:eastAsia="SimSun"/>
      <w:sz w:val="16"/>
      <w:szCs w:val="20"/>
      <w:lang w:val="x-none" w:eastAsia="zh-CN"/>
    </w:rPr>
  </w:style>
  <w:style w:type="character" w:styleId="FootnoteReference">
    <w:name w:val="footnote reference"/>
    <w:aliases w:val="SUPERS,stylish,BVI fnr,Footnote symbol,Footnote reference number,Times 10 Point,Exposant 3 Point,Ref,de nota al pie,note TESI,EN Footnote Reference,Nota,Footnote number,Char1,EN Footnote text,Fussnota,Footnote Refernece,E..."/>
    <w:uiPriority w:val="99"/>
    <w:rsid w:val="00B84190"/>
    <w:rPr>
      <w:sz w:val="22"/>
      <w:vertAlign w:val="superscript"/>
    </w:rPr>
  </w:style>
  <w:style w:type="paragraph" w:customStyle="1" w:styleId="EBBodyPara">
    <w:name w:val="EBBodyPara"/>
    <w:basedOn w:val="BodyText"/>
    <w:rsid w:val="005A2FC0"/>
  </w:style>
  <w:style w:type="paragraph" w:styleId="BalloonText">
    <w:name w:val="Balloon Text"/>
    <w:basedOn w:val="Normal"/>
    <w:semiHidden/>
    <w:rsid w:val="00300CED"/>
    <w:rPr>
      <w:rFonts w:ascii="Tahoma" w:hAnsi="Tahoma" w:cs="Tahoma"/>
      <w:sz w:val="16"/>
      <w:szCs w:val="16"/>
    </w:rPr>
  </w:style>
  <w:style w:type="paragraph" w:customStyle="1" w:styleId="EBNumber">
    <w:name w:val="EBNumber"/>
    <w:basedOn w:val="BodyText"/>
    <w:rsid w:val="002B7335"/>
    <w:pPr>
      <w:numPr>
        <w:ilvl w:val="1"/>
        <w:numId w:val="3"/>
      </w:numPr>
    </w:pPr>
  </w:style>
  <w:style w:type="paragraph" w:customStyle="1" w:styleId="EBNumberRestart">
    <w:name w:val="EBNumberRestart"/>
    <w:basedOn w:val="BodyText"/>
    <w:next w:val="EBNumber"/>
    <w:rsid w:val="002B7335"/>
    <w:pPr>
      <w:numPr>
        <w:numId w:val="3"/>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
      </w:numPr>
    </w:pPr>
  </w:style>
  <w:style w:type="character" w:styleId="Hyperlink">
    <w:name w:val="Hyperlink"/>
    <w:rsid w:val="00B4136C"/>
    <w:rPr>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2"/>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rsid w:val="006D37CF"/>
    <w:rPr>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szCs w:val="22"/>
    </w:rPr>
  </w:style>
  <w:style w:type="character" w:customStyle="1" w:styleId="PONBLowCharChar">
    <w:name w:val="PONBLow Char Char"/>
    <w:link w:val="PONBLow"/>
    <w:rsid w:val="00F622E8"/>
    <w:rPr>
      <w:rFonts w:ascii="Arial" w:eastAsia="SimSun" w:hAnsi="Arial"/>
      <w:b/>
      <w:color w:val="000000"/>
      <w:spacing w:val="-5"/>
      <w:szCs w:val="22"/>
      <w:lang w:val="en-GB" w:eastAsia="zh-CN" w:bidi="ar-SA"/>
    </w:rPr>
  </w:style>
  <w:style w:type="paragraph" w:customStyle="1" w:styleId="PONBHigh">
    <w:name w:val="PONBHigh"/>
    <w:basedOn w:val="IATableLabel"/>
    <w:link w:val="PONBHighChar"/>
    <w:rsid w:val="00F622E8"/>
    <w:rPr>
      <w:szCs w:val="22"/>
    </w:rPr>
  </w:style>
  <w:style w:type="character" w:customStyle="1" w:styleId="PONBHighChar">
    <w:name w:val="PONBHigh Char"/>
    <w:link w:val="PONBHigh"/>
    <w:rsid w:val="00F622E8"/>
    <w:rPr>
      <w:rFonts w:ascii="Arial" w:eastAsia="SimSun" w:hAnsi="Arial"/>
      <w:b/>
      <w:color w:val="000000"/>
      <w:spacing w:val="-5"/>
      <w:szCs w:val="22"/>
      <w:lang w:val="en-GB" w:eastAsia="zh-CN" w:bidi="ar-SA"/>
    </w:rPr>
  </w:style>
  <w:style w:type="paragraph" w:customStyle="1" w:styleId="PONBBestEst">
    <w:name w:val="PONBBestEst"/>
    <w:basedOn w:val="IATableLabel"/>
    <w:link w:val="PONBBestEstChar"/>
    <w:rsid w:val="00F622E8"/>
    <w:rPr>
      <w:szCs w:val="22"/>
    </w:rPr>
  </w:style>
  <w:style w:type="character" w:customStyle="1" w:styleId="PONBBestEstChar">
    <w:name w:val="PONBBestEst Char"/>
    <w:link w:val="PONBBestEst"/>
    <w:rsid w:val="00F622E8"/>
    <w:rPr>
      <w:rFonts w:ascii="Arial" w:eastAsia="SimSun" w:hAnsi="Arial"/>
      <w:b/>
      <w:color w:val="000000"/>
      <w:spacing w:val="-5"/>
      <w:szCs w:val="22"/>
      <w:lang w:val="en-GB" w:eastAsia="zh-CN" w:bidi="ar-SA"/>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val="0"/>
    </w:rPr>
  </w:style>
  <w:style w:type="paragraph" w:customStyle="1" w:styleId="POTCCostsHigh">
    <w:name w:val="POTCCostsHigh"/>
    <w:basedOn w:val="IATableText"/>
    <w:rsid w:val="00B318B0"/>
    <w:pPr>
      <w:jc w:val="right"/>
    </w:pPr>
    <w:rPr>
      <w:b w:val="0"/>
    </w:rPr>
  </w:style>
  <w:style w:type="paragraph" w:customStyle="1" w:styleId="POTCCostsBest">
    <w:name w:val="POTCCostsBest"/>
    <w:basedOn w:val="IATableText"/>
    <w:rsid w:val="00B318B0"/>
    <w:pPr>
      <w:jc w:val="right"/>
    </w:pPr>
    <w:rPr>
      <w:b w:val="0"/>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rsid w:val="00F1653E"/>
    <w:rPr>
      <w:rFonts w:ascii="Arial" w:eastAsia="SimSun" w:hAnsi="Arial"/>
      <w:b/>
      <w:color w:val="000000"/>
      <w:spacing w:val="-5"/>
      <w:lang w:val="en-GB" w:eastAsia="zh-CN" w:bidi="ar-SA"/>
    </w:rPr>
  </w:style>
  <w:style w:type="character" w:customStyle="1" w:styleId="IPPOQ3Char">
    <w:name w:val="IPPOQ3 Char"/>
    <w:basedOn w:val="IAPOQ2Char"/>
    <w:link w:val="IPPOQ3"/>
    <w:rsid w:val="00F1653E"/>
    <w:rPr>
      <w:rFonts w:ascii="Arial" w:eastAsia="SimSun" w:hAnsi="Arial"/>
      <w:b/>
      <w:color w:val="000000"/>
      <w:spacing w:val="-5"/>
      <w:lang w:val="en-GB" w:eastAsia="zh-CN" w:bidi="ar-SA"/>
    </w:rPr>
  </w:style>
  <w:style w:type="character" w:customStyle="1" w:styleId="IAPOQ4Char">
    <w:name w:val="IAPOQ4 Char"/>
    <w:basedOn w:val="IPPOQ3Char"/>
    <w:link w:val="IAPOQ4"/>
    <w:rsid w:val="00F1653E"/>
    <w:rPr>
      <w:rFonts w:ascii="Arial" w:eastAsia="SimSun" w:hAnsi="Arial"/>
      <w:b/>
      <w:color w:val="000000"/>
      <w:spacing w:val="-5"/>
      <w:lang w:val="en-GB" w:eastAsia="zh-CN" w:bidi="ar-SA"/>
    </w:rPr>
  </w:style>
  <w:style w:type="character" w:customStyle="1" w:styleId="IAPOQ5Char">
    <w:name w:val="IAPOQ5 Char"/>
    <w:basedOn w:val="IAPOQ4Char"/>
    <w:link w:val="IAPOQ5"/>
    <w:rsid w:val="00F1653E"/>
    <w:rPr>
      <w:rFonts w:ascii="Arial" w:eastAsia="SimSun" w:hAnsi="Arial"/>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sz w:val="22"/>
      <w:szCs w:val="22"/>
    </w:rPr>
  </w:style>
  <w:style w:type="character" w:customStyle="1" w:styleId="IAPODICostChar">
    <w:name w:val="IAPODICost Char"/>
    <w:link w:val="IAPODICost"/>
    <w:rsid w:val="000E3FD7"/>
    <w:rPr>
      <w:rFonts w:ascii="Arial" w:eastAsia="SimSun" w:hAnsi="Arial"/>
      <w:b/>
      <w:color w:val="000000"/>
      <w:spacing w:val="-5"/>
      <w:sz w:val="22"/>
      <w:szCs w:val="22"/>
      <w:lang w:val="en-GB" w:eastAsia="zh-CN" w:bidi="ar-SA"/>
    </w:rPr>
  </w:style>
  <w:style w:type="paragraph" w:customStyle="1" w:styleId="IAPODIBen">
    <w:name w:val="IAPODIBen"/>
    <w:basedOn w:val="IATableLabel"/>
    <w:link w:val="IAPODIBenChar"/>
    <w:rsid w:val="000E3FD7"/>
    <w:rPr>
      <w:sz w:val="22"/>
      <w:szCs w:val="22"/>
    </w:rPr>
  </w:style>
  <w:style w:type="paragraph" w:customStyle="1" w:styleId="IAPODINet">
    <w:name w:val="IAPODINet"/>
    <w:basedOn w:val="IATableLabel"/>
    <w:link w:val="IAPODINetChar"/>
    <w:rsid w:val="000E3FD7"/>
    <w:rPr>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rsid w:val="000E3FD7"/>
    <w:rPr>
      <w:rFonts w:ascii="Arial" w:eastAsia="SimSun" w:hAnsi="Arial"/>
      <w:b/>
      <w:color w:val="000000"/>
      <w:spacing w:val="-5"/>
      <w:sz w:val="22"/>
      <w:szCs w:val="22"/>
      <w:lang w:val="en-GB" w:eastAsia="zh-CN" w:bidi="ar-SA"/>
    </w:rPr>
  </w:style>
  <w:style w:type="character" w:customStyle="1" w:styleId="IAPODIBenChar">
    <w:name w:val="IAPODIBen Char"/>
    <w:link w:val="IAPODIBen"/>
    <w:rsid w:val="000E3FD7"/>
    <w:rPr>
      <w:rFonts w:ascii="Arial" w:eastAsia="SimSun" w:hAnsi="Arial"/>
      <w:b/>
      <w:color w:val="000000"/>
      <w:spacing w:val="-5"/>
      <w:sz w:val="22"/>
      <w:szCs w:val="22"/>
      <w:lang w:val="en-GB" w:eastAsia="zh-CN" w:bidi="ar-SA"/>
    </w:rPr>
  </w:style>
  <w:style w:type="paragraph" w:customStyle="1" w:styleId="IAPODIMQ">
    <w:name w:val="IAPODIMQ"/>
    <w:basedOn w:val="IATableText"/>
    <w:rsid w:val="000E3FD7"/>
    <w:rPr>
      <w:sz w:val="20"/>
    </w:rPr>
  </w:style>
  <w:style w:type="paragraph" w:customStyle="1" w:styleId="ebbullet0">
    <w:name w:val="ebbullet"/>
    <w:basedOn w:val="Normal"/>
    <w:rsid w:val="001F5423"/>
    <w:pPr>
      <w:spacing w:before="100" w:beforeAutospacing="1" w:after="100" w:afterAutospacing="1"/>
    </w:pPr>
    <w:rPr>
      <w:rFonts w:ascii="Times New Roman" w:eastAsia="Calibri" w:hAnsi="Times New Roman"/>
      <w:lang w:eastAsia="en-GB"/>
    </w:r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rFonts w:eastAsia="SimSun"/>
      <w:b/>
      <w:color w:val="000000"/>
      <w:spacing w:val="-6"/>
      <w:sz w:val="28"/>
      <w:szCs w:val="22"/>
    </w:rPr>
  </w:style>
  <w:style w:type="character" w:customStyle="1" w:styleId="IAHeadDeptChar">
    <w:name w:val="IAHeadDept Char"/>
    <w:link w:val="IAHeadDept"/>
    <w:rsid w:val="008031EC"/>
    <w:rPr>
      <w:rFonts w:ascii="Arial" w:eastAsia="SimSun" w:hAnsi="Arial"/>
      <w:b/>
      <w:color w:val="000000"/>
      <w:spacing w:val="-6"/>
      <w:sz w:val="22"/>
      <w:szCs w:val="22"/>
      <w:lang w:val="en-GB" w:eastAsia="zh-CN" w:bidi="ar-SA"/>
    </w:rPr>
  </w:style>
  <w:style w:type="character" w:customStyle="1" w:styleId="IAHeadTitleChar">
    <w:name w:val="IAHeadTitle Char"/>
    <w:link w:val="IAHeadTitle"/>
    <w:rsid w:val="008031EC"/>
    <w:rPr>
      <w:rFonts w:ascii="Arial" w:eastAsia="SimSun" w:hAnsi="Arial"/>
      <w:b/>
      <w:color w:val="000000"/>
      <w:spacing w:val="-6"/>
      <w:sz w:val="28"/>
      <w:szCs w:val="28"/>
      <w:lang w:val="en-GB" w:eastAsia="zh-CN" w:bidi="ar-SA"/>
    </w:rPr>
  </w:style>
  <w:style w:type="character" w:customStyle="1" w:styleId="IANoChar">
    <w:name w:val="IANo Char"/>
    <w:link w:val="IANo"/>
    <w:rsid w:val="005F32E7"/>
    <w:rPr>
      <w:rFonts w:ascii="Arial" w:eastAsia="SimSun" w:hAnsi="Arial"/>
      <w:b/>
      <w:color w:val="000000"/>
      <w:spacing w:val="-6"/>
      <w:sz w:val="28"/>
      <w:szCs w:val="22"/>
      <w:lang w:val="en-GB" w:eastAsia="en-US" w:bidi="ar-SA"/>
    </w:rPr>
  </w:style>
  <w:style w:type="paragraph" w:customStyle="1" w:styleId="IALeadDept">
    <w:name w:val="IALeadDept"/>
    <w:basedOn w:val="Normal"/>
    <w:rsid w:val="005F32E7"/>
    <w:pPr>
      <w:ind w:left="113"/>
    </w:pPr>
    <w:rPr>
      <w:rFonts w:eastAsia="Arial Unicode M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sz w:val="22"/>
      <w:szCs w:val="22"/>
    </w:rPr>
  </w:style>
  <w:style w:type="paragraph" w:customStyle="1" w:styleId="IAStage">
    <w:name w:val="IAStage"/>
    <w:basedOn w:val="IATableLabel"/>
    <w:link w:val="IAStageChar"/>
    <w:rsid w:val="008031EC"/>
    <w:rPr>
      <w:sz w:val="22"/>
    </w:rPr>
  </w:style>
  <w:style w:type="paragraph" w:customStyle="1" w:styleId="IASOI">
    <w:name w:val="IASOI"/>
    <w:basedOn w:val="IATableLabel"/>
    <w:link w:val="IASOIChar"/>
    <w:rsid w:val="008031EC"/>
    <w:rPr>
      <w:sz w:val="22"/>
    </w:rPr>
  </w:style>
  <w:style w:type="paragraph" w:customStyle="1" w:styleId="IATOM">
    <w:name w:val="IATOM"/>
    <w:basedOn w:val="IATableLabel"/>
    <w:link w:val="IATOMChar"/>
    <w:rsid w:val="008031EC"/>
    <w:rPr>
      <w:sz w:val="22"/>
    </w:rPr>
  </w:style>
  <w:style w:type="paragraph" w:customStyle="1" w:styleId="IACOE">
    <w:name w:val="IACOE"/>
    <w:basedOn w:val="IATableLines"/>
    <w:link w:val="IACOEChar"/>
    <w:rsid w:val="008031EC"/>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sz w:val="22"/>
      <w:szCs w:val="22"/>
    </w:rPr>
  </w:style>
  <w:style w:type="character" w:customStyle="1" w:styleId="IAIOPolicyReviewChar">
    <w:name w:val="IAIOPolicyReview Char"/>
    <w:link w:val="IAIOPolicyReview"/>
    <w:rsid w:val="00F91F5A"/>
    <w:rPr>
      <w:rFonts w:ascii="Arial" w:eastAsia="SimSun" w:hAnsi="Arial"/>
      <w:b/>
      <w:color w:val="000000"/>
      <w:spacing w:val="-5"/>
      <w:sz w:val="22"/>
      <w:szCs w:val="22"/>
      <w:lang w:val="en-GB" w:eastAsia="zh-CN" w:bidi="ar-SA"/>
    </w:rPr>
  </w:style>
  <w:style w:type="paragraph" w:customStyle="1" w:styleId="IAIOReviewMonth">
    <w:name w:val="IAIOReviewMonth"/>
    <w:basedOn w:val="IATableLabel"/>
    <w:link w:val="IAIOReviewMonthChar"/>
    <w:rsid w:val="00F91F5A"/>
    <w:rPr>
      <w:sz w:val="22"/>
      <w:szCs w:val="22"/>
    </w:rPr>
  </w:style>
  <w:style w:type="paragraph" w:customStyle="1" w:styleId="IAIOReviewYear">
    <w:name w:val="IAIOReviewYear"/>
    <w:basedOn w:val="IATableLabel"/>
    <w:link w:val="IAIOReviewYearChar"/>
    <w:rsid w:val="00F91F5A"/>
    <w:rPr>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rsid w:val="00F91F5A"/>
    <w:rPr>
      <w:rFonts w:ascii="Arial" w:eastAsia="SimSun" w:hAnsi="Arial"/>
      <w:b/>
      <w:color w:val="000000"/>
      <w:spacing w:val="-5"/>
      <w:sz w:val="22"/>
      <w:szCs w:val="22"/>
      <w:lang w:val="en-GB" w:eastAsia="zh-CN" w:bidi="ar-SA"/>
    </w:rPr>
  </w:style>
  <w:style w:type="character" w:customStyle="1" w:styleId="IAIOReviewMonthChar">
    <w:name w:val="IAIOReviewMonth Char"/>
    <w:link w:val="IAIOReviewMonth"/>
    <w:rsid w:val="00F91F5A"/>
    <w:rPr>
      <w:rFonts w:ascii="Arial" w:eastAsia="SimSun" w:hAnsi="Arial"/>
      <w:b/>
      <w:color w:val="000000"/>
      <w:spacing w:val="-5"/>
      <w:sz w:val="22"/>
      <w:szCs w:val="22"/>
      <w:lang w:val="en-GB" w:eastAsia="zh-CN" w:bidi="ar-SA"/>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uiPriority w:val="99"/>
    <w:rsid w:val="00F91F5A"/>
    <w:rPr>
      <w:sz w:val="20"/>
    </w:rPr>
  </w:style>
  <w:style w:type="paragraph" w:customStyle="1" w:styleId="IAIOCO2Traded">
    <w:name w:val="IAIOCO2Traded"/>
    <w:basedOn w:val="IATableLabel"/>
    <w:link w:val="IAIOCO2TradedChar"/>
    <w:rsid w:val="00F91F5A"/>
    <w:rPr>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rsid w:val="00D00846"/>
    <w:rPr>
      <w:rFonts w:ascii="Arial" w:eastAsia="SimSun" w:hAnsi="Arial"/>
      <w:b/>
      <w:color w:val="000000"/>
      <w:spacing w:val="-5"/>
      <w:lang w:val="en-GB" w:eastAsia="zh-CN" w:bidi="ar-SA"/>
    </w:rPr>
  </w:style>
  <w:style w:type="character" w:customStyle="1" w:styleId="IADateChar">
    <w:name w:val="IADate Char"/>
    <w:link w:val="IADate"/>
    <w:rsid w:val="00174C10"/>
    <w:rPr>
      <w:rFonts w:ascii="Arial" w:eastAsia="SimSun" w:hAnsi="Arial"/>
      <w:b/>
      <w:color w:val="000000"/>
      <w:spacing w:val="-5"/>
      <w:sz w:val="22"/>
      <w:szCs w:val="22"/>
      <w:lang w:val="en-GB" w:eastAsia="zh-CN" w:bidi="ar-SA"/>
    </w:rPr>
  </w:style>
  <w:style w:type="character" w:customStyle="1" w:styleId="IATableLinesChar">
    <w:name w:val="IATableLines Char"/>
    <w:basedOn w:val="IATableTextChar"/>
    <w:link w:val="IATableLines"/>
    <w:rsid w:val="00174C10"/>
    <w:rPr>
      <w:rFonts w:ascii="Arial" w:eastAsia="SimSun" w:hAnsi="Arial"/>
      <w:b/>
      <w:color w:val="000000"/>
      <w:spacing w:val="-5"/>
      <w:sz w:val="22"/>
      <w:lang w:val="en-GB" w:eastAsia="zh-CN" w:bidi="ar-SA"/>
    </w:rPr>
  </w:style>
  <w:style w:type="character" w:customStyle="1" w:styleId="IACOEChar">
    <w:name w:val="IACOE Char"/>
    <w:basedOn w:val="IATableLinesChar"/>
    <w:link w:val="IACOE"/>
    <w:rsid w:val="00174C10"/>
    <w:rPr>
      <w:rFonts w:ascii="Arial" w:eastAsia="SimSun" w:hAnsi="Arial"/>
      <w:b/>
      <w:color w:val="000000"/>
      <w:spacing w:val="-5"/>
      <w:sz w:val="22"/>
      <w:lang w:val="en-GB" w:eastAsia="zh-CN" w:bidi="ar-SA"/>
    </w:rPr>
  </w:style>
  <w:style w:type="character" w:customStyle="1" w:styleId="IAStageChar">
    <w:name w:val="IAStage Char"/>
    <w:link w:val="IAStage"/>
    <w:rsid w:val="00174C10"/>
    <w:rPr>
      <w:rFonts w:ascii="Arial" w:eastAsia="SimSun" w:hAnsi="Arial"/>
      <w:b/>
      <w:color w:val="000000"/>
      <w:spacing w:val="-5"/>
      <w:sz w:val="22"/>
      <w:lang w:val="en-GB" w:eastAsia="zh-CN" w:bidi="ar-SA"/>
    </w:rPr>
  </w:style>
  <w:style w:type="character" w:customStyle="1" w:styleId="IASOIChar">
    <w:name w:val="IASOI Char"/>
    <w:link w:val="IASOI"/>
    <w:rsid w:val="00174C10"/>
    <w:rPr>
      <w:rFonts w:ascii="Arial" w:eastAsia="SimSun" w:hAnsi="Arial"/>
      <w:b/>
      <w:color w:val="000000"/>
      <w:spacing w:val="-5"/>
      <w:sz w:val="22"/>
      <w:lang w:val="en-GB" w:eastAsia="zh-CN" w:bidi="ar-SA"/>
    </w:rPr>
  </w:style>
  <w:style w:type="character" w:customStyle="1" w:styleId="IATOMChar">
    <w:name w:val="IATOM Char"/>
    <w:link w:val="IATOM"/>
    <w:rsid w:val="00174C10"/>
    <w:rPr>
      <w:rFonts w:ascii="Arial" w:eastAsia="SimSun" w:hAnsi="Arial"/>
      <w:b/>
      <w:color w:val="000000"/>
      <w:spacing w:val="-5"/>
      <w:sz w:val="22"/>
      <w:lang w:val="en-GB" w:eastAsia="zh-CN" w:bidi="ar-SA"/>
    </w:rPr>
  </w:style>
  <w:style w:type="character" w:customStyle="1" w:styleId="TitleChar">
    <w:name w:val="Title Char"/>
    <w:link w:val="Title"/>
    <w:rsid w:val="00174C10"/>
    <w:rPr>
      <w:rFonts w:ascii="Arial" w:hAnsi="Arial" w:cs="Arial"/>
      <w:bCs/>
      <w:color w:val="FFFFFF"/>
      <w:kern w:val="28"/>
      <w:sz w:val="32"/>
      <w:szCs w:val="32"/>
      <w:lang w:val="en-GB" w:eastAsia="en-US" w:bidi="ar-SA"/>
    </w:rPr>
  </w:style>
  <w:style w:type="character" w:customStyle="1" w:styleId="IARPCChar">
    <w:name w:val="IARPC Char"/>
    <w:link w:val="IARPC"/>
    <w:rsid w:val="00174C10"/>
    <w:rPr>
      <w:rFonts w:ascii="Arial" w:eastAsia="SimSun" w:hAnsi="Arial" w:cs="Arial"/>
      <w:bCs/>
      <w:color w:val="000000"/>
      <w:kern w:val="28"/>
      <w:sz w:val="24"/>
      <w:szCs w:val="24"/>
      <w:lang w:val="en-GB" w:eastAsia="en-US" w:bidi="ar-SA"/>
    </w:rPr>
  </w:style>
  <w:style w:type="character" w:customStyle="1" w:styleId="IAIOCheckMicroChar">
    <w:name w:val="IAIOCheckMicro Char"/>
    <w:basedOn w:val="IATableLinesChar"/>
    <w:link w:val="IAIOCheckMicro"/>
    <w:rsid w:val="00D478C9"/>
    <w:rPr>
      <w:rFonts w:ascii="Arial" w:eastAsia="SimSun" w:hAnsi="Arial"/>
      <w:b/>
      <w:color w:val="000000"/>
      <w:spacing w:val="-5"/>
      <w:sz w:val="22"/>
      <w:lang w:val="en-GB" w:eastAsia="zh-CN" w:bidi="ar-SA"/>
    </w:rPr>
  </w:style>
  <w:style w:type="character" w:customStyle="1" w:styleId="IAIOCheckSmallChar">
    <w:name w:val="IAIOCheckSmall Char"/>
    <w:basedOn w:val="IATableLinesChar"/>
    <w:link w:val="IAIOCheckSmall"/>
    <w:rsid w:val="00D478C9"/>
    <w:rPr>
      <w:rFonts w:ascii="Arial" w:eastAsia="SimSun" w:hAnsi="Arial"/>
      <w:b/>
      <w:color w:val="000000"/>
      <w:spacing w:val="-5"/>
      <w:sz w:val="22"/>
      <w:lang w:val="en-GB" w:eastAsia="zh-CN" w:bidi="ar-SA"/>
    </w:rPr>
  </w:style>
  <w:style w:type="character" w:customStyle="1" w:styleId="IAIOCheckMediumChar">
    <w:name w:val="IAIOCheckMedium Char"/>
    <w:basedOn w:val="IATableLinesChar"/>
    <w:link w:val="IAIOCheckMedium"/>
    <w:rsid w:val="00D478C9"/>
    <w:rPr>
      <w:rFonts w:ascii="Arial" w:eastAsia="SimSun" w:hAnsi="Arial"/>
      <w:b/>
      <w:color w:val="000000"/>
      <w:spacing w:val="-5"/>
      <w:sz w:val="22"/>
      <w:lang w:val="en-GB" w:eastAsia="zh-CN" w:bidi="ar-SA"/>
    </w:rPr>
  </w:style>
  <w:style w:type="character" w:customStyle="1" w:styleId="IAIOCheckLargeChar">
    <w:name w:val="IAIOCheckLarge Char"/>
    <w:basedOn w:val="IATableLinesChar"/>
    <w:link w:val="IAIOCheckLarge"/>
    <w:uiPriority w:val="99"/>
    <w:rsid w:val="00D478C9"/>
    <w:rPr>
      <w:rFonts w:ascii="Arial" w:eastAsia="SimSun" w:hAnsi="Arial"/>
      <w:b/>
      <w:color w:val="000000"/>
      <w:spacing w:val="-5"/>
      <w:sz w:val="22"/>
      <w:lang w:val="en-GB" w:eastAsia="zh-CN" w:bidi="ar-SA"/>
    </w:rPr>
  </w:style>
  <w:style w:type="character" w:customStyle="1" w:styleId="IAIOCO2TradedChar">
    <w:name w:val="IAIOCO2Traded Char"/>
    <w:link w:val="IAIOCO2Traded"/>
    <w:rsid w:val="00D478C9"/>
    <w:rPr>
      <w:rFonts w:ascii="Arial" w:eastAsia="SimSun" w:hAnsi="Arial"/>
      <w:b/>
      <w:color w:val="000000"/>
      <w:spacing w:val="-5"/>
      <w:sz w:val="22"/>
      <w:lang w:val="en-GB" w:eastAsia="zh-CN" w:bidi="ar-SA"/>
    </w:rPr>
  </w:style>
  <w:style w:type="character" w:customStyle="1" w:styleId="FootnoteTextChar">
    <w:name w:val="Footnote Text Char"/>
    <w:aliases w:val="Char1 Char Char Char,Char1 Char Char1, Char1 Char Char Char, Char1 Char Char1, Char5 Char,Char5 Char,Footnote Text Char1 Char Char,Footnote Text Char Char Char Char1,fn Char,Footnote Char,Footnote Text Char Char Char1,FOOTNOTES Char"/>
    <w:link w:val="FootnoteText"/>
    <w:uiPriority w:val="99"/>
    <w:rsid w:val="0031315A"/>
    <w:rPr>
      <w:rFonts w:ascii="Arial" w:eastAsia="SimSun" w:hAnsi="Arial"/>
      <w:sz w:val="16"/>
      <w:lang w:eastAsia="zh-CN"/>
    </w:rPr>
  </w:style>
  <w:style w:type="paragraph" w:styleId="ListParagraph">
    <w:name w:val="List Paragraph"/>
    <w:aliases w:val="Dot pt,No Spacing1,List Paragraph Char Char Char,Indicator Text,List Paragraph1,Numbered Para 1,Bullet 1,List Paragraph12,F5 List Paragraph,Bullet Points,MAIN CONTENT,Bullet Style,Colorful List - Accent 11,Normal numbered,List Paragraph2"/>
    <w:basedOn w:val="Normal"/>
    <w:link w:val="ListParagraphChar"/>
    <w:uiPriority w:val="34"/>
    <w:qFormat/>
    <w:rsid w:val="004F0D66"/>
    <w:pPr>
      <w:ind w:left="720"/>
    </w:pPr>
    <w:rPr>
      <w:rFonts w:ascii="Calibri" w:hAnsi="Calibri"/>
      <w:sz w:val="22"/>
      <w:szCs w:val="22"/>
    </w:rPr>
  </w:style>
  <w:style w:type="character" w:styleId="CommentReference">
    <w:name w:val="annotation reference"/>
    <w:uiPriority w:val="99"/>
    <w:unhideWhenUsed/>
    <w:rsid w:val="00CB45DE"/>
    <w:rPr>
      <w:sz w:val="16"/>
      <w:szCs w:val="16"/>
    </w:rPr>
  </w:style>
  <w:style w:type="paragraph" w:styleId="CommentText">
    <w:name w:val="annotation text"/>
    <w:basedOn w:val="Normal"/>
    <w:link w:val="CommentTextChar"/>
    <w:uiPriority w:val="99"/>
    <w:unhideWhenUsed/>
    <w:rsid w:val="00CB45DE"/>
    <w:pPr>
      <w:spacing w:after="200"/>
    </w:pPr>
    <w:rPr>
      <w:rFonts w:ascii="Calibri" w:hAnsi="Calibri"/>
      <w:sz w:val="20"/>
      <w:szCs w:val="20"/>
      <w:lang w:val="x-none" w:eastAsia="x-none"/>
    </w:rPr>
  </w:style>
  <w:style w:type="character" w:customStyle="1" w:styleId="CommentTextChar">
    <w:name w:val="Comment Text Char"/>
    <w:link w:val="CommentText"/>
    <w:uiPriority w:val="99"/>
    <w:rsid w:val="00CB45DE"/>
    <w:rPr>
      <w:rFonts w:ascii="Calibri" w:hAnsi="Calibri"/>
    </w:rPr>
  </w:style>
  <w:style w:type="paragraph" w:styleId="CommentSubject">
    <w:name w:val="annotation subject"/>
    <w:basedOn w:val="CommentText"/>
    <w:next w:val="CommentText"/>
    <w:link w:val="CommentSubjectChar"/>
    <w:rsid w:val="00CC621D"/>
    <w:pPr>
      <w:spacing w:after="0"/>
    </w:pPr>
    <w:rPr>
      <w:rFonts w:ascii="Arial" w:hAnsi="Arial"/>
      <w:b/>
      <w:bCs/>
    </w:rPr>
  </w:style>
  <w:style w:type="character" w:customStyle="1" w:styleId="CommentSubjectChar">
    <w:name w:val="Comment Subject Char"/>
    <w:link w:val="CommentSubject"/>
    <w:rsid w:val="00CC621D"/>
    <w:rPr>
      <w:rFonts w:ascii="Arial" w:hAnsi="Arial"/>
      <w:b/>
      <w:bCs/>
      <w:lang w:eastAsia="en-US"/>
    </w:rPr>
  </w:style>
  <w:style w:type="paragraph" w:styleId="Revision">
    <w:name w:val="Revision"/>
    <w:hidden/>
    <w:uiPriority w:val="99"/>
    <w:semiHidden/>
    <w:rsid w:val="00133D6D"/>
    <w:rPr>
      <w:rFonts w:ascii="Arial" w:hAnsi="Arial"/>
      <w:sz w:val="24"/>
      <w:szCs w:val="24"/>
      <w:lang w:eastAsia="en-US"/>
    </w:rPr>
  </w:style>
  <w:style w:type="paragraph" w:styleId="EndnoteText">
    <w:name w:val="endnote text"/>
    <w:basedOn w:val="Normal"/>
    <w:link w:val="EndnoteTextChar"/>
    <w:uiPriority w:val="99"/>
    <w:rsid w:val="00981890"/>
    <w:rPr>
      <w:sz w:val="20"/>
      <w:szCs w:val="20"/>
      <w:lang w:val="x-none"/>
    </w:rPr>
  </w:style>
  <w:style w:type="character" w:customStyle="1" w:styleId="EndnoteTextChar">
    <w:name w:val="Endnote Text Char"/>
    <w:link w:val="EndnoteText"/>
    <w:uiPriority w:val="99"/>
    <w:rsid w:val="00981890"/>
    <w:rPr>
      <w:rFonts w:ascii="Arial" w:hAnsi="Arial"/>
      <w:lang w:eastAsia="en-US"/>
    </w:rPr>
  </w:style>
  <w:style w:type="character" w:styleId="EndnoteReference">
    <w:name w:val="endnote reference"/>
    <w:uiPriority w:val="99"/>
    <w:rsid w:val="00981890"/>
    <w:rPr>
      <w:vertAlign w:val="superscript"/>
    </w:rPr>
  </w:style>
  <w:style w:type="paragraph" w:customStyle="1" w:styleId="Default">
    <w:name w:val="Default"/>
    <w:rsid w:val="00DA3F65"/>
    <w:pPr>
      <w:autoSpaceDE w:val="0"/>
      <w:autoSpaceDN w:val="0"/>
      <w:adjustRightInd w:val="0"/>
    </w:pPr>
    <w:rPr>
      <w:rFonts w:ascii="Arial" w:hAnsi="Arial" w:cs="Arial"/>
      <w:color w:val="000000"/>
      <w:sz w:val="24"/>
      <w:szCs w:val="24"/>
    </w:rPr>
  </w:style>
  <w:style w:type="paragraph" w:customStyle="1" w:styleId="Annexetitre">
    <w:name w:val="Annexe titre"/>
    <w:basedOn w:val="Normal"/>
    <w:next w:val="Normal"/>
    <w:rsid w:val="00DA3F65"/>
    <w:pPr>
      <w:spacing w:before="120" w:after="120" w:line="360" w:lineRule="auto"/>
      <w:jc w:val="center"/>
    </w:pPr>
    <w:rPr>
      <w:rFonts w:ascii="Times New Roman" w:hAnsi="Times New Roman"/>
      <w:b/>
      <w:u w:val="single"/>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link w:val="ListParagraph"/>
    <w:uiPriority w:val="34"/>
    <w:qFormat/>
    <w:locked/>
    <w:rsid w:val="006A7126"/>
    <w:rPr>
      <w:rFonts w:ascii="Calibri" w:hAnsi="Calibri"/>
      <w:sz w:val="22"/>
      <w:szCs w:val="22"/>
      <w:lang w:eastAsia="en-US"/>
    </w:rPr>
  </w:style>
  <w:style w:type="character" w:customStyle="1" w:styleId="Heading2Char">
    <w:name w:val="Heading 2 Char"/>
    <w:aliases w:val="EBHeading1 Char"/>
    <w:basedOn w:val="DefaultParagraphFont"/>
    <w:link w:val="Heading2"/>
    <w:uiPriority w:val="9"/>
    <w:rsid w:val="00132EE5"/>
    <w:rPr>
      <w:rFonts w:ascii="Arial" w:hAnsi="Arial" w:cs="Arial"/>
      <w:bCs/>
      <w:color w:val="000000"/>
      <w:sz w:val="32"/>
      <w:szCs w:val="22"/>
    </w:rPr>
  </w:style>
  <w:style w:type="character" w:customStyle="1" w:styleId="Heading1Char">
    <w:name w:val="Heading 1 Char"/>
    <w:basedOn w:val="DefaultParagraphFont"/>
    <w:link w:val="Heading1"/>
    <w:uiPriority w:val="9"/>
    <w:rsid w:val="00025F1C"/>
    <w:rPr>
      <w:rFonts w:ascii="Arial Bold" w:hAnsi="Arial Bold" w:cs="Arial"/>
      <w:b/>
      <w:bCs/>
      <w:spacing w:val="-4"/>
      <w:kern w:val="32"/>
      <w:sz w:val="32"/>
      <w:szCs w:val="32"/>
      <w:lang w:eastAsia="en-US"/>
    </w:rPr>
  </w:style>
  <w:style w:type="character" w:customStyle="1" w:styleId="Heading4Char">
    <w:name w:val="Heading 4 Char"/>
    <w:aliases w:val="EBHeading3 Char"/>
    <w:basedOn w:val="DefaultParagraphFont"/>
    <w:link w:val="Heading4"/>
    <w:rsid w:val="00025F1C"/>
    <w:rPr>
      <w:rFonts w:ascii="Arial" w:hAnsi="Arial" w:cs="Arial"/>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8D9"/>
    <w:rPr>
      <w:rFonts w:ascii="Arial" w:hAnsi="Arial"/>
      <w:sz w:val="24"/>
      <w:szCs w:val="24"/>
      <w:lang w:eastAsia="en-US"/>
    </w:rPr>
  </w:style>
  <w:style w:type="paragraph" w:styleId="Heading1">
    <w:name w:val="heading 1"/>
    <w:basedOn w:val="Normal"/>
    <w:next w:val="Normal"/>
    <w:link w:val="Heading1Char"/>
    <w:uiPriority w:val="9"/>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link w:val="Heading2Char"/>
    <w:uiPriority w:val="9"/>
    <w:qFormat/>
    <w:rsid w:val="002B7335"/>
    <w:pPr>
      <w:keepNext/>
      <w:keepLines/>
      <w:spacing w:before="480" w:after="240"/>
      <w:outlineLvl w:val="1"/>
    </w:pPr>
    <w:rPr>
      <w:rFonts w:cs="Arial"/>
      <w:bCs/>
      <w:color w:val="000000"/>
      <w:sz w:val="32"/>
      <w:szCs w:val="22"/>
      <w:lang w:eastAsia="en-GB"/>
    </w:rPr>
  </w:style>
  <w:style w:type="paragraph" w:styleId="Heading3">
    <w:name w:val="heading 3"/>
    <w:aliases w:val="EBHeading2"/>
    <w:basedOn w:val="Normal"/>
    <w:next w:val="EBBodyPara"/>
    <w:qFormat/>
    <w:rsid w:val="002B7335"/>
    <w:pPr>
      <w:keepNext/>
      <w:keepLines/>
      <w:spacing w:before="360" w:after="240"/>
      <w:outlineLvl w:val="2"/>
    </w:pPr>
    <w:rPr>
      <w:rFonts w:cs="Arial"/>
      <w:b/>
      <w:bCs/>
      <w:color w:val="000000"/>
      <w:szCs w:val="22"/>
      <w:lang w:eastAsia="en-GB"/>
    </w:rPr>
  </w:style>
  <w:style w:type="paragraph" w:styleId="Heading4">
    <w:name w:val="heading 4"/>
    <w:aliases w:val="EBHeading3"/>
    <w:basedOn w:val="EBBodyPara"/>
    <w:next w:val="Normal"/>
    <w:link w:val="Heading4Char"/>
    <w:qFormat/>
    <w:rsid w:val="002B7335"/>
    <w:pPr>
      <w:spacing w:before="240"/>
      <w:outlineLvl w:val="3"/>
    </w:pPr>
    <w:rPr>
      <w:b/>
    </w:rPr>
  </w:style>
  <w:style w:type="paragraph" w:styleId="Heading5">
    <w:name w:val="heading 5"/>
    <w:aliases w:val="EBHeading4"/>
    <w:basedOn w:val="Normal"/>
    <w:next w:val="Normal"/>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link w:val="IATableLabel"/>
    <w:rsid w:val="00402E80"/>
    <w:rPr>
      <w:rFonts w:ascii="Arial" w:eastAsia="SimSun" w:hAnsi="Arial"/>
      <w:b/>
      <w:color w:val="000000"/>
      <w:spacing w:val="-5"/>
      <w:lang w:val="en-GB" w:eastAsia="zh-CN" w:bidi="ar-SA"/>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sz w:val="22"/>
    </w:rPr>
  </w:style>
  <w:style w:type="character" w:customStyle="1" w:styleId="IATableTextChar">
    <w:name w:val="IATableText Char"/>
    <w:link w:val="IATableText"/>
    <w:rsid w:val="00220F29"/>
    <w:rPr>
      <w:rFonts w:ascii="Arial" w:eastAsia="SimSun" w:hAnsi="Arial"/>
      <w:b/>
      <w:color w:val="000000"/>
      <w:spacing w:val="-5"/>
      <w:sz w:val="22"/>
      <w:lang w:val="en-GB" w:eastAsia="zh-CN" w:bidi="ar-SA"/>
    </w:rPr>
  </w:style>
  <w:style w:type="paragraph" w:styleId="BodyText">
    <w:name w:val="Body Text"/>
    <w:basedOn w:val="Normal"/>
    <w:link w:val="BodyTextChar"/>
    <w:rsid w:val="003E54B6"/>
    <w:pPr>
      <w:spacing w:after="120"/>
    </w:pPr>
    <w:rPr>
      <w:rFonts w:cs="Arial"/>
      <w:bCs/>
      <w:color w:val="000000"/>
      <w:sz w:val="22"/>
      <w:szCs w:val="22"/>
      <w:lang w:eastAsia="en-GB"/>
    </w:rPr>
  </w:style>
  <w:style w:type="table" w:styleId="TableGrid">
    <w:name w:val="Table Grid"/>
    <w:basedOn w:val="TableNormal"/>
    <w:uiPriority w:val="59"/>
    <w:rsid w:val="00026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F64C7"/>
    <w:pPr>
      <w:ind w:left="113"/>
      <w:outlineLvl w:val="0"/>
    </w:pPr>
    <w:rPr>
      <w:rFonts w:cs="Arial"/>
      <w:bCs/>
      <w:color w:val="FFFFFF"/>
      <w:kern w:val="28"/>
      <w:sz w:val="32"/>
      <w:szCs w:val="32"/>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rsid w:val="00570F8E"/>
    <w:rPr>
      <w:rFonts w:ascii="Arial" w:eastAsia="SimSun" w:hAnsi="Arial"/>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Ind w:w="0" w:type="dxa"/>
      <w:tblBorders>
        <w:top w:val="single" w:sz="12" w:space="0" w:color="008080"/>
        <w:left w:val="single" w:sz="12" w:space="0" w:color="008080"/>
        <w:bottom w:val="single" w:sz="12" w:space="0" w:color="008080"/>
        <w:right w:val="single" w:sz="12" w:space="0" w:color="008080"/>
        <w:insideH w:val="single" w:sz="12" w:space="0" w:color="008080"/>
      </w:tblBorders>
      <w:tblCellMar>
        <w:top w:w="0" w:type="dxa"/>
        <w:left w:w="0" w:type="dxa"/>
        <w:bottom w:w="0" w:type="dxa"/>
        <w:right w:w="0" w:type="dxa"/>
      </w:tblCellMar>
    </w:tblPr>
    <w:tcPr>
      <w:shd w:val="clear" w:color="auto" w:fill="008080"/>
      <w:vAlign w:val="center"/>
    </w:tcPr>
  </w:style>
  <w:style w:type="paragraph" w:customStyle="1" w:styleId="IATableNotes">
    <w:name w:val="IATableNotes"/>
    <w:basedOn w:val="Normal"/>
    <w:link w:val="IATableNotesChar"/>
    <w:rsid w:val="006A5A2E"/>
    <w:pPr>
      <w:spacing w:before="60" w:after="60"/>
      <w:ind w:left="113" w:right="113"/>
    </w:pPr>
    <w:rPr>
      <w:rFonts w:eastAsia="SimSun"/>
      <w:sz w:val="18"/>
      <w:szCs w:val="20"/>
      <w:lang w:eastAsia="zh-CN"/>
    </w:rPr>
  </w:style>
  <w:style w:type="character" w:customStyle="1" w:styleId="IATableNotesChar">
    <w:name w:val="IATableNotes Char"/>
    <w:link w:val="IATableNotes"/>
    <w:rsid w:val="006A5A2E"/>
    <w:rPr>
      <w:rFonts w:ascii="Arial" w:eastAsia="SimSun" w:hAnsi="Arial"/>
      <w:sz w:val="18"/>
      <w:lang w:val="en-GB" w:eastAsia="zh-CN" w:bidi="ar-SA"/>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rsid w:val="006A5A2E"/>
    <w:rPr>
      <w:rFonts w:ascii="Arial" w:eastAsia="SimSun" w:hAnsi="Arial"/>
      <w:b/>
      <w:bCs/>
      <w:i/>
      <w:iCs/>
      <w:sz w:val="18"/>
      <w:lang w:val="en-GB" w:eastAsia="zh-CN" w:bidi="ar-SA"/>
    </w:rPr>
  </w:style>
  <w:style w:type="paragraph" w:customStyle="1" w:styleId="IAHeadTitle">
    <w:name w:val="IAHeadTitle"/>
    <w:basedOn w:val="IAHeadDept"/>
    <w:link w:val="IAHeadTitleChar"/>
    <w:rsid w:val="008228A5"/>
    <w:pPr>
      <w:spacing w:before="0" w:after="0"/>
    </w:pPr>
    <w:rPr>
      <w:b w:val="0"/>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rsid w:val="009050B9"/>
    <w:rPr>
      <w:rFonts w:ascii="Arial" w:eastAsia="SimSun" w:hAnsi="Arial"/>
      <w:b/>
      <w:color w:val="000000"/>
      <w:spacing w:val="-5"/>
      <w:szCs w:val="22"/>
      <w:u w:val="single"/>
      <w:lang w:val="en-GB" w:eastAsia="zh-CN" w:bidi="ar-SA"/>
    </w:rPr>
  </w:style>
  <w:style w:type="paragraph" w:customStyle="1" w:styleId="IASign-off">
    <w:name w:val="IA Sign-off"/>
    <w:basedOn w:val="IATableText"/>
    <w:rsid w:val="00C67CDD"/>
    <w:pPr>
      <w:spacing w:before="0" w:after="0"/>
      <w:ind w:left="0" w:right="284"/>
    </w:pPr>
    <w:rPr>
      <w:b w:val="0"/>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paragraph" w:styleId="Header">
    <w:name w:val="header"/>
    <w:basedOn w:val="Normal"/>
    <w:rsid w:val="00E96CB5"/>
    <w:pPr>
      <w:jc w:val="center"/>
    </w:pPr>
    <w:rPr>
      <w:caps/>
    </w:rPr>
  </w:style>
  <w:style w:type="paragraph" w:styleId="Footer">
    <w:name w:val="footer"/>
    <w:basedOn w:val="Normal"/>
    <w:rsid w:val="000407D8"/>
    <w:pPr>
      <w:tabs>
        <w:tab w:val="center" w:pos="5132"/>
        <w:tab w:val="right" w:pos="10260"/>
      </w:tabs>
      <w:jc w:val="center"/>
    </w:pPr>
    <w:rPr>
      <w:b/>
      <w:sz w:val="18"/>
    </w:rPr>
  </w:style>
  <w:style w:type="character" w:styleId="PageNumber">
    <w:name w:val="page number"/>
    <w:basedOn w:val="DefaultParagraphFont"/>
    <w:rsid w:val="00EB43FD"/>
  </w:style>
  <w:style w:type="character" w:customStyle="1" w:styleId="BodyTextChar">
    <w:name w:val="Body Text Char"/>
    <w:link w:val="BodyText"/>
    <w:rsid w:val="0049416F"/>
    <w:rPr>
      <w:rFonts w:ascii="Arial" w:hAnsi="Arial" w:cs="Arial"/>
      <w:bCs/>
      <w:color w:val="000000"/>
      <w:sz w:val="22"/>
      <w:szCs w:val="22"/>
      <w:lang w:val="en-GB" w:eastAsia="en-GB" w:bidi="ar-SA"/>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aliases w:val="Char1 Char Char,Char1 Char, Char1 Char Char, Char1 Char, Char5,Char5,Footnote Text Char1 Char,Footnote Text Char Char Char,fn,Footnote,Footnote Text Char Char,Footnote Text Char Char Char Char,Footnote Text1 Char,Footnote Text1,FOOTNOTES"/>
    <w:basedOn w:val="Normal"/>
    <w:link w:val="FootnoteTextChar"/>
    <w:uiPriority w:val="99"/>
    <w:rsid w:val="00490FF7"/>
    <w:rPr>
      <w:rFonts w:eastAsia="SimSun"/>
      <w:sz w:val="16"/>
      <w:szCs w:val="20"/>
      <w:lang w:val="x-none" w:eastAsia="zh-CN"/>
    </w:rPr>
  </w:style>
  <w:style w:type="character" w:styleId="FootnoteReference">
    <w:name w:val="footnote reference"/>
    <w:aliases w:val="SUPERS,stylish,BVI fnr,Footnote symbol,Footnote reference number,Times 10 Point,Exposant 3 Point,Ref,de nota al pie,note TESI,EN Footnote Reference,Nota,Footnote number,Char1,EN Footnote text,Fussnota,Footnote Refernece,E..."/>
    <w:uiPriority w:val="99"/>
    <w:rsid w:val="00B84190"/>
    <w:rPr>
      <w:sz w:val="22"/>
      <w:vertAlign w:val="superscript"/>
    </w:rPr>
  </w:style>
  <w:style w:type="paragraph" w:customStyle="1" w:styleId="EBBodyPara">
    <w:name w:val="EBBodyPara"/>
    <w:basedOn w:val="BodyText"/>
    <w:rsid w:val="005A2FC0"/>
  </w:style>
  <w:style w:type="paragraph" w:styleId="BalloonText">
    <w:name w:val="Balloon Text"/>
    <w:basedOn w:val="Normal"/>
    <w:semiHidden/>
    <w:rsid w:val="00300CED"/>
    <w:rPr>
      <w:rFonts w:ascii="Tahoma" w:hAnsi="Tahoma" w:cs="Tahoma"/>
      <w:sz w:val="16"/>
      <w:szCs w:val="16"/>
    </w:rPr>
  </w:style>
  <w:style w:type="paragraph" w:customStyle="1" w:styleId="EBNumber">
    <w:name w:val="EBNumber"/>
    <w:basedOn w:val="BodyText"/>
    <w:rsid w:val="002B7335"/>
    <w:pPr>
      <w:numPr>
        <w:ilvl w:val="1"/>
        <w:numId w:val="3"/>
      </w:numPr>
    </w:pPr>
  </w:style>
  <w:style w:type="paragraph" w:customStyle="1" w:styleId="EBNumberRestart">
    <w:name w:val="EBNumberRestart"/>
    <w:basedOn w:val="BodyText"/>
    <w:next w:val="EBNumber"/>
    <w:rsid w:val="002B7335"/>
    <w:pPr>
      <w:numPr>
        <w:numId w:val="3"/>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
      </w:numPr>
    </w:pPr>
  </w:style>
  <w:style w:type="character" w:styleId="Hyperlink">
    <w:name w:val="Hyperlink"/>
    <w:rsid w:val="00B4136C"/>
    <w:rPr>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2"/>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rsid w:val="006D37CF"/>
    <w:rPr>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szCs w:val="22"/>
    </w:rPr>
  </w:style>
  <w:style w:type="character" w:customStyle="1" w:styleId="PONBLowCharChar">
    <w:name w:val="PONBLow Char Char"/>
    <w:link w:val="PONBLow"/>
    <w:rsid w:val="00F622E8"/>
    <w:rPr>
      <w:rFonts w:ascii="Arial" w:eastAsia="SimSun" w:hAnsi="Arial"/>
      <w:b/>
      <w:color w:val="000000"/>
      <w:spacing w:val="-5"/>
      <w:szCs w:val="22"/>
      <w:lang w:val="en-GB" w:eastAsia="zh-CN" w:bidi="ar-SA"/>
    </w:rPr>
  </w:style>
  <w:style w:type="paragraph" w:customStyle="1" w:styleId="PONBHigh">
    <w:name w:val="PONBHigh"/>
    <w:basedOn w:val="IATableLabel"/>
    <w:link w:val="PONBHighChar"/>
    <w:rsid w:val="00F622E8"/>
    <w:rPr>
      <w:szCs w:val="22"/>
    </w:rPr>
  </w:style>
  <w:style w:type="character" w:customStyle="1" w:styleId="PONBHighChar">
    <w:name w:val="PONBHigh Char"/>
    <w:link w:val="PONBHigh"/>
    <w:rsid w:val="00F622E8"/>
    <w:rPr>
      <w:rFonts w:ascii="Arial" w:eastAsia="SimSun" w:hAnsi="Arial"/>
      <w:b/>
      <w:color w:val="000000"/>
      <w:spacing w:val="-5"/>
      <w:szCs w:val="22"/>
      <w:lang w:val="en-GB" w:eastAsia="zh-CN" w:bidi="ar-SA"/>
    </w:rPr>
  </w:style>
  <w:style w:type="paragraph" w:customStyle="1" w:styleId="PONBBestEst">
    <w:name w:val="PONBBestEst"/>
    <w:basedOn w:val="IATableLabel"/>
    <w:link w:val="PONBBestEstChar"/>
    <w:rsid w:val="00F622E8"/>
    <w:rPr>
      <w:szCs w:val="22"/>
    </w:rPr>
  </w:style>
  <w:style w:type="character" w:customStyle="1" w:styleId="PONBBestEstChar">
    <w:name w:val="PONBBestEst Char"/>
    <w:link w:val="PONBBestEst"/>
    <w:rsid w:val="00F622E8"/>
    <w:rPr>
      <w:rFonts w:ascii="Arial" w:eastAsia="SimSun" w:hAnsi="Arial"/>
      <w:b/>
      <w:color w:val="000000"/>
      <w:spacing w:val="-5"/>
      <w:szCs w:val="22"/>
      <w:lang w:val="en-GB" w:eastAsia="zh-CN" w:bidi="ar-SA"/>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val="0"/>
    </w:rPr>
  </w:style>
  <w:style w:type="paragraph" w:customStyle="1" w:styleId="POTCCostsHigh">
    <w:name w:val="POTCCostsHigh"/>
    <w:basedOn w:val="IATableText"/>
    <w:rsid w:val="00B318B0"/>
    <w:pPr>
      <w:jc w:val="right"/>
    </w:pPr>
    <w:rPr>
      <w:b w:val="0"/>
    </w:rPr>
  </w:style>
  <w:style w:type="paragraph" w:customStyle="1" w:styleId="POTCCostsBest">
    <w:name w:val="POTCCostsBest"/>
    <w:basedOn w:val="IATableText"/>
    <w:rsid w:val="00B318B0"/>
    <w:pPr>
      <w:jc w:val="right"/>
    </w:pPr>
    <w:rPr>
      <w:b w:val="0"/>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rsid w:val="00F1653E"/>
    <w:rPr>
      <w:rFonts w:ascii="Arial" w:eastAsia="SimSun" w:hAnsi="Arial"/>
      <w:b/>
      <w:color w:val="000000"/>
      <w:spacing w:val="-5"/>
      <w:lang w:val="en-GB" w:eastAsia="zh-CN" w:bidi="ar-SA"/>
    </w:rPr>
  </w:style>
  <w:style w:type="character" w:customStyle="1" w:styleId="IPPOQ3Char">
    <w:name w:val="IPPOQ3 Char"/>
    <w:basedOn w:val="IAPOQ2Char"/>
    <w:link w:val="IPPOQ3"/>
    <w:rsid w:val="00F1653E"/>
    <w:rPr>
      <w:rFonts w:ascii="Arial" w:eastAsia="SimSun" w:hAnsi="Arial"/>
      <w:b/>
      <w:color w:val="000000"/>
      <w:spacing w:val="-5"/>
      <w:lang w:val="en-GB" w:eastAsia="zh-CN" w:bidi="ar-SA"/>
    </w:rPr>
  </w:style>
  <w:style w:type="character" w:customStyle="1" w:styleId="IAPOQ4Char">
    <w:name w:val="IAPOQ4 Char"/>
    <w:basedOn w:val="IPPOQ3Char"/>
    <w:link w:val="IAPOQ4"/>
    <w:rsid w:val="00F1653E"/>
    <w:rPr>
      <w:rFonts w:ascii="Arial" w:eastAsia="SimSun" w:hAnsi="Arial"/>
      <w:b/>
      <w:color w:val="000000"/>
      <w:spacing w:val="-5"/>
      <w:lang w:val="en-GB" w:eastAsia="zh-CN" w:bidi="ar-SA"/>
    </w:rPr>
  </w:style>
  <w:style w:type="character" w:customStyle="1" w:styleId="IAPOQ5Char">
    <w:name w:val="IAPOQ5 Char"/>
    <w:basedOn w:val="IAPOQ4Char"/>
    <w:link w:val="IAPOQ5"/>
    <w:rsid w:val="00F1653E"/>
    <w:rPr>
      <w:rFonts w:ascii="Arial" w:eastAsia="SimSun" w:hAnsi="Arial"/>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sz w:val="22"/>
      <w:szCs w:val="22"/>
    </w:rPr>
  </w:style>
  <w:style w:type="character" w:customStyle="1" w:styleId="IAPODICostChar">
    <w:name w:val="IAPODICost Char"/>
    <w:link w:val="IAPODICost"/>
    <w:rsid w:val="000E3FD7"/>
    <w:rPr>
      <w:rFonts w:ascii="Arial" w:eastAsia="SimSun" w:hAnsi="Arial"/>
      <w:b/>
      <w:color w:val="000000"/>
      <w:spacing w:val="-5"/>
      <w:sz w:val="22"/>
      <w:szCs w:val="22"/>
      <w:lang w:val="en-GB" w:eastAsia="zh-CN" w:bidi="ar-SA"/>
    </w:rPr>
  </w:style>
  <w:style w:type="paragraph" w:customStyle="1" w:styleId="IAPODIBen">
    <w:name w:val="IAPODIBen"/>
    <w:basedOn w:val="IATableLabel"/>
    <w:link w:val="IAPODIBenChar"/>
    <w:rsid w:val="000E3FD7"/>
    <w:rPr>
      <w:sz w:val="22"/>
      <w:szCs w:val="22"/>
    </w:rPr>
  </w:style>
  <w:style w:type="paragraph" w:customStyle="1" w:styleId="IAPODINet">
    <w:name w:val="IAPODINet"/>
    <w:basedOn w:val="IATableLabel"/>
    <w:link w:val="IAPODINetChar"/>
    <w:rsid w:val="000E3FD7"/>
    <w:rPr>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rsid w:val="000E3FD7"/>
    <w:rPr>
      <w:rFonts w:ascii="Arial" w:eastAsia="SimSun" w:hAnsi="Arial"/>
      <w:b/>
      <w:color w:val="000000"/>
      <w:spacing w:val="-5"/>
      <w:sz w:val="22"/>
      <w:szCs w:val="22"/>
      <w:lang w:val="en-GB" w:eastAsia="zh-CN" w:bidi="ar-SA"/>
    </w:rPr>
  </w:style>
  <w:style w:type="character" w:customStyle="1" w:styleId="IAPODIBenChar">
    <w:name w:val="IAPODIBen Char"/>
    <w:link w:val="IAPODIBen"/>
    <w:rsid w:val="000E3FD7"/>
    <w:rPr>
      <w:rFonts w:ascii="Arial" w:eastAsia="SimSun" w:hAnsi="Arial"/>
      <w:b/>
      <w:color w:val="000000"/>
      <w:spacing w:val="-5"/>
      <w:sz w:val="22"/>
      <w:szCs w:val="22"/>
      <w:lang w:val="en-GB" w:eastAsia="zh-CN" w:bidi="ar-SA"/>
    </w:rPr>
  </w:style>
  <w:style w:type="paragraph" w:customStyle="1" w:styleId="IAPODIMQ">
    <w:name w:val="IAPODIMQ"/>
    <w:basedOn w:val="IATableText"/>
    <w:rsid w:val="000E3FD7"/>
    <w:rPr>
      <w:sz w:val="20"/>
    </w:rPr>
  </w:style>
  <w:style w:type="paragraph" w:customStyle="1" w:styleId="ebbullet0">
    <w:name w:val="ebbullet"/>
    <w:basedOn w:val="Normal"/>
    <w:rsid w:val="001F5423"/>
    <w:pPr>
      <w:spacing w:before="100" w:beforeAutospacing="1" w:after="100" w:afterAutospacing="1"/>
    </w:pPr>
    <w:rPr>
      <w:rFonts w:ascii="Times New Roman" w:eastAsia="Calibri" w:hAnsi="Times New Roman"/>
      <w:lang w:eastAsia="en-GB"/>
    </w:r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rFonts w:eastAsia="SimSun"/>
      <w:b/>
      <w:color w:val="000000"/>
      <w:spacing w:val="-6"/>
      <w:sz w:val="28"/>
      <w:szCs w:val="22"/>
    </w:rPr>
  </w:style>
  <w:style w:type="character" w:customStyle="1" w:styleId="IAHeadDeptChar">
    <w:name w:val="IAHeadDept Char"/>
    <w:link w:val="IAHeadDept"/>
    <w:rsid w:val="008031EC"/>
    <w:rPr>
      <w:rFonts w:ascii="Arial" w:eastAsia="SimSun" w:hAnsi="Arial"/>
      <w:b/>
      <w:color w:val="000000"/>
      <w:spacing w:val="-6"/>
      <w:sz w:val="22"/>
      <w:szCs w:val="22"/>
      <w:lang w:val="en-GB" w:eastAsia="zh-CN" w:bidi="ar-SA"/>
    </w:rPr>
  </w:style>
  <w:style w:type="character" w:customStyle="1" w:styleId="IAHeadTitleChar">
    <w:name w:val="IAHeadTitle Char"/>
    <w:link w:val="IAHeadTitle"/>
    <w:rsid w:val="008031EC"/>
    <w:rPr>
      <w:rFonts w:ascii="Arial" w:eastAsia="SimSun" w:hAnsi="Arial"/>
      <w:b/>
      <w:color w:val="000000"/>
      <w:spacing w:val="-6"/>
      <w:sz w:val="28"/>
      <w:szCs w:val="28"/>
      <w:lang w:val="en-GB" w:eastAsia="zh-CN" w:bidi="ar-SA"/>
    </w:rPr>
  </w:style>
  <w:style w:type="character" w:customStyle="1" w:styleId="IANoChar">
    <w:name w:val="IANo Char"/>
    <w:link w:val="IANo"/>
    <w:rsid w:val="005F32E7"/>
    <w:rPr>
      <w:rFonts w:ascii="Arial" w:eastAsia="SimSun" w:hAnsi="Arial"/>
      <w:b/>
      <w:color w:val="000000"/>
      <w:spacing w:val="-6"/>
      <w:sz w:val="28"/>
      <w:szCs w:val="22"/>
      <w:lang w:val="en-GB" w:eastAsia="en-US" w:bidi="ar-SA"/>
    </w:rPr>
  </w:style>
  <w:style w:type="paragraph" w:customStyle="1" w:styleId="IALeadDept">
    <w:name w:val="IALeadDept"/>
    <w:basedOn w:val="Normal"/>
    <w:rsid w:val="005F32E7"/>
    <w:pPr>
      <w:ind w:left="113"/>
    </w:pPr>
    <w:rPr>
      <w:rFonts w:eastAsia="Arial Unicode M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sz w:val="22"/>
      <w:szCs w:val="22"/>
    </w:rPr>
  </w:style>
  <w:style w:type="paragraph" w:customStyle="1" w:styleId="IAStage">
    <w:name w:val="IAStage"/>
    <w:basedOn w:val="IATableLabel"/>
    <w:link w:val="IAStageChar"/>
    <w:rsid w:val="008031EC"/>
    <w:rPr>
      <w:sz w:val="22"/>
    </w:rPr>
  </w:style>
  <w:style w:type="paragraph" w:customStyle="1" w:styleId="IASOI">
    <w:name w:val="IASOI"/>
    <w:basedOn w:val="IATableLabel"/>
    <w:link w:val="IASOIChar"/>
    <w:rsid w:val="008031EC"/>
    <w:rPr>
      <w:sz w:val="22"/>
    </w:rPr>
  </w:style>
  <w:style w:type="paragraph" w:customStyle="1" w:styleId="IATOM">
    <w:name w:val="IATOM"/>
    <w:basedOn w:val="IATableLabel"/>
    <w:link w:val="IATOMChar"/>
    <w:rsid w:val="008031EC"/>
    <w:rPr>
      <w:sz w:val="22"/>
    </w:rPr>
  </w:style>
  <w:style w:type="paragraph" w:customStyle="1" w:styleId="IACOE">
    <w:name w:val="IACOE"/>
    <w:basedOn w:val="IATableLines"/>
    <w:link w:val="IACOEChar"/>
    <w:rsid w:val="008031EC"/>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sz w:val="22"/>
      <w:szCs w:val="22"/>
    </w:rPr>
  </w:style>
  <w:style w:type="character" w:customStyle="1" w:styleId="IAIOPolicyReviewChar">
    <w:name w:val="IAIOPolicyReview Char"/>
    <w:link w:val="IAIOPolicyReview"/>
    <w:rsid w:val="00F91F5A"/>
    <w:rPr>
      <w:rFonts w:ascii="Arial" w:eastAsia="SimSun" w:hAnsi="Arial"/>
      <w:b/>
      <w:color w:val="000000"/>
      <w:spacing w:val="-5"/>
      <w:sz w:val="22"/>
      <w:szCs w:val="22"/>
      <w:lang w:val="en-GB" w:eastAsia="zh-CN" w:bidi="ar-SA"/>
    </w:rPr>
  </w:style>
  <w:style w:type="paragraph" w:customStyle="1" w:styleId="IAIOReviewMonth">
    <w:name w:val="IAIOReviewMonth"/>
    <w:basedOn w:val="IATableLabel"/>
    <w:link w:val="IAIOReviewMonthChar"/>
    <w:rsid w:val="00F91F5A"/>
    <w:rPr>
      <w:sz w:val="22"/>
      <w:szCs w:val="22"/>
    </w:rPr>
  </w:style>
  <w:style w:type="paragraph" w:customStyle="1" w:styleId="IAIOReviewYear">
    <w:name w:val="IAIOReviewYear"/>
    <w:basedOn w:val="IATableLabel"/>
    <w:link w:val="IAIOReviewYearChar"/>
    <w:rsid w:val="00F91F5A"/>
    <w:rPr>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rsid w:val="00F91F5A"/>
    <w:rPr>
      <w:rFonts w:ascii="Arial" w:eastAsia="SimSun" w:hAnsi="Arial"/>
      <w:b/>
      <w:color w:val="000000"/>
      <w:spacing w:val="-5"/>
      <w:sz w:val="22"/>
      <w:szCs w:val="22"/>
      <w:lang w:val="en-GB" w:eastAsia="zh-CN" w:bidi="ar-SA"/>
    </w:rPr>
  </w:style>
  <w:style w:type="character" w:customStyle="1" w:styleId="IAIOReviewMonthChar">
    <w:name w:val="IAIOReviewMonth Char"/>
    <w:link w:val="IAIOReviewMonth"/>
    <w:rsid w:val="00F91F5A"/>
    <w:rPr>
      <w:rFonts w:ascii="Arial" w:eastAsia="SimSun" w:hAnsi="Arial"/>
      <w:b/>
      <w:color w:val="000000"/>
      <w:spacing w:val="-5"/>
      <w:sz w:val="22"/>
      <w:szCs w:val="22"/>
      <w:lang w:val="en-GB" w:eastAsia="zh-CN" w:bidi="ar-SA"/>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uiPriority w:val="99"/>
    <w:rsid w:val="00F91F5A"/>
    <w:rPr>
      <w:sz w:val="20"/>
    </w:rPr>
  </w:style>
  <w:style w:type="paragraph" w:customStyle="1" w:styleId="IAIOCO2Traded">
    <w:name w:val="IAIOCO2Traded"/>
    <w:basedOn w:val="IATableLabel"/>
    <w:link w:val="IAIOCO2TradedChar"/>
    <w:rsid w:val="00F91F5A"/>
    <w:rPr>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rsid w:val="00D00846"/>
    <w:rPr>
      <w:rFonts w:ascii="Arial" w:eastAsia="SimSun" w:hAnsi="Arial"/>
      <w:b/>
      <w:color w:val="000000"/>
      <w:spacing w:val="-5"/>
      <w:lang w:val="en-GB" w:eastAsia="zh-CN" w:bidi="ar-SA"/>
    </w:rPr>
  </w:style>
  <w:style w:type="character" w:customStyle="1" w:styleId="IADateChar">
    <w:name w:val="IADate Char"/>
    <w:link w:val="IADate"/>
    <w:rsid w:val="00174C10"/>
    <w:rPr>
      <w:rFonts w:ascii="Arial" w:eastAsia="SimSun" w:hAnsi="Arial"/>
      <w:b/>
      <w:color w:val="000000"/>
      <w:spacing w:val="-5"/>
      <w:sz w:val="22"/>
      <w:szCs w:val="22"/>
      <w:lang w:val="en-GB" w:eastAsia="zh-CN" w:bidi="ar-SA"/>
    </w:rPr>
  </w:style>
  <w:style w:type="character" w:customStyle="1" w:styleId="IATableLinesChar">
    <w:name w:val="IATableLines Char"/>
    <w:basedOn w:val="IATableTextChar"/>
    <w:link w:val="IATableLines"/>
    <w:rsid w:val="00174C10"/>
    <w:rPr>
      <w:rFonts w:ascii="Arial" w:eastAsia="SimSun" w:hAnsi="Arial"/>
      <w:b/>
      <w:color w:val="000000"/>
      <w:spacing w:val="-5"/>
      <w:sz w:val="22"/>
      <w:lang w:val="en-GB" w:eastAsia="zh-CN" w:bidi="ar-SA"/>
    </w:rPr>
  </w:style>
  <w:style w:type="character" w:customStyle="1" w:styleId="IACOEChar">
    <w:name w:val="IACOE Char"/>
    <w:basedOn w:val="IATableLinesChar"/>
    <w:link w:val="IACOE"/>
    <w:rsid w:val="00174C10"/>
    <w:rPr>
      <w:rFonts w:ascii="Arial" w:eastAsia="SimSun" w:hAnsi="Arial"/>
      <w:b/>
      <w:color w:val="000000"/>
      <w:spacing w:val="-5"/>
      <w:sz w:val="22"/>
      <w:lang w:val="en-GB" w:eastAsia="zh-CN" w:bidi="ar-SA"/>
    </w:rPr>
  </w:style>
  <w:style w:type="character" w:customStyle="1" w:styleId="IAStageChar">
    <w:name w:val="IAStage Char"/>
    <w:link w:val="IAStage"/>
    <w:rsid w:val="00174C10"/>
    <w:rPr>
      <w:rFonts w:ascii="Arial" w:eastAsia="SimSun" w:hAnsi="Arial"/>
      <w:b/>
      <w:color w:val="000000"/>
      <w:spacing w:val="-5"/>
      <w:sz w:val="22"/>
      <w:lang w:val="en-GB" w:eastAsia="zh-CN" w:bidi="ar-SA"/>
    </w:rPr>
  </w:style>
  <w:style w:type="character" w:customStyle="1" w:styleId="IASOIChar">
    <w:name w:val="IASOI Char"/>
    <w:link w:val="IASOI"/>
    <w:rsid w:val="00174C10"/>
    <w:rPr>
      <w:rFonts w:ascii="Arial" w:eastAsia="SimSun" w:hAnsi="Arial"/>
      <w:b/>
      <w:color w:val="000000"/>
      <w:spacing w:val="-5"/>
      <w:sz w:val="22"/>
      <w:lang w:val="en-GB" w:eastAsia="zh-CN" w:bidi="ar-SA"/>
    </w:rPr>
  </w:style>
  <w:style w:type="character" w:customStyle="1" w:styleId="IATOMChar">
    <w:name w:val="IATOM Char"/>
    <w:link w:val="IATOM"/>
    <w:rsid w:val="00174C10"/>
    <w:rPr>
      <w:rFonts w:ascii="Arial" w:eastAsia="SimSun" w:hAnsi="Arial"/>
      <w:b/>
      <w:color w:val="000000"/>
      <w:spacing w:val="-5"/>
      <w:sz w:val="22"/>
      <w:lang w:val="en-GB" w:eastAsia="zh-CN" w:bidi="ar-SA"/>
    </w:rPr>
  </w:style>
  <w:style w:type="character" w:customStyle="1" w:styleId="TitleChar">
    <w:name w:val="Title Char"/>
    <w:link w:val="Title"/>
    <w:rsid w:val="00174C10"/>
    <w:rPr>
      <w:rFonts w:ascii="Arial" w:hAnsi="Arial" w:cs="Arial"/>
      <w:bCs/>
      <w:color w:val="FFFFFF"/>
      <w:kern w:val="28"/>
      <w:sz w:val="32"/>
      <w:szCs w:val="32"/>
      <w:lang w:val="en-GB" w:eastAsia="en-US" w:bidi="ar-SA"/>
    </w:rPr>
  </w:style>
  <w:style w:type="character" w:customStyle="1" w:styleId="IARPCChar">
    <w:name w:val="IARPC Char"/>
    <w:link w:val="IARPC"/>
    <w:rsid w:val="00174C10"/>
    <w:rPr>
      <w:rFonts w:ascii="Arial" w:eastAsia="SimSun" w:hAnsi="Arial" w:cs="Arial"/>
      <w:bCs/>
      <w:color w:val="000000"/>
      <w:kern w:val="28"/>
      <w:sz w:val="24"/>
      <w:szCs w:val="24"/>
      <w:lang w:val="en-GB" w:eastAsia="en-US" w:bidi="ar-SA"/>
    </w:rPr>
  </w:style>
  <w:style w:type="character" w:customStyle="1" w:styleId="IAIOCheckMicroChar">
    <w:name w:val="IAIOCheckMicro Char"/>
    <w:basedOn w:val="IATableLinesChar"/>
    <w:link w:val="IAIOCheckMicro"/>
    <w:rsid w:val="00D478C9"/>
    <w:rPr>
      <w:rFonts w:ascii="Arial" w:eastAsia="SimSun" w:hAnsi="Arial"/>
      <w:b/>
      <w:color w:val="000000"/>
      <w:spacing w:val="-5"/>
      <w:sz w:val="22"/>
      <w:lang w:val="en-GB" w:eastAsia="zh-CN" w:bidi="ar-SA"/>
    </w:rPr>
  </w:style>
  <w:style w:type="character" w:customStyle="1" w:styleId="IAIOCheckSmallChar">
    <w:name w:val="IAIOCheckSmall Char"/>
    <w:basedOn w:val="IATableLinesChar"/>
    <w:link w:val="IAIOCheckSmall"/>
    <w:rsid w:val="00D478C9"/>
    <w:rPr>
      <w:rFonts w:ascii="Arial" w:eastAsia="SimSun" w:hAnsi="Arial"/>
      <w:b/>
      <w:color w:val="000000"/>
      <w:spacing w:val="-5"/>
      <w:sz w:val="22"/>
      <w:lang w:val="en-GB" w:eastAsia="zh-CN" w:bidi="ar-SA"/>
    </w:rPr>
  </w:style>
  <w:style w:type="character" w:customStyle="1" w:styleId="IAIOCheckMediumChar">
    <w:name w:val="IAIOCheckMedium Char"/>
    <w:basedOn w:val="IATableLinesChar"/>
    <w:link w:val="IAIOCheckMedium"/>
    <w:rsid w:val="00D478C9"/>
    <w:rPr>
      <w:rFonts w:ascii="Arial" w:eastAsia="SimSun" w:hAnsi="Arial"/>
      <w:b/>
      <w:color w:val="000000"/>
      <w:spacing w:val="-5"/>
      <w:sz w:val="22"/>
      <w:lang w:val="en-GB" w:eastAsia="zh-CN" w:bidi="ar-SA"/>
    </w:rPr>
  </w:style>
  <w:style w:type="character" w:customStyle="1" w:styleId="IAIOCheckLargeChar">
    <w:name w:val="IAIOCheckLarge Char"/>
    <w:basedOn w:val="IATableLinesChar"/>
    <w:link w:val="IAIOCheckLarge"/>
    <w:uiPriority w:val="99"/>
    <w:rsid w:val="00D478C9"/>
    <w:rPr>
      <w:rFonts w:ascii="Arial" w:eastAsia="SimSun" w:hAnsi="Arial"/>
      <w:b/>
      <w:color w:val="000000"/>
      <w:spacing w:val="-5"/>
      <w:sz w:val="22"/>
      <w:lang w:val="en-GB" w:eastAsia="zh-CN" w:bidi="ar-SA"/>
    </w:rPr>
  </w:style>
  <w:style w:type="character" w:customStyle="1" w:styleId="IAIOCO2TradedChar">
    <w:name w:val="IAIOCO2Traded Char"/>
    <w:link w:val="IAIOCO2Traded"/>
    <w:rsid w:val="00D478C9"/>
    <w:rPr>
      <w:rFonts w:ascii="Arial" w:eastAsia="SimSun" w:hAnsi="Arial"/>
      <w:b/>
      <w:color w:val="000000"/>
      <w:spacing w:val="-5"/>
      <w:sz w:val="22"/>
      <w:lang w:val="en-GB" w:eastAsia="zh-CN" w:bidi="ar-SA"/>
    </w:rPr>
  </w:style>
  <w:style w:type="character" w:customStyle="1" w:styleId="FootnoteTextChar">
    <w:name w:val="Footnote Text Char"/>
    <w:aliases w:val="Char1 Char Char Char,Char1 Char Char1, Char1 Char Char Char, Char1 Char Char1, Char5 Char,Char5 Char,Footnote Text Char1 Char Char,Footnote Text Char Char Char Char1,fn Char,Footnote Char,Footnote Text Char Char Char1,FOOTNOTES Char"/>
    <w:link w:val="FootnoteText"/>
    <w:uiPriority w:val="99"/>
    <w:rsid w:val="0031315A"/>
    <w:rPr>
      <w:rFonts w:ascii="Arial" w:eastAsia="SimSun" w:hAnsi="Arial"/>
      <w:sz w:val="16"/>
      <w:lang w:eastAsia="zh-CN"/>
    </w:rPr>
  </w:style>
  <w:style w:type="paragraph" w:styleId="ListParagraph">
    <w:name w:val="List Paragraph"/>
    <w:aliases w:val="Dot pt,No Spacing1,List Paragraph Char Char Char,Indicator Text,List Paragraph1,Numbered Para 1,Bullet 1,List Paragraph12,F5 List Paragraph,Bullet Points,MAIN CONTENT,Bullet Style,Colorful List - Accent 11,Normal numbered,List Paragraph2"/>
    <w:basedOn w:val="Normal"/>
    <w:link w:val="ListParagraphChar"/>
    <w:uiPriority w:val="34"/>
    <w:qFormat/>
    <w:rsid w:val="004F0D66"/>
    <w:pPr>
      <w:ind w:left="720"/>
    </w:pPr>
    <w:rPr>
      <w:rFonts w:ascii="Calibri" w:hAnsi="Calibri"/>
      <w:sz w:val="22"/>
      <w:szCs w:val="22"/>
    </w:rPr>
  </w:style>
  <w:style w:type="character" w:styleId="CommentReference">
    <w:name w:val="annotation reference"/>
    <w:uiPriority w:val="99"/>
    <w:unhideWhenUsed/>
    <w:rsid w:val="00CB45DE"/>
    <w:rPr>
      <w:sz w:val="16"/>
      <w:szCs w:val="16"/>
    </w:rPr>
  </w:style>
  <w:style w:type="paragraph" w:styleId="CommentText">
    <w:name w:val="annotation text"/>
    <w:basedOn w:val="Normal"/>
    <w:link w:val="CommentTextChar"/>
    <w:uiPriority w:val="99"/>
    <w:unhideWhenUsed/>
    <w:rsid w:val="00CB45DE"/>
    <w:pPr>
      <w:spacing w:after="200"/>
    </w:pPr>
    <w:rPr>
      <w:rFonts w:ascii="Calibri" w:hAnsi="Calibri"/>
      <w:sz w:val="20"/>
      <w:szCs w:val="20"/>
      <w:lang w:val="x-none" w:eastAsia="x-none"/>
    </w:rPr>
  </w:style>
  <w:style w:type="character" w:customStyle="1" w:styleId="CommentTextChar">
    <w:name w:val="Comment Text Char"/>
    <w:link w:val="CommentText"/>
    <w:uiPriority w:val="99"/>
    <w:rsid w:val="00CB45DE"/>
    <w:rPr>
      <w:rFonts w:ascii="Calibri" w:hAnsi="Calibri"/>
    </w:rPr>
  </w:style>
  <w:style w:type="paragraph" w:styleId="CommentSubject">
    <w:name w:val="annotation subject"/>
    <w:basedOn w:val="CommentText"/>
    <w:next w:val="CommentText"/>
    <w:link w:val="CommentSubjectChar"/>
    <w:rsid w:val="00CC621D"/>
    <w:pPr>
      <w:spacing w:after="0"/>
    </w:pPr>
    <w:rPr>
      <w:rFonts w:ascii="Arial" w:hAnsi="Arial"/>
      <w:b/>
      <w:bCs/>
    </w:rPr>
  </w:style>
  <w:style w:type="character" w:customStyle="1" w:styleId="CommentSubjectChar">
    <w:name w:val="Comment Subject Char"/>
    <w:link w:val="CommentSubject"/>
    <w:rsid w:val="00CC621D"/>
    <w:rPr>
      <w:rFonts w:ascii="Arial" w:hAnsi="Arial"/>
      <w:b/>
      <w:bCs/>
      <w:lang w:eastAsia="en-US"/>
    </w:rPr>
  </w:style>
  <w:style w:type="paragraph" w:styleId="Revision">
    <w:name w:val="Revision"/>
    <w:hidden/>
    <w:uiPriority w:val="99"/>
    <w:semiHidden/>
    <w:rsid w:val="00133D6D"/>
    <w:rPr>
      <w:rFonts w:ascii="Arial" w:hAnsi="Arial"/>
      <w:sz w:val="24"/>
      <w:szCs w:val="24"/>
      <w:lang w:eastAsia="en-US"/>
    </w:rPr>
  </w:style>
  <w:style w:type="paragraph" w:styleId="EndnoteText">
    <w:name w:val="endnote text"/>
    <w:basedOn w:val="Normal"/>
    <w:link w:val="EndnoteTextChar"/>
    <w:uiPriority w:val="99"/>
    <w:rsid w:val="00981890"/>
    <w:rPr>
      <w:sz w:val="20"/>
      <w:szCs w:val="20"/>
      <w:lang w:val="x-none"/>
    </w:rPr>
  </w:style>
  <w:style w:type="character" w:customStyle="1" w:styleId="EndnoteTextChar">
    <w:name w:val="Endnote Text Char"/>
    <w:link w:val="EndnoteText"/>
    <w:uiPriority w:val="99"/>
    <w:rsid w:val="00981890"/>
    <w:rPr>
      <w:rFonts w:ascii="Arial" w:hAnsi="Arial"/>
      <w:lang w:eastAsia="en-US"/>
    </w:rPr>
  </w:style>
  <w:style w:type="character" w:styleId="EndnoteReference">
    <w:name w:val="endnote reference"/>
    <w:uiPriority w:val="99"/>
    <w:rsid w:val="00981890"/>
    <w:rPr>
      <w:vertAlign w:val="superscript"/>
    </w:rPr>
  </w:style>
  <w:style w:type="paragraph" w:customStyle="1" w:styleId="Default">
    <w:name w:val="Default"/>
    <w:rsid w:val="00DA3F65"/>
    <w:pPr>
      <w:autoSpaceDE w:val="0"/>
      <w:autoSpaceDN w:val="0"/>
      <w:adjustRightInd w:val="0"/>
    </w:pPr>
    <w:rPr>
      <w:rFonts w:ascii="Arial" w:hAnsi="Arial" w:cs="Arial"/>
      <w:color w:val="000000"/>
      <w:sz w:val="24"/>
      <w:szCs w:val="24"/>
    </w:rPr>
  </w:style>
  <w:style w:type="paragraph" w:customStyle="1" w:styleId="Annexetitre">
    <w:name w:val="Annexe titre"/>
    <w:basedOn w:val="Normal"/>
    <w:next w:val="Normal"/>
    <w:rsid w:val="00DA3F65"/>
    <w:pPr>
      <w:spacing w:before="120" w:after="120" w:line="360" w:lineRule="auto"/>
      <w:jc w:val="center"/>
    </w:pPr>
    <w:rPr>
      <w:rFonts w:ascii="Times New Roman" w:hAnsi="Times New Roman"/>
      <w:b/>
      <w:u w:val="single"/>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link w:val="ListParagraph"/>
    <w:uiPriority w:val="34"/>
    <w:qFormat/>
    <w:locked/>
    <w:rsid w:val="006A7126"/>
    <w:rPr>
      <w:rFonts w:ascii="Calibri" w:hAnsi="Calibri"/>
      <w:sz w:val="22"/>
      <w:szCs w:val="22"/>
      <w:lang w:eastAsia="en-US"/>
    </w:rPr>
  </w:style>
  <w:style w:type="character" w:customStyle="1" w:styleId="Heading2Char">
    <w:name w:val="Heading 2 Char"/>
    <w:aliases w:val="EBHeading1 Char"/>
    <w:basedOn w:val="DefaultParagraphFont"/>
    <w:link w:val="Heading2"/>
    <w:uiPriority w:val="9"/>
    <w:rsid w:val="00132EE5"/>
    <w:rPr>
      <w:rFonts w:ascii="Arial" w:hAnsi="Arial" w:cs="Arial"/>
      <w:bCs/>
      <w:color w:val="000000"/>
      <w:sz w:val="32"/>
      <w:szCs w:val="22"/>
    </w:rPr>
  </w:style>
  <w:style w:type="character" w:customStyle="1" w:styleId="Heading1Char">
    <w:name w:val="Heading 1 Char"/>
    <w:basedOn w:val="DefaultParagraphFont"/>
    <w:link w:val="Heading1"/>
    <w:uiPriority w:val="9"/>
    <w:rsid w:val="00025F1C"/>
    <w:rPr>
      <w:rFonts w:ascii="Arial Bold" w:hAnsi="Arial Bold" w:cs="Arial"/>
      <w:b/>
      <w:bCs/>
      <w:spacing w:val="-4"/>
      <w:kern w:val="32"/>
      <w:sz w:val="32"/>
      <w:szCs w:val="32"/>
      <w:lang w:eastAsia="en-US"/>
    </w:rPr>
  </w:style>
  <w:style w:type="character" w:customStyle="1" w:styleId="Heading4Char">
    <w:name w:val="Heading 4 Char"/>
    <w:aliases w:val="EBHeading3 Char"/>
    <w:basedOn w:val="DefaultParagraphFont"/>
    <w:link w:val="Heading4"/>
    <w:rsid w:val="00025F1C"/>
    <w:rPr>
      <w:rFonts w:ascii="Arial" w:hAnsi="Arial" w:cs="Arial"/>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2375">
      <w:bodyDiv w:val="1"/>
      <w:marLeft w:val="0"/>
      <w:marRight w:val="0"/>
      <w:marTop w:val="0"/>
      <w:marBottom w:val="0"/>
      <w:divBdr>
        <w:top w:val="none" w:sz="0" w:space="0" w:color="auto"/>
        <w:left w:val="none" w:sz="0" w:space="0" w:color="auto"/>
        <w:bottom w:val="none" w:sz="0" w:space="0" w:color="auto"/>
        <w:right w:val="none" w:sz="0" w:space="0" w:color="auto"/>
      </w:divBdr>
    </w:div>
    <w:div w:id="121925252">
      <w:bodyDiv w:val="1"/>
      <w:marLeft w:val="0"/>
      <w:marRight w:val="0"/>
      <w:marTop w:val="0"/>
      <w:marBottom w:val="0"/>
      <w:divBdr>
        <w:top w:val="none" w:sz="0" w:space="0" w:color="auto"/>
        <w:left w:val="none" w:sz="0" w:space="0" w:color="auto"/>
        <w:bottom w:val="none" w:sz="0" w:space="0" w:color="auto"/>
        <w:right w:val="none" w:sz="0" w:space="0" w:color="auto"/>
      </w:divBdr>
    </w:div>
    <w:div w:id="156458186">
      <w:bodyDiv w:val="1"/>
      <w:marLeft w:val="0"/>
      <w:marRight w:val="0"/>
      <w:marTop w:val="0"/>
      <w:marBottom w:val="0"/>
      <w:divBdr>
        <w:top w:val="none" w:sz="0" w:space="0" w:color="auto"/>
        <w:left w:val="none" w:sz="0" w:space="0" w:color="auto"/>
        <w:bottom w:val="none" w:sz="0" w:space="0" w:color="auto"/>
        <w:right w:val="none" w:sz="0" w:space="0" w:color="auto"/>
      </w:divBdr>
    </w:div>
    <w:div w:id="169377133">
      <w:bodyDiv w:val="1"/>
      <w:marLeft w:val="0"/>
      <w:marRight w:val="0"/>
      <w:marTop w:val="0"/>
      <w:marBottom w:val="0"/>
      <w:divBdr>
        <w:top w:val="none" w:sz="0" w:space="0" w:color="auto"/>
        <w:left w:val="none" w:sz="0" w:space="0" w:color="auto"/>
        <w:bottom w:val="none" w:sz="0" w:space="0" w:color="auto"/>
        <w:right w:val="none" w:sz="0" w:space="0" w:color="auto"/>
      </w:divBdr>
    </w:div>
    <w:div w:id="323124932">
      <w:bodyDiv w:val="1"/>
      <w:marLeft w:val="0"/>
      <w:marRight w:val="0"/>
      <w:marTop w:val="0"/>
      <w:marBottom w:val="0"/>
      <w:divBdr>
        <w:top w:val="none" w:sz="0" w:space="0" w:color="auto"/>
        <w:left w:val="none" w:sz="0" w:space="0" w:color="auto"/>
        <w:bottom w:val="none" w:sz="0" w:space="0" w:color="auto"/>
        <w:right w:val="none" w:sz="0" w:space="0" w:color="auto"/>
      </w:divBdr>
    </w:div>
    <w:div w:id="370804370">
      <w:bodyDiv w:val="1"/>
      <w:marLeft w:val="0"/>
      <w:marRight w:val="0"/>
      <w:marTop w:val="0"/>
      <w:marBottom w:val="0"/>
      <w:divBdr>
        <w:top w:val="none" w:sz="0" w:space="0" w:color="auto"/>
        <w:left w:val="none" w:sz="0" w:space="0" w:color="auto"/>
        <w:bottom w:val="none" w:sz="0" w:space="0" w:color="auto"/>
        <w:right w:val="none" w:sz="0" w:space="0" w:color="auto"/>
      </w:divBdr>
    </w:div>
    <w:div w:id="411897175">
      <w:bodyDiv w:val="1"/>
      <w:marLeft w:val="0"/>
      <w:marRight w:val="0"/>
      <w:marTop w:val="0"/>
      <w:marBottom w:val="0"/>
      <w:divBdr>
        <w:top w:val="none" w:sz="0" w:space="0" w:color="auto"/>
        <w:left w:val="none" w:sz="0" w:space="0" w:color="auto"/>
        <w:bottom w:val="none" w:sz="0" w:space="0" w:color="auto"/>
        <w:right w:val="none" w:sz="0" w:space="0" w:color="auto"/>
      </w:divBdr>
    </w:div>
    <w:div w:id="497119943">
      <w:bodyDiv w:val="1"/>
      <w:marLeft w:val="0"/>
      <w:marRight w:val="0"/>
      <w:marTop w:val="0"/>
      <w:marBottom w:val="0"/>
      <w:divBdr>
        <w:top w:val="none" w:sz="0" w:space="0" w:color="auto"/>
        <w:left w:val="none" w:sz="0" w:space="0" w:color="auto"/>
        <w:bottom w:val="none" w:sz="0" w:space="0" w:color="auto"/>
        <w:right w:val="none" w:sz="0" w:space="0" w:color="auto"/>
      </w:divBdr>
    </w:div>
    <w:div w:id="543254306">
      <w:bodyDiv w:val="1"/>
      <w:marLeft w:val="0"/>
      <w:marRight w:val="0"/>
      <w:marTop w:val="0"/>
      <w:marBottom w:val="0"/>
      <w:divBdr>
        <w:top w:val="none" w:sz="0" w:space="0" w:color="auto"/>
        <w:left w:val="none" w:sz="0" w:space="0" w:color="auto"/>
        <w:bottom w:val="none" w:sz="0" w:space="0" w:color="auto"/>
        <w:right w:val="none" w:sz="0" w:space="0" w:color="auto"/>
      </w:divBdr>
    </w:div>
    <w:div w:id="543443786">
      <w:bodyDiv w:val="1"/>
      <w:marLeft w:val="0"/>
      <w:marRight w:val="0"/>
      <w:marTop w:val="0"/>
      <w:marBottom w:val="0"/>
      <w:divBdr>
        <w:top w:val="none" w:sz="0" w:space="0" w:color="auto"/>
        <w:left w:val="none" w:sz="0" w:space="0" w:color="auto"/>
        <w:bottom w:val="none" w:sz="0" w:space="0" w:color="auto"/>
        <w:right w:val="none" w:sz="0" w:space="0" w:color="auto"/>
      </w:divBdr>
    </w:div>
    <w:div w:id="550269037">
      <w:bodyDiv w:val="1"/>
      <w:marLeft w:val="0"/>
      <w:marRight w:val="0"/>
      <w:marTop w:val="0"/>
      <w:marBottom w:val="0"/>
      <w:divBdr>
        <w:top w:val="none" w:sz="0" w:space="0" w:color="auto"/>
        <w:left w:val="none" w:sz="0" w:space="0" w:color="auto"/>
        <w:bottom w:val="none" w:sz="0" w:space="0" w:color="auto"/>
        <w:right w:val="none" w:sz="0" w:space="0" w:color="auto"/>
      </w:divBdr>
    </w:div>
    <w:div w:id="737824650">
      <w:bodyDiv w:val="1"/>
      <w:marLeft w:val="0"/>
      <w:marRight w:val="0"/>
      <w:marTop w:val="0"/>
      <w:marBottom w:val="0"/>
      <w:divBdr>
        <w:top w:val="none" w:sz="0" w:space="0" w:color="auto"/>
        <w:left w:val="none" w:sz="0" w:space="0" w:color="auto"/>
        <w:bottom w:val="none" w:sz="0" w:space="0" w:color="auto"/>
        <w:right w:val="none" w:sz="0" w:space="0" w:color="auto"/>
      </w:divBdr>
    </w:div>
    <w:div w:id="886181004">
      <w:bodyDiv w:val="1"/>
      <w:marLeft w:val="0"/>
      <w:marRight w:val="0"/>
      <w:marTop w:val="0"/>
      <w:marBottom w:val="0"/>
      <w:divBdr>
        <w:top w:val="none" w:sz="0" w:space="0" w:color="auto"/>
        <w:left w:val="none" w:sz="0" w:space="0" w:color="auto"/>
        <w:bottom w:val="none" w:sz="0" w:space="0" w:color="auto"/>
        <w:right w:val="none" w:sz="0" w:space="0" w:color="auto"/>
      </w:divBdr>
    </w:div>
    <w:div w:id="940262779">
      <w:bodyDiv w:val="1"/>
      <w:marLeft w:val="0"/>
      <w:marRight w:val="0"/>
      <w:marTop w:val="0"/>
      <w:marBottom w:val="0"/>
      <w:divBdr>
        <w:top w:val="none" w:sz="0" w:space="0" w:color="auto"/>
        <w:left w:val="none" w:sz="0" w:space="0" w:color="auto"/>
        <w:bottom w:val="none" w:sz="0" w:space="0" w:color="auto"/>
        <w:right w:val="none" w:sz="0" w:space="0" w:color="auto"/>
      </w:divBdr>
    </w:div>
    <w:div w:id="948972132">
      <w:bodyDiv w:val="1"/>
      <w:marLeft w:val="0"/>
      <w:marRight w:val="0"/>
      <w:marTop w:val="0"/>
      <w:marBottom w:val="0"/>
      <w:divBdr>
        <w:top w:val="none" w:sz="0" w:space="0" w:color="auto"/>
        <w:left w:val="none" w:sz="0" w:space="0" w:color="auto"/>
        <w:bottom w:val="none" w:sz="0" w:space="0" w:color="auto"/>
        <w:right w:val="none" w:sz="0" w:space="0" w:color="auto"/>
      </w:divBdr>
    </w:div>
    <w:div w:id="967079373">
      <w:bodyDiv w:val="1"/>
      <w:marLeft w:val="0"/>
      <w:marRight w:val="0"/>
      <w:marTop w:val="0"/>
      <w:marBottom w:val="0"/>
      <w:divBdr>
        <w:top w:val="none" w:sz="0" w:space="0" w:color="auto"/>
        <w:left w:val="none" w:sz="0" w:space="0" w:color="auto"/>
        <w:bottom w:val="none" w:sz="0" w:space="0" w:color="auto"/>
        <w:right w:val="none" w:sz="0" w:space="0" w:color="auto"/>
      </w:divBdr>
    </w:div>
    <w:div w:id="1024019947">
      <w:bodyDiv w:val="1"/>
      <w:marLeft w:val="0"/>
      <w:marRight w:val="0"/>
      <w:marTop w:val="0"/>
      <w:marBottom w:val="0"/>
      <w:divBdr>
        <w:top w:val="none" w:sz="0" w:space="0" w:color="auto"/>
        <w:left w:val="none" w:sz="0" w:space="0" w:color="auto"/>
        <w:bottom w:val="none" w:sz="0" w:space="0" w:color="auto"/>
        <w:right w:val="none" w:sz="0" w:space="0" w:color="auto"/>
      </w:divBdr>
    </w:div>
    <w:div w:id="1127511468">
      <w:bodyDiv w:val="1"/>
      <w:marLeft w:val="0"/>
      <w:marRight w:val="0"/>
      <w:marTop w:val="0"/>
      <w:marBottom w:val="0"/>
      <w:divBdr>
        <w:top w:val="none" w:sz="0" w:space="0" w:color="auto"/>
        <w:left w:val="none" w:sz="0" w:space="0" w:color="auto"/>
        <w:bottom w:val="none" w:sz="0" w:space="0" w:color="auto"/>
        <w:right w:val="none" w:sz="0" w:space="0" w:color="auto"/>
      </w:divBdr>
    </w:div>
    <w:div w:id="1184856112">
      <w:bodyDiv w:val="1"/>
      <w:marLeft w:val="0"/>
      <w:marRight w:val="0"/>
      <w:marTop w:val="0"/>
      <w:marBottom w:val="0"/>
      <w:divBdr>
        <w:top w:val="none" w:sz="0" w:space="0" w:color="auto"/>
        <w:left w:val="none" w:sz="0" w:space="0" w:color="auto"/>
        <w:bottom w:val="none" w:sz="0" w:space="0" w:color="auto"/>
        <w:right w:val="none" w:sz="0" w:space="0" w:color="auto"/>
      </w:divBdr>
    </w:div>
    <w:div w:id="1246763755">
      <w:bodyDiv w:val="1"/>
      <w:marLeft w:val="0"/>
      <w:marRight w:val="0"/>
      <w:marTop w:val="0"/>
      <w:marBottom w:val="0"/>
      <w:divBdr>
        <w:top w:val="none" w:sz="0" w:space="0" w:color="auto"/>
        <w:left w:val="none" w:sz="0" w:space="0" w:color="auto"/>
        <w:bottom w:val="none" w:sz="0" w:space="0" w:color="auto"/>
        <w:right w:val="none" w:sz="0" w:space="0" w:color="auto"/>
      </w:divBdr>
    </w:div>
    <w:div w:id="1261641921">
      <w:bodyDiv w:val="1"/>
      <w:marLeft w:val="0"/>
      <w:marRight w:val="0"/>
      <w:marTop w:val="0"/>
      <w:marBottom w:val="0"/>
      <w:divBdr>
        <w:top w:val="none" w:sz="0" w:space="0" w:color="auto"/>
        <w:left w:val="none" w:sz="0" w:space="0" w:color="auto"/>
        <w:bottom w:val="none" w:sz="0" w:space="0" w:color="auto"/>
        <w:right w:val="none" w:sz="0" w:space="0" w:color="auto"/>
      </w:divBdr>
    </w:div>
    <w:div w:id="1310942299">
      <w:bodyDiv w:val="1"/>
      <w:marLeft w:val="0"/>
      <w:marRight w:val="0"/>
      <w:marTop w:val="0"/>
      <w:marBottom w:val="0"/>
      <w:divBdr>
        <w:top w:val="none" w:sz="0" w:space="0" w:color="auto"/>
        <w:left w:val="none" w:sz="0" w:space="0" w:color="auto"/>
        <w:bottom w:val="none" w:sz="0" w:space="0" w:color="auto"/>
        <w:right w:val="none" w:sz="0" w:space="0" w:color="auto"/>
      </w:divBdr>
    </w:div>
    <w:div w:id="1368873175">
      <w:bodyDiv w:val="1"/>
      <w:marLeft w:val="0"/>
      <w:marRight w:val="0"/>
      <w:marTop w:val="0"/>
      <w:marBottom w:val="0"/>
      <w:divBdr>
        <w:top w:val="none" w:sz="0" w:space="0" w:color="auto"/>
        <w:left w:val="none" w:sz="0" w:space="0" w:color="auto"/>
        <w:bottom w:val="none" w:sz="0" w:space="0" w:color="auto"/>
        <w:right w:val="none" w:sz="0" w:space="0" w:color="auto"/>
      </w:divBdr>
    </w:div>
    <w:div w:id="1423721324">
      <w:bodyDiv w:val="1"/>
      <w:marLeft w:val="0"/>
      <w:marRight w:val="0"/>
      <w:marTop w:val="0"/>
      <w:marBottom w:val="0"/>
      <w:divBdr>
        <w:top w:val="none" w:sz="0" w:space="0" w:color="auto"/>
        <w:left w:val="none" w:sz="0" w:space="0" w:color="auto"/>
        <w:bottom w:val="none" w:sz="0" w:space="0" w:color="auto"/>
        <w:right w:val="none" w:sz="0" w:space="0" w:color="auto"/>
      </w:divBdr>
    </w:div>
    <w:div w:id="1432967598">
      <w:bodyDiv w:val="1"/>
      <w:marLeft w:val="0"/>
      <w:marRight w:val="0"/>
      <w:marTop w:val="0"/>
      <w:marBottom w:val="0"/>
      <w:divBdr>
        <w:top w:val="none" w:sz="0" w:space="0" w:color="auto"/>
        <w:left w:val="none" w:sz="0" w:space="0" w:color="auto"/>
        <w:bottom w:val="none" w:sz="0" w:space="0" w:color="auto"/>
        <w:right w:val="none" w:sz="0" w:space="0" w:color="auto"/>
      </w:divBdr>
    </w:div>
    <w:div w:id="1543447010">
      <w:bodyDiv w:val="1"/>
      <w:marLeft w:val="0"/>
      <w:marRight w:val="0"/>
      <w:marTop w:val="0"/>
      <w:marBottom w:val="0"/>
      <w:divBdr>
        <w:top w:val="none" w:sz="0" w:space="0" w:color="auto"/>
        <w:left w:val="none" w:sz="0" w:space="0" w:color="auto"/>
        <w:bottom w:val="none" w:sz="0" w:space="0" w:color="auto"/>
        <w:right w:val="none" w:sz="0" w:space="0" w:color="auto"/>
      </w:divBdr>
    </w:div>
    <w:div w:id="1600334255">
      <w:bodyDiv w:val="1"/>
      <w:marLeft w:val="0"/>
      <w:marRight w:val="0"/>
      <w:marTop w:val="0"/>
      <w:marBottom w:val="0"/>
      <w:divBdr>
        <w:top w:val="none" w:sz="0" w:space="0" w:color="auto"/>
        <w:left w:val="none" w:sz="0" w:space="0" w:color="auto"/>
        <w:bottom w:val="none" w:sz="0" w:space="0" w:color="auto"/>
        <w:right w:val="none" w:sz="0" w:space="0" w:color="auto"/>
      </w:divBdr>
    </w:div>
    <w:div w:id="1603996667">
      <w:bodyDiv w:val="1"/>
      <w:marLeft w:val="0"/>
      <w:marRight w:val="0"/>
      <w:marTop w:val="0"/>
      <w:marBottom w:val="0"/>
      <w:divBdr>
        <w:top w:val="none" w:sz="0" w:space="0" w:color="auto"/>
        <w:left w:val="none" w:sz="0" w:space="0" w:color="auto"/>
        <w:bottom w:val="none" w:sz="0" w:space="0" w:color="auto"/>
        <w:right w:val="none" w:sz="0" w:space="0" w:color="auto"/>
      </w:divBdr>
    </w:div>
    <w:div w:id="1628125227">
      <w:bodyDiv w:val="1"/>
      <w:marLeft w:val="0"/>
      <w:marRight w:val="0"/>
      <w:marTop w:val="0"/>
      <w:marBottom w:val="0"/>
      <w:divBdr>
        <w:top w:val="none" w:sz="0" w:space="0" w:color="auto"/>
        <w:left w:val="none" w:sz="0" w:space="0" w:color="auto"/>
        <w:bottom w:val="none" w:sz="0" w:space="0" w:color="auto"/>
        <w:right w:val="none" w:sz="0" w:space="0" w:color="auto"/>
      </w:divBdr>
    </w:div>
    <w:div w:id="1633365354">
      <w:bodyDiv w:val="1"/>
      <w:marLeft w:val="0"/>
      <w:marRight w:val="0"/>
      <w:marTop w:val="0"/>
      <w:marBottom w:val="0"/>
      <w:divBdr>
        <w:top w:val="none" w:sz="0" w:space="0" w:color="auto"/>
        <w:left w:val="none" w:sz="0" w:space="0" w:color="auto"/>
        <w:bottom w:val="none" w:sz="0" w:space="0" w:color="auto"/>
        <w:right w:val="none" w:sz="0" w:space="0" w:color="auto"/>
      </w:divBdr>
    </w:div>
    <w:div w:id="1654409258">
      <w:bodyDiv w:val="1"/>
      <w:marLeft w:val="0"/>
      <w:marRight w:val="0"/>
      <w:marTop w:val="0"/>
      <w:marBottom w:val="0"/>
      <w:divBdr>
        <w:top w:val="none" w:sz="0" w:space="0" w:color="auto"/>
        <w:left w:val="none" w:sz="0" w:space="0" w:color="auto"/>
        <w:bottom w:val="none" w:sz="0" w:space="0" w:color="auto"/>
        <w:right w:val="none" w:sz="0" w:space="0" w:color="auto"/>
      </w:divBdr>
    </w:div>
    <w:div w:id="1745836051">
      <w:bodyDiv w:val="1"/>
      <w:marLeft w:val="0"/>
      <w:marRight w:val="0"/>
      <w:marTop w:val="0"/>
      <w:marBottom w:val="0"/>
      <w:divBdr>
        <w:top w:val="none" w:sz="0" w:space="0" w:color="auto"/>
        <w:left w:val="none" w:sz="0" w:space="0" w:color="auto"/>
        <w:bottom w:val="none" w:sz="0" w:space="0" w:color="auto"/>
        <w:right w:val="none" w:sz="0" w:space="0" w:color="auto"/>
      </w:divBdr>
    </w:div>
    <w:div w:id="1919635673">
      <w:bodyDiv w:val="1"/>
      <w:marLeft w:val="0"/>
      <w:marRight w:val="0"/>
      <w:marTop w:val="0"/>
      <w:marBottom w:val="0"/>
      <w:divBdr>
        <w:top w:val="none" w:sz="0" w:space="0" w:color="auto"/>
        <w:left w:val="none" w:sz="0" w:space="0" w:color="auto"/>
        <w:bottom w:val="none" w:sz="0" w:space="0" w:color="auto"/>
        <w:right w:val="none" w:sz="0" w:space="0" w:color="auto"/>
      </w:divBdr>
    </w:div>
    <w:div w:id="1925800507">
      <w:bodyDiv w:val="1"/>
      <w:marLeft w:val="0"/>
      <w:marRight w:val="0"/>
      <w:marTop w:val="0"/>
      <w:marBottom w:val="0"/>
      <w:divBdr>
        <w:top w:val="none" w:sz="0" w:space="0" w:color="auto"/>
        <w:left w:val="none" w:sz="0" w:space="0" w:color="auto"/>
        <w:bottom w:val="none" w:sz="0" w:space="0" w:color="auto"/>
        <w:right w:val="none" w:sz="0" w:space="0" w:color="auto"/>
      </w:divBdr>
    </w:div>
    <w:div w:id="1998074683">
      <w:bodyDiv w:val="1"/>
      <w:marLeft w:val="0"/>
      <w:marRight w:val="0"/>
      <w:marTop w:val="0"/>
      <w:marBottom w:val="0"/>
      <w:divBdr>
        <w:top w:val="none" w:sz="0" w:space="0" w:color="auto"/>
        <w:left w:val="none" w:sz="0" w:space="0" w:color="auto"/>
        <w:bottom w:val="none" w:sz="0" w:space="0" w:color="auto"/>
        <w:right w:val="none" w:sz="0" w:space="0" w:color="auto"/>
      </w:divBdr>
    </w:div>
    <w:div w:id="2021590031">
      <w:bodyDiv w:val="1"/>
      <w:marLeft w:val="0"/>
      <w:marRight w:val="0"/>
      <w:marTop w:val="0"/>
      <w:marBottom w:val="0"/>
      <w:divBdr>
        <w:top w:val="none" w:sz="0" w:space="0" w:color="auto"/>
        <w:left w:val="none" w:sz="0" w:space="0" w:color="auto"/>
        <w:bottom w:val="none" w:sz="0" w:space="0" w:color="auto"/>
        <w:right w:val="none" w:sz="0" w:space="0" w:color="auto"/>
      </w:divBdr>
    </w:div>
    <w:div w:id="2030836600">
      <w:bodyDiv w:val="1"/>
      <w:marLeft w:val="0"/>
      <w:marRight w:val="0"/>
      <w:marTop w:val="0"/>
      <w:marBottom w:val="0"/>
      <w:divBdr>
        <w:top w:val="none" w:sz="0" w:space="0" w:color="auto"/>
        <w:left w:val="none" w:sz="0" w:space="0" w:color="auto"/>
        <w:bottom w:val="none" w:sz="0" w:space="0" w:color="auto"/>
        <w:right w:val="none" w:sz="0" w:space="0" w:color="auto"/>
      </w:divBdr>
    </w:div>
    <w:div w:id="2081172793">
      <w:bodyDiv w:val="1"/>
      <w:marLeft w:val="0"/>
      <w:marRight w:val="0"/>
      <w:marTop w:val="0"/>
      <w:marBottom w:val="0"/>
      <w:divBdr>
        <w:top w:val="none" w:sz="0" w:space="0" w:color="auto"/>
        <w:left w:val="none" w:sz="0" w:space="0" w:color="auto"/>
        <w:bottom w:val="none" w:sz="0" w:space="0" w:color="auto"/>
        <w:right w:val="none" w:sz="0" w:space="0" w:color="auto"/>
      </w:divBdr>
    </w:div>
    <w:div w:id="2095930776">
      <w:bodyDiv w:val="1"/>
      <w:marLeft w:val="0"/>
      <w:marRight w:val="0"/>
      <w:marTop w:val="0"/>
      <w:marBottom w:val="0"/>
      <w:divBdr>
        <w:top w:val="none" w:sz="0" w:space="0" w:color="auto"/>
        <w:left w:val="none" w:sz="0" w:space="0" w:color="auto"/>
        <w:bottom w:val="none" w:sz="0" w:space="0" w:color="auto"/>
        <w:right w:val="none" w:sz="0" w:space="0" w:color="auto"/>
      </w:divBdr>
    </w:div>
    <w:div w:id="2129353405">
      <w:bodyDiv w:val="1"/>
      <w:marLeft w:val="0"/>
      <w:marRight w:val="0"/>
      <w:marTop w:val="0"/>
      <w:marBottom w:val="0"/>
      <w:divBdr>
        <w:top w:val="none" w:sz="0" w:space="0" w:color="auto"/>
        <w:left w:val="none" w:sz="0" w:space="0" w:color="auto"/>
        <w:bottom w:val="none" w:sz="0" w:space="0" w:color="auto"/>
        <w:right w:val="none" w:sz="0" w:space="0" w:color="auto"/>
      </w:divBdr>
    </w:div>
    <w:div w:id="21455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3:354:0001:0021:EN:PDF" TargetMode="External"/><Relationship Id="rId5" Type="http://schemas.openxmlformats.org/officeDocument/2006/relationships/settings" Target="settings.xml"/><Relationship Id="rId10" Type="http://schemas.openxmlformats.org/officeDocument/2006/relationships/hyperlink" Target="http://eur-lex.europa.eu/LexUriServ/LexUriServ.do?uri=OJ:L:2013:354:0022:0061:EN: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220541/green_book_comple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604A1-5DFE-4250-B7C1-C012913B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9381</Words>
  <Characters>53474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Impact Assessment</vt:lpstr>
    </vt:vector>
  </TitlesOfParts>
  <Company>Defra</Company>
  <LinksUpToDate>false</LinksUpToDate>
  <CharactersWithSpaces>62730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dc:title>
  <dc:creator>m130587</dc:creator>
  <cp:lastModifiedBy>m142195</cp:lastModifiedBy>
  <cp:revision>3</cp:revision>
  <cp:lastPrinted>2014-03-19T13:56:00Z</cp:lastPrinted>
  <dcterms:created xsi:type="dcterms:W3CDTF">2014-03-26T10:34:00Z</dcterms:created>
  <dcterms:modified xsi:type="dcterms:W3CDTF">2014-03-28T09:19:00Z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Final</vt:lpwstr>
  </property>
  <property fmtid="{D5CDD505-2E9C-101B-9397-08002B2CF9AE}" pid="4" name="_NewReviewCycle">
    <vt:lpwstr/>
  </property>
</Properties>
</file>