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1619"/>
        <w:gridCol w:w="2516"/>
        <w:gridCol w:w="1980"/>
        <w:gridCol w:w="2106"/>
        <w:gridCol w:w="12"/>
      </w:tblGrid>
      <w:tr w:rsidR="00B50649" w:rsidTr="00490F71">
        <w:trPr>
          <w:trHeight w:hRule="exact" w:val="2890"/>
        </w:trPr>
        <w:tc>
          <w:tcPr>
            <w:tcW w:w="6118" w:type="dxa"/>
            <w:gridSpan w:val="3"/>
            <w:tcBorders>
              <w:top w:val="single" w:sz="4" w:space="0" w:color="auto"/>
              <w:bottom w:val="single" w:sz="4" w:space="0" w:color="auto"/>
            </w:tcBorders>
            <w:shd w:val="clear" w:color="auto" w:fill="auto"/>
          </w:tcPr>
          <w:p w:rsidR="00463490" w:rsidRDefault="00495404" w:rsidP="00490F71">
            <w:pPr>
              <w:pStyle w:val="IAHeadLabel0"/>
              <w:spacing w:before="50"/>
              <w:ind w:left="113"/>
            </w:pPr>
            <w:bookmarkStart w:id="0" w:name="_GoBack"/>
            <w:bookmarkEnd w:id="0"/>
            <w:r w:rsidRPr="003E0510">
              <w:t>Title</w:t>
            </w:r>
            <w:r w:rsidR="00463490">
              <w:t>:</w:t>
            </w:r>
          </w:p>
          <w:p w:rsidR="007F0ED9" w:rsidRDefault="008B3DD6" w:rsidP="005F32E7">
            <w:pPr>
              <w:pStyle w:val="IATitle"/>
            </w:pPr>
            <w:bookmarkStart w:id="1" w:name="IATitle"/>
            <w:r>
              <w:t xml:space="preserve">Revision of </w:t>
            </w:r>
            <w:r w:rsidR="003D023A" w:rsidRPr="00102870">
              <w:fldChar w:fldCharType="begin">
                <w:ffData>
                  <w:name w:val="IATitle"/>
                  <w:enabled/>
                  <w:calcOnExit w:val="0"/>
                  <w:textInput>
                    <w:maxLength w:val="800"/>
                  </w:textInput>
                </w:ffData>
              </w:fldChar>
            </w:r>
            <w:r w:rsidR="004C1BBB" w:rsidRPr="005F32E7">
              <w:instrText xml:space="preserve"> FORMTEXT </w:instrText>
            </w:r>
            <w:r w:rsidR="003D023A" w:rsidRPr="00102870">
              <w:fldChar w:fldCharType="separate"/>
            </w:r>
            <w:r>
              <w:rPr>
                <w:rFonts w:eastAsia="Arial Unicode MS"/>
              </w:rPr>
              <w:t>B</w:t>
            </w:r>
            <w:r w:rsidR="00A27908" w:rsidRPr="00490F71">
              <w:rPr>
                <w:rFonts w:eastAsia="Arial Unicode MS"/>
              </w:rPr>
              <w:t xml:space="preserve">ulk Milk </w:t>
            </w:r>
            <w:r w:rsidR="0081274C">
              <w:rPr>
                <w:rFonts w:eastAsia="Arial Unicode MS"/>
              </w:rPr>
              <w:t>Tank</w:t>
            </w:r>
            <w:r>
              <w:rPr>
                <w:rFonts w:eastAsia="Arial Unicode MS"/>
              </w:rPr>
              <w:t xml:space="preserve"> Sampling/</w:t>
            </w:r>
            <w:r w:rsidR="00A27908" w:rsidRPr="00490F71">
              <w:rPr>
                <w:rFonts w:eastAsia="Arial Unicode MS"/>
              </w:rPr>
              <w:t xml:space="preserve">Testing </w:t>
            </w:r>
            <w:r w:rsidR="00476BAF">
              <w:rPr>
                <w:rFonts w:eastAsia="Arial Unicode MS"/>
              </w:rPr>
              <w:t>A</w:t>
            </w:r>
            <w:r>
              <w:rPr>
                <w:rFonts w:eastAsia="Arial Unicode MS"/>
              </w:rPr>
              <w:t xml:space="preserve">rrangements </w:t>
            </w:r>
            <w:r w:rsidR="00A27908" w:rsidRPr="00490F71">
              <w:rPr>
                <w:rFonts w:eastAsia="Arial Unicode MS"/>
              </w:rPr>
              <w:t xml:space="preserve">for </w:t>
            </w:r>
            <w:r w:rsidR="00A27908" w:rsidRPr="00DB35F3">
              <w:rPr>
                <w:rFonts w:eastAsia="Arial Unicode MS"/>
                <w:i/>
              </w:rPr>
              <w:t xml:space="preserve">Brucella </w:t>
            </w:r>
            <w:r w:rsidR="003B3840">
              <w:rPr>
                <w:rFonts w:eastAsia="Arial Unicode MS"/>
                <w:i/>
              </w:rPr>
              <w:t>a</w:t>
            </w:r>
            <w:r w:rsidRPr="00DB35F3">
              <w:rPr>
                <w:rFonts w:eastAsia="Arial Unicode MS"/>
                <w:i/>
              </w:rPr>
              <w:t>bortus</w:t>
            </w:r>
            <w:r w:rsidR="003D023A" w:rsidRPr="00102870">
              <w:fldChar w:fldCharType="end"/>
            </w:r>
            <w:bookmarkEnd w:id="1"/>
          </w:p>
          <w:p w:rsidR="008B3DD6" w:rsidRPr="00102870" w:rsidRDefault="008B3DD6" w:rsidP="005F32E7">
            <w:pPr>
              <w:pStyle w:val="IATitle"/>
            </w:pPr>
          </w:p>
          <w:p w:rsidR="00E14792" w:rsidRPr="008031EC" w:rsidRDefault="00D50283" w:rsidP="00490F71">
            <w:pPr>
              <w:pStyle w:val="IAHeadTitle"/>
              <w:ind w:left="113"/>
              <w:rPr>
                <w:rStyle w:val="IANoChar"/>
              </w:rPr>
            </w:pPr>
            <w:r w:rsidRPr="00490F71">
              <w:rPr>
                <w:sz w:val="20"/>
                <w:szCs w:val="20"/>
              </w:rPr>
              <w:t xml:space="preserve">IA No: </w:t>
            </w:r>
            <w:bookmarkStart w:id="2" w:name="IANo"/>
            <w:r w:rsidR="003D023A" w:rsidRPr="00490F71">
              <w:rPr>
                <w:rStyle w:val="IANoChar"/>
                <w:rFonts w:cs="Arial"/>
                <w:sz w:val="20"/>
                <w:szCs w:val="20"/>
              </w:rPr>
              <w:fldChar w:fldCharType="begin">
                <w:ffData>
                  <w:name w:val="IANo"/>
                  <w:enabled/>
                  <w:calcOnExit w:val="0"/>
                  <w:textInput>
                    <w:maxLength w:val="20"/>
                  </w:textInput>
                </w:ffData>
              </w:fldChar>
            </w:r>
            <w:r w:rsidR="00290335" w:rsidRPr="00490F71">
              <w:rPr>
                <w:rStyle w:val="IANoChar"/>
                <w:rFonts w:cs="Arial"/>
                <w:sz w:val="20"/>
                <w:szCs w:val="20"/>
              </w:rPr>
              <w:instrText xml:space="preserve"> FORMTEXT </w:instrText>
            </w:r>
            <w:r w:rsidR="003D023A" w:rsidRPr="00490F71">
              <w:rPr>
                <w:rStyle w:val="IANoChar"/>
                <w:rFonts w:cs="Arial"/>
                <w:sz w:val="20"/>
                <w:szCs w:val="20"/>
              </w:rPr>
            </w:r>
            <w:r w:rsidR="003D023A" w:rsidRPr="00490F71">
              <w:rPr>
                <w:rStyle w:val="IANoChar"/>
                <w:rFonts w:cs="Arial"/>
                <w:sz w:val="20"/>
                <w:szCs w:val="20"/>
              </w:rPr>
              <w:fldChar w:fldCharType="separate"/>
            </w:r>
            <w:r w:rsidR="00275C5C" w:rsidRPr="00490F71">
              <w:rPr>
                <w:rStyle w:val="IANoChar"/>
                <w:rFonts w:cs="Arial"/>
                <w:sz w:val="20"/>
                <w:szCs w:val="20"/>
              </w:rPr>
              <w:t>DEFRA 1318</w:t>
            </w:r>
            <w:r w:rsidR="003D023A" w:rsidRPr="00490F71">
              <w:rPr>
                <w:rStyle w:val="IANoChar"/>
                <w:rFonts w:cs="Arial"/>
                <w:sz w:val="20"/>
                <w:szCs w:val="20"/>
              </w:rPr>
              <w:fldChar w:fldCharType="end"/>
            </w:r>
            <w:bookmarkEnd w:id="2"/>
          </w:p>
          <w:p w:rsidR="00495404" w:rsidRDefault="00495404" w:rsidP="00490F71">
            <w:pPr>
              <w:pStyle w:val="IAHeadLabel"/>
              <w:ind w:left="113"/>
            </w:pPr>
            <w:r w:rsidRPr="003E0510">
              <w:t>Lead department or agency</w:t>
            </w:r>
            <w:r>
              <w:t>:</w:t>
            </w:r>
          </w:p>
          <w:bookmarkStart w:id="3" w:name="IALeadDept"/>
          <w:p w:rsidR="001D5EC9" w:rsidRPr="005F32E7" w:rsidRDefault="003D023A" w:rsidP="005F32E7">
            <w:pPr>
              <w:pStyle w:val="IALeadDept"/>
            </w:pPr>
            <w:r w:rsidRPr="005F32E7">
              <w:fldChar w:fldCharType="begin">
                <w:ffData>
                  <w:name w:val="IALeadDept"/>
                  <w:enabled/>
                  <w:calcOnExit w:val="0"/>
                  <w:textInput>
                    <w:maxLength w:val="100"/>
                  </w:textInput>
                </w:ffData>
              </w:fldChar>
            </w:r>
            <w:r w:rsidR="00290335" w:rsidRPr="005F32E7">
              <w:instrText xml:space="preserve"> FORMTEXT </w:instrText>
            </w:r>
            <w:r w:rsidRPr="005F32E7">
              <w:fldChar w:fldCharType="separate"/>
            </w:r>
            <w:r w:rsidR="00A27908">
              <w:t>Defra</w:t>
            </w:r>
            <w:r w:rsidRPr="005F32E7">
              <w:fldChar w:fldCharType="end"/>
            </w:r>
            <w:bookmarkEnd w:id="3"/>
          </w:p>
          <w:p w:rsidR="00DF2F4B" w:rsidRDefault="00495404" w:rsidP="00490F71">
            <w:pPr>
              <w:pStyle w:val="IATableLabel"/>
              <w:spacing w:after="0"/>
            </w:pPr>
            <w:r w:rsidRPr="003E0510">
              <w:t>Other dep</w:t>
            </w:r>
            <w:r w:rsidRPr="00E217A2">
              <w:t>a</w:t>
            </w:r>
            <w:r w:rsidRPr="003E0510">
              <w:t>rtments or agencies:</w:t>
            </w:r>
            <w:r w:rsidR="00DF2F4B">
              <w:t xml:space="preserve"> </w:t>
            </w:r>
          </w:p>
          <w:p w:rsidR="00287D21" w:rsidRDefault="00287D21" w:rsidP="00287D21">
            <w:pPr>
              <w:pStyle w:val="IAOtherDepts"/>
            </w:pPr>
            <w:r>
              <w:t xml:space="preserve">Welsh Government </w:t>
            </w:r>
          </w:p>
          <w:p w:rsidR="00B93466" w:rsidRDefault="007E7B9C" w:rsidP="00287D21">
            <w:pPr>
              <w:pStyle w:val="IAOtherDepts"/>
            </w:pPr>
            <w:r>
              <w:t>Animal Health and Veterinary Laboratories Agency (AHVLA)</w:t>
            </w:r>
            <w:r w:rsidR="00323955">
              <w:br/>
            </w:r>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rsidTr="00490F71">
              <w:trPr>
                <w:trHeight w:hRule="exact" w:val="539"/>
              </w:trPr>
              <w:tc>
                <w:tcPr>
                  <w:tcW w:w="4088" w:type="dxa"/>
                  <w:shd w:val="clear" w:color="auto" w:fill="333333"/>
                  <w:vAlign w:val="center"/>
                </w:tcPr>
                <w:p w:rsidR="00B50649" w:rsidRPr="00383295" w:rsidRDefault="00B50649" w:rsidP="00E90731">
                  <w:pPr>
                    <w:pStyle w:val="Title"/>
                  </w:pPr>
                  <w:r w:rsidRPr="00383295">
                    <w:t>Impact Assessment (IA)</w:t>
                  </w:r>
                </w:p>
              </w:tc>
            </w:tr>
            <w:tr w:rsidR="00B50649" w:rsidRPr="00966271" w:rsidTr="00490F71">
              <w:tc>
                <w:tcPr>
                  <w:tcW w:w="4088" w:type="dxa"/>
                  <w:shd w:val="clear" w:color="auto" w:fill="auto"/>
                </w:tcPr>
                <w:p w:rsidR="001F69E9" w:rsidRPr="00631B4C" w:rsidRDefault="00B50649" w:rsidP="00B73C03">
                  <w:pPr>
                    <w:pStyle w:val="IATableLabel"/>
                  </w:pPr>
                  <w:r w:rsidRPr="00631B4C">
                    <w:t>Date:</w:t>
                  </w:r>
                  <w:r w:rsidR="0071686F">
                    <w:t xml:space="preserve"> </w:t>
                  </w:r>
                  <w:r w:rsidR="00B73C03">
                    <w:t xml:space="preserve"> </w:t>
                  </w:r>
                  <w:r w:rsidR="00B73C03" w:rsidRPr="00B73C03">
                    <w:rPr>
                      <w:b w:val="0"/>
                    </w:rPr>
                    <w:t>May</w:t>
                  </w:r>
                  <w:r w:rsidR="00B73C03">
                    <w:t xml:space="preserve"> </w:t>
                  </w:r>
                  <w:r w:rsidR="0018397C">
                    <w:rPr>
                      <w:rStyle w:val="IADateChar"/>
                      <w:sz w:val="20"/>
                      <w:szCs w:val="20"/>
                    </w:rPr>
                    <w:t>2014</w:t>
                  </w:r>
                </w:p>
              </w:tc>
            </w:tr>
            <w:tr w:rsidR="00B50649" w:rsidRPr="00966271" w:rsidTr="00490F71">
              <w:tc>
                <w:tcPr>
                  <w:tcW w:w="4088" w:type="dxa"/>
                  <w:shd w:val="clear" w:color="auto" w:fill="auto"/>
                </w:tcPr>
                <w:p w:rsidR="00B50649" w:rsidRPr="007F0ED9" w:rsidRDefault="00941D69" w:rsidP="00E90731">
                  <w:pPr>
                    <w:pStyle w:val="IATableLabel"/>
                  </w:pPr>
                  <w:bookmarkStart w:id="4" w:name="Stage"/>
                  <w:r w:rsidRPr="007F0ED9">
                    <w:t xml:space="preserve">Stage: </w:t>
                  </w:r>
                  <w:r w:rsidR="003D023A" w:rsidRPr="00490F71">
                    <w:rPr>
                      <w:rStyle w:val="IAStageChar"/>
                      <w:sz w:val="20"/>
                    </w:rPr>
                    <w:fldChar w:fldCharType="begin"/>
                  </w:r>
                  <w:r w:rsidRPr="00490F71">
                    <w:rPr>
                      <w:rStyle w:val="IAStageChar"/>
                      <w:sz w:val="20"/>
                    </w:rPr>
                    <w:instrText xml:space="preserve"> DOCPROPERTY  Stage </w:instrText>
                  </w:r>
                  <w:r w:rsidR="003D023A" w:rsidRPr="00490F71">
                    <w:rPr>
                      <w:rStyle w:val="IAStageChar"/>
                      <w:sz w:val="20"/>
                    </w:rPr>
                    <w:fldChar w:fldCharType="separate"/>
                  </w:r>
                  <w:r w:rsidR="00EF0768" w:rsidRPr="00490F71">
                    <w:rPr>
                      <w:rStyle w:val="IAStageChar"/>
                      <w:sz w:val="20"/>
                    </w:rPr>
                    <w:t>Consultation</w:t>
                  </w:r>
                  <w:r w:rsidR="003D023A" w:rsidRPr="00490F71">
                    <w:rPr>
                      <w:rStyle w:val="IAStageChar"/>
                      <w:sz w:val="20"/>
                    </w:rPr>
                    <w:fldChar w:fldCharType="end"/>
                  </w:r>
                  <w:bookmarkEnd w:id="4"/>
                </w:p>
              </w:tc>
            </w:tr>
            <w:tr w:rsidR="00B50649" w:rsidRPr="00966271" w:rsidTr="00490F71">
              <w:tc>
                <w:tcPr>
                  <w:tcW w:w="4088" w:type="dxa"/>
                  <w:shd w:val="clear" w:color="auto" w:fill="auto"/>
                </w:tcPr>
                <w:p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5" w:name="IAInterSource"/>
                  <w:r w:rsidR="003D023A" w:rsidRPr="00490F71">
                    <w:rPr>
                      <w:rStyle w:val="IASOIChar"/>
                      <w:sz w:val="20"/>
                    </w:rPr>
                    <w:fldChar w:fldCharType="begin">
                      <w:ffData>
                        <w:name w:val="IAInterSource"/>
                        <w:enabled/>
                        <w:calcOnExit w:val="0"/>
                        <w:ddList>
                          <w:listEntry w:val="Domestic"/>
                          <w:listEntry w:val="EU"/>
                          <w:listEntry w:val="International"/>
                        </w:ddList>
                      </w:ffData>
                    </w:fldChar>
                  </w:r>
                  <w:r w:rsidR="00290335" w:rsidRPr="00490F71">
                    <w:rPr>
                      <w:rStyle w:val="IASOIChar"/>
                      <w:sz w:val="20"/>
                    </w:rPr>
                    <w:instrText xml:space="preserve"> FORMDROPDOWN </w:instrText>
                  </w:r>
                  <w:r w:rsidR="00403E13">
                    <w:rPr>
                      <w:rStyle w:val="IASOIChar"/>
                      <w:sz w:val="20"/>
                    </w:rPr>
                  </w:r>
                  <w:r w:rsidR="00403E13">
                    <w:rPr>
                      <w:rStyle w:val="IASOIChar"/>
                      <w:sz w:val="20"/>
                    </w:rPr>
                    <w:fldChar w:fldCharType="separate"/>
                  </w:r>
                  <w:r w:rsidR="003D023A" w:rsidRPr="00490F71">
                    <w:rPr>
                      <w:rStyle w:val="IASOIChar"/>
                      <w:sz w:val="20"/>
                    </w:rPr>
                    <w:fldChar w:fldCharType="end"/>
                  </w:r>
                  <w:bookmarkEnd w:id="5"/>
                </w:p>
              </w:tc>
            </w:tr>
            <w:tr w:rsidR="00052F44" w:rsidRPr="00490F71" w:rsidTr="00490F71">
              <w:tc>
                <w:tcPr>
                  <w:tcW w:w="4088" w:type="dxa"/>
                  <w:shd w:val="clear" w:color="auto" w:fill="auto"/>
                </w:tcPr>
                <w:p w:rsidR="00052F44" w:rsidRPr="00490F71" w:rsidRDefault="00052F44" w:rsidP="00E90731">
                  <w:pPr>
                    <w:pStyle w:val="IATableLabel"/>
                    <w:rPr>
                      <w:b w:val="0"/>
                    </w:rPr>
                  </w:pPr>
                  <w:r w:rsidRPr="007F0ED9">
                    <w:t xml:space="preserve">Type of measure: </w:t>
                  </w:r>
                  <w:bookmarkStart w:id="6" w:name="IAMeasureType"/>
                  <w:r w:rsidR="003D023A" w:rsidRPr="00490F71">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490F71">
                    <w:rPr>
                      <w:rStyle w:val="IATOMChar"/>
                      <w:sz w:val="20"/>
                    </w:rPr>
                    <w:instrText xml:space="preserve"> FORMDROPDOWN </w:instrText>
                  </w:r>
                  <w:r w:rsidR="00403E13">
                    <w:rPr>
                      <w:rStyle w:val="IATOMChar"/>
                      <w:sz w:val="20"/>
                    </w:rPr>
                  </w:r>
                  <w:r w:rsidR="00403E13">
                    <w:rPr>
                      <w:rStyle w:val="IATOMChar"/>
                      <w:sz w:val="20"/>
                    </w:rPr>
                    <w:fldChar w:fldCharType="separate"/>
                  </w:r>
                  <w:r w:rsidR="003D023A" w:rsidRPr="00490F71">
                    <w:rPr>
                      <w:rStyle w:val="IATOMChar"/>
                      <w:sz w:val="20"/>
                    </w:rPr>
                    <w:fldChar w:fldCharType="end"/>
                  </w:r>
                  <w:bookmarkEnd w:id="6"/>
                </w:p>
              </w:tc>
            </w:tr>
            <w:tr w:rsidR="00B50649" w:rsidRPr="00490F71" w:rsidTr="00490F71">
              <w:trPr>
                <w:trHeight w:val="1115"/>
              </w:trPr>
              <w:tc>
                <w:tcPr>
                  <w:tcW w:w="4088" w:type="dxa"/>
                  <w:shd w:val="clear" w:color="auto" w:fill="auto"/>
                </w:tcPr>
                <w:p w:rsidR="00A27908" w:rsidRPr="00490F71" w:rsidRDefault="00773719" w:rsidP="00490F71">
                  <w:pPr>
                    <w:ind w:left="113" w:right="113"/>
                    <w:rPr>
                      <w:rStyle w:val="IACOEChar"/>
                      <w:b w:val="0"/>
                      <w:sz w:val="20"/>
                    </w:rPr>
                  </w:pPr>
                  <w:r w:rsidRPr="00490F71">
                    <w:rPr>
                      <w:rStyle w:val="IATableLabelCharChar"/>
                      <w:sz w:val="20"/>
                      <w:szCs w:val="20"/>
                    </w:rPr>
                    <w:t>Contact for enquiries:</w:t>
                  </w:r>
                  <w:r w:rsidRPr="00D337D1">
                    <w:t xml:space="preserve"> </w:t>
                  </w:r>
                  <w:bookmarkStart w:id="7" w:name="IAEnquiryContacts"/>
                  <w:r w:rsidR="003D023A" w:rsidRPr="00490F71">
                    <w:rPr>
                      <w:rStyle w:val="IACOEChar"/>
                      <w:b w:val="0"/>
                      <w:sz w:val="20"/>
                    </w:rPr>
                    <w:fldChar w:fldCharType="begin">
                      <w:ffData>
                        <w:name w:val="IAEnquiryContacts"/>
                        <w:enabled/>
                        <w:calcOnExit w:val="0"/>
                        <w:textInput>
                          <w:maxLength w:val="200"/>
                        </w:textInput>
                      </w:ffData>
                    </w:fldChar>
                  </w:r>
                  <w:r w:rsidRPr="00490F71">
                    <w:rPr>
                      <w:rStyle w:val="IACOEChar"/>
                      <w:b w:val="0"/>
                      <w:sz w:val="20"/>
                    </w:rPr>
                    <w:instrText xml:space="preserve"> FORMTEXT </w:instrText>
                  </w:r>
                  <w:r w:rsidR="003D023A" w:rsidRPr="00490F71">
                    <w:rPr>
                      <w:rStyle w:val="IACOEChar"/>
                      <w:b w:val="0"/>
                      <w:sz w:val="20"/>
                    </w:rPr>
                  </w:r>
                  <w:r w:rsidR="003D023A" w:rsidRPr="00490F71">
                    <w:rPr>
                      <w:rStyle w:val="IACOEChar"/>
                      <w:b w:val="0"/>
                      <w:sz w:val="20"/>
                    </w:rPr>
                    <w:fldChar w:fldCharType="separate"/>
                  </w:r>
                </w:p>
                <w:p w:rsidR="00A27908" w:rsidRPr="00490F71" w:rsidRDefault="00A27908" w:rsidP="00490F71">
                  <w:pPr>
                    <w:ind w:left="113" w:right="113"/>
                    <w:rPr>
                      <w:rStyle w:val="IACOEChar"/>
                      <w:b w:val="0"/>
                      <w:sz w:val="20"/>
                    </w:rPr>
                  </w:pPr>
                  <w:r w:rsidRPr="00490F71">
                    <w:rPr>
                      <w:rStyle w:val="IACOEChar"/>
                      <w:b w:val="0"/>
                      <w:sz w:val="20"/>
                    </w:rPr>
                    <w:t>Gemma Daniels</w:t>
                  </w:r>
                </w:p>
                <w:p w:rsidR="00A27908" w:rsidRPr="00490F71" w:rsidRDefault="00A27908" w:rsidP="00490F71">
                  <w:pPr>
                    <w:ind w:left="113" w:right="113"/>
                    <w:rPr>
                      <w:rStyle w:val="IACOEChar"/>
                      <w:b w:val="0"/>
                      <w:sz w:val="20"/>
                    </w:rPr>
                  </w:pPr>
                  <w:r w:rsidRPr="00490F71">
                    <w:rPr>
                      <w:rStyle w:val="IACOEChar"/>
                      <w:b w:val="0"/>
                      <w:sz w:val="20"/>
                    </w:rPr>
                    <w:t>Tel: 020 7238 4443</w:t>
                  </w:r>
                </w:p>
                <w:p w:rsidR="00023080" w:rsidRPr="000F004E" w:rsidRDefault="00A27908" w:rsidP="00490F71">
                  <w:pPr>
                    <w:ind w:left="113" w:right="113"/>
                  </w:pPr>
                  <w:r w:rsidRPr="00490F71">
                    <w:rPr>
                      <w:rStyle w:val="IACOEChar"/>
                      <w:b w:val="0"/>
                      <w:sz w:val="20"/>
                    </w:rPr>
                    <w:t>gemma.daniels@defra.gsi.gov.uk</w:t>
                  </w:r>
                  <w:r w:rsidR="003D023A" w:rsidRPr="00490F71">
                    <w:rPr>
                      <w:rStyle w:val="IACOEChar"/>
                      <w:b w:val="0"/>
                      <w:sz w:val="20"/>
                    </w:rPr>
                    <w:fldChar w:fldCharType="end"/>
                  </w:r>
                  <w:bookmarkEnd w:id="7"/>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r w:rsidR="000C1D45" w:rsidRPr="00490F71" w:rsidTr="00490F71">
              <w:trPr>
                <w:trHeight w:val="1115"/>
              </w:trPr>
              <w:tc>
                <w:tcPr>
                  <w:tcW w:w="4088" w:type="dxa"/>
                  <w:shd w:val="clear" w:color="auto" w:fill="auto"/>
                </w:tcPr>
                <w:p w:rsidR="000C1D45" w:rsidRPr="00490F71" w:rsidRDefault="000C1D45" w:rsidP="00A32793">
                  <w:pPr>
                    <w:pStyle w:val="IATableLines"/>
                    <w:rPr>
                      <w:b/>
                      <w:color w:val="000000"/>
                      <w:sz w:val="20"/>
                    </w:rPr>
                  </w:pPr>
                </w:p>
              </w:tc>
            </w:tr>
          </w:tbl>
          <w:p w:rsidR="00B50649" w:rsidRPr="00490F71" w:rsidRDefault="00B50649">
            <w:pPr>
              <w:rPr>
                <w:rFonts w:eastAsia="SimSun"/>
              </w:rPr>
            </w:pPr>
          </w:p>
        </w:tc>
      </w:tr>
      <w:tr w:rsidR="000C1D45" w:rsidRPr="00490F71" w:rsidTr="00490F71">
        <w:trPr>
          <w:trHeight w:hRule="exact" w:val="410"/>
        </w:trPr>
        <w:tc>
          <w:tcPr>
            <w:tcW w:w="6118" w:type="dxa"/>
            <w:gridSpan w:val="3"/>
            <w:tcBorders>
              <w:top w:val="single" w:sz="4" w:space="0" w:color="auto"/>
              <w:left w:val="nil"/>
              <w:bottom w:val="single" w:sz="4" w:space="0" w:color="auto"/>
              <w:right w:val="single" w:sz="4" w:space="0" w:color="auto"/>
            </w:tcBorders>
            <w:shd w:val="clear" w:color="auto" w:fill="auto"/>
          </w:tcPr>
          <w:p w:rsidR="000C1D45" w:rsidRPr="00490F71" w:rsidRDefault="000C1D45" w:rsidP="00490F71">
            <w:pPr>
              <w:pStyle w:val="Heading1"/>
              <w:spacing w:before="60"/>
              <w:rPr>
                <w:rFonts w:eastAsia="SimSun" w:hint="eastAsia"/>
                <w:sz w:val="28"/>
                <w:szCs w:val="28"/>
              </w:rPr>
            </w:pPr>
            <w:r w:rsidRPr="00490F71">
              <w:rPr>
                <w:rFonts w:eastAsia="SimSun"/>
                <w:sz w:val="28"/>
                <w:szCs w:val="28"/>
              </w:rPr>
              <w:t xml:space="preserve">Summary: Intervention and Options </w:t>
            </w:r>
          </w:p>
          <w:p w:rsidR="000C1D45" w:rsidRPr="00490F71" w:rsidRDefault="000C1D45" w:rsidP="00490F71">
            <w:pPr>
              <w:pStyle w:val="IAHeadLabel0"/>
              <w:spacing w:before="50"/>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490F71" w:rsidRDefault="000C1D45" w:rsidP="00476BAF">
            <w:pPr>
              <w:pStyle w:val="Title"/>
              <w:rPr>
                <w:rFonts w:eastAsia="SimSun"/>
                <w:b/>
                <w:color w:val="auto"/>
                <w:sz w:val="24"/>
                <w:szCs w:val="24"/>
              </w:rPr>
            </w:pPr>
            <w:r w:rsidRPr="00490F71">
              <w:rPr>
                <w:rFonts w:eastAsia="SimSun"/>
                <w:b/>
                <w:color w:val="auto"/>
                <w:sz w:val="24"/>
                <w:szCs w:val="24"/>
              </w:rPr>
              <w:t>RPC</w:t>
            </w:r>
            <w:r w:rsidR="00EC6B93" w:rsidRPr="00490F71">
              <w:rPr>
                <w:rFonts w:eastAsia="SimSun"/>
                <w:b/>
                <w:color w:val="auto"/>
                <w:sz w:val="24"/>
                <w:szCs w:val="24"/>
              </w:rPr>
              <w:t xml:space="preserve"> Opinion</w:t>
            </w:r>
            <w:r w:rsidRPr="00490F71">
              <w:rPr>
                <w:rFonts w:eastAsia="SimSun"/>
                <w:b/>
                <w:color w:val="auto"/>
                <w:sz w:val="24"/>
                <w:szCs w:val="24"/>
              </w:rPr>
              <w:t xml:space="preserve">: </w:t>
            </w:r>
            <w:r w:rsidR="00476BAF">
              <w:rPr>
                <w:rStyle w:val="IARPCChar"/>
              </w:rPr>
              <w:fldChar w:fldCharType="begin">
                <w:ffData>
                  <w:name w:val="IARPC"/>
                  <w:enabled/>
                  <w:calcOnExit w:val="0"/>
                  <w:ddList>
                    <w:listEntry w:val="GREEN"/>
                  </w:ddList>
                </w:ffData>
              </w:fldChar>
            </w:r>
            <w:bookmarkStart w:id="8" w:name="IARPC"/>
            <w:r w:rsidR="00476BAF">
              <w:rPr>
                <w:rStyle w:val="IARPCChar"/>
              </w:rPr>
              <w:instrText xml:space="preserve"> FORMDROPDOWN </w:instrText>
            </w:r>
            <w:r w:rsidR="00403E13">
              <w:rPr>
                <w:rStyle w:val="IARPCChar"/>
              </w:rPr>
            </w:r>
            <w:r w:rsidR="00403E13">
              <w:rPr>
                <w:rStyle w:val="IARPCChar"/>
              </w:rPr>
              <w:fldChar w:fldCharType="separate"/>
            </w:r>
            <w:r w:rsidR="00476BAF">
              <w:rPr>
                <w:rStyle w:val="IARPCChar"/>
              </w:rPr>
              <w:fldChar w:fldCharType="end"/>
            </w:r>
            <w:bookmarkEnd w:id="8"/>
          </w:p>
        </w:tc>
      </w:tr>
      <w:tr w:rsidR="00372A69" w:rsidRPr="00490F71" w:rsidTr="00490F71">
        <w:trPr>
          <w:trHeight w:hRule="exact" w:val="90"/>
        </w:trPr>
        <w:tc>
          <w:tcPr>
            <w:tcW w:w="10216" w:type="dxa"/>
            <w:gridSpan w:val="6"/>
            <w:tcBorders>
              <w:top w:val="single" w:sz="4" w:space="0" w:color="auto"/>
              <w:left w:val="nil"/>
              <w:bottom w:val="nil"/>
              <w:right w:val="single" w:sz="4" w:space="0" w:color="auto"/>
            </w:tcBorders>
            <w:shd w:val="clear" w:color="auto" w:fill="auto"/>
          </w:tcPr>
          <w:p w:rsidR="00372A69" w:rsidRPr="00490F71" w:rsidRDefault="00372A69" w:rsidP="00372A69">
            <w:pPr>
              <w:rPr>
                <w:rFonts w:eastAsia="SimSun"/>
              </w:rPr>
            </w:pPr>
          </w:p>
        </w:tc>
      </w:tr>
      <w:tr w:rsidR="00372A69" w:rsidRPr="000E02BE" w:rsidTr="000E452D">
        <w:tblPrEx>
          <w:tblBorders>
            <w:insideV w:val="none" w:sz="0" w:space="0" w:color="auto"/>
          </w:tblBorders>
          <w:shd w:val="clear" w:color="auto" w:fill="E0E0E0"/>
        </w:tblPrEx>
        <w:trPr>
          <w:gridAfter w:val="1"/>
          <w:wAfter w:w="12" w:type="dxa"/>
          <w:trHeight w:hRule="exact" w:val="312"/>
        </w:trPr>
        <w:tc>
          <w:tcPr>
            <w:tcW w:w="10207" w:type="dxa"/>
            <w:gridSpan w:val="5"/>
            <w:tcBorders>
              <w:top w:val="single" w:sz="4" w:space="0" w:color="auto"/>
              <w:bottom w:val="nil"/>
              <w:right w:val="single" w:sz="4" w:space="0" w:color="auto"/>
            </w:tcBorders>
            <w:shd w:val="clear" w:color="auto" w:fill="E0E0E0"/>
          </w:tcPr>
          <w:p w:rsidR="00372A69" w:rsidRPr="000E02BE" w:rsidRDefault="00372A69" w:rsidP="006A0557">
            <w:pPr>
              <w:pStyle w:val="IATableLabel"/>
              <w:ind w:left="0"/>
              <w:jc w:val="center"/>
            </w:pPr>
            <w:bookmarkStart w:id="9" w:name="CostText"/>
            <w:r>
              <w:t>Cost of Preferred (or more likely) Option</w:t>
            </w:r>
            <w:bookmarkEnd w:id="9"/>
          </w:p>
        </w:tc>
      </w:tr>
      <w:tr w:rsidR="00372A69" w:rsidRPr="000E02BE" w:rsidTr="000E452D">
        <w:tblPrEx>
          <w:tblBorders>
            <w:insideV w:val="none" w:sz="0" w:space="0" w:color="auto"/>
          </w:tblBorders>
          <w:shd w:val="clear" w:color="auto" w:fill="E0E0E0"/>
        </w:tblPrEx>
        <w:trPr>
          <w:gridAfter w:val="1"/>
          <w:wAfter w:w="12" w:type="dxa"/>
          <w:trHeight w:hRule="exact" w:val="571"/>
        </w:trPr>
        <w:tc>
          <w:tcPr>
            <w:tcW w:w="198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rsidR="00372A69" w:rsidRPr="000E02BE" w:rsidRDefault="00372A69" w:rsidP="006A0557">
            <w:pPr>
              <w:pStyle w:val="IATableLabel"/>
              <w:spacing w:before="0" w:after="0"/>
            </w:pPr>
            <w:r w:rsidRPr="000E02BE">
              <w:t xml:space="preserve">In scope of </w:t>
            </w:r>
            <w:r>
              <w:t>On</w:t>
            </w:r>
            <w:r w:rsidR="00290335">
              <w:t>e</w:t>
            </w:r>
            <w:r w:rsidR="00DB214B">
              <w:t>-In, Two</w:t>
            </w:r>
            <w:r>
              <w:t>-Out</w:t>
            </w:r>
            <w:r w:rsidRPr="000E02BE">
              <w:t>?</w:t>
            </w:r>
          </w:p>
        </w:tc>
        <w:tc>
          <w:tcPr>
            <w:tcW w:w="2106" w:type="dxa"/>
            <w:tcBorders>
              <w:top w:val="single" w:sz="4" w:space="0" w:color="auto"/>
              <w:left w:val="nil"/>
              <w:bottom w:val="nil"/>
              <w:right w:val="single" w:sz="4" w:space="0" w:color="auto"/>
            </w:tcBorders>
            <w:shd w:val="clear" w:color="auto" w:fill="E0E0E0"/>
            <w:vAlign w:val="center"/>
          </w:tcPr>
          <w:p w:rsidR="00372A69" w:rsidRDefault="00372A69" w:rsidP="006A0557">
            <w:pPr>
              <w:pStyle w:val="IATableLabel"/>
              <w:spacing w:before="0" w:after="0"/>
              <w:ind w:left="0"/>
            </w:pPr>
            <w:r w:rsidRPr="000E02BE">
              <w:t>Measure qualifies as</w:t>
            </w:r>
          </w:p>
          <w:p w:rsidR="00463490" w:rsidRPr="000E02BE" w:rsidRDefault="00463490" w:rsidP="006A0557">
            <w:pPr>
              <w:pStyle w:val="IATableLabel"/>
              <w:spacing w:before="0" w:after="0"/>
              <w:ind w:left="0"/>
            </w:pPr>
          </w:p>
        </w:tc>
      </w:tr>
      <w:tr w:rsidR="00372A69" w:rsidRPr="0061761A" w:rsidTr="000E452D">
        <w:tblPrEx>
          <w:tblBorders>
            <w:insideV w:val="none" w:sz="0" w:space="0" w:color="auto"/>
          </w:tblBorders>
          <w:shd w:val="clear" w:color="auto" w:fill="E0E0E0"/>
        </w:tblPrEx>
        <w:trPr>
          <w:gridAfter w:val="1"/>
          <w:wAfter w:w="12" w:type="dxa"/>
          <w:trHeight w:hRule="exact" w:val="340"/>
        </w:trPr>
        <w:tc>
          <w:tcPr>
            <w:tcW w:w="1986" w:type="dxa"/>
            <w:tcBorders>
              <w:top w:val="nil"/>
              <w:bottom w:val="single" w:sz="4" w:space="0" w:color="auto"/>
              <w:right w:val="single" w:sz="4" w:space="0" w:color="auto"/>
            </w:tcBorders>
            <w:shd w:val="clear" w:color="auto" w:fill="E0E0E0"/>
            <w:vAlign w:val="center"/>
          </w:tcPr>
          <w:p w:rsidR="00372A69" w:rsidRPr="000E02BE" w:rsidRDefault="00C90407" w:rsidP="00B417D0">
            <w:pPr>
              <w:pStyle w:val="IAIIOTNPV"/>
            </w:pPr>
            <w:r>
              <w:t>£</w:t>
            </w:r>
            <w:r w:rsidR="00B417D0">
              <w:t>4.424</w:t>
            </w:r>
            <w:r>
              <w:t>m</w:t>
            </w:r>
          </w:p>
        </w:tc>
        <w:tc>
          <w:tcPr>
            <w:tcW w:w="1619" w:type="dxa"/>
            <w:tcBorders>
              <w:top w:val="nil"/>
              <w:bottom w:val="single" w:sz="4" w:space="0" w:color="auto"/>
              <w:right w:val="single" w:sz="4" w:space="0" w:color="auto"/>
            </w:tcBorders>
            <w:shd w:val="clear" w:color="auto" w:fill="E0E0E0"/>
            <w:vAlign w:val="center"/>
          </w:tcPr>
          <w:p w:rsidR="00372A69" w:rsidRPr="000E02BE" w:rsidRDefault="00C90407" w:rsidP="00B417D0">
            <w:pPr>
              <w:pStyle w:val="IAIOBNPV"/>
            </w:pPr>
            <w:r>
              <w:t>£</w:t>
            </w:r>
            <w:r w:rsidR="00192519">
              <w:t>0.</w:t>
            </w:r>
            <w:r w:rsidR="00B417D0">
              <w:t>740</w:t>
            </w:r>
            <w:r w:rsidR="00192519">
              <w:t>m</w:t>
            </w:r>
          </w:p>
        </w:tc>
        <w:tc>
          <w:tcPr>
            <w:tcW w:w="2516" w:type="dxa"/>
            <w:tcBorders>
              <w:top w:val="nil"/>
              <w:bottom w:val="single" w:sz="4" w:space="0" w:color="auto"/>
              <w:right w:val="single" w:sz="4" w:space="0" w:color="auto"/>
            </w:tcBorders>
            <w:shd w:val="clear" w:color="auto" w:fill="E0E0E0"/>
            <w:vAlign w:val="center"/>
          </w:tcPr>
          <w:p w:rsidR="00372A69" w:rsidRPr="000E02BE" w:rsidRDefault="00C90407" w:rsidP="00476BAF">
            <w:pPr>
              <w:pStyle w:val="IAIONCTBPY"/>
            </w:pPr>
            <w:r>
              <w:t>-£</w:t>
            </w:r>
            <w:r w:rsidR="00BA3FB2">
              <w:t>0.</w:t>
            </w:r>
            <w:r w:rsidR="00B417D0">
              <w:t>0</w:t>
            </w:r>
            <w:r w:rsidR="00476BAF">
              <w:t>86</w:t>
            </w:r>
            <w:r w:rsidR="00B417D0">
              <w:t>m</w:t>
            </w:r>
          </w:p>
        </w:tc>
        <w:tc>
          <w:tcPr>
            <w:tcW w:w="1980"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505EF8" w:rsidP="008369A3">
            <w:pPr>
              <w:pStyle w:val="IAIOInScopeInOut"/>
            </w:pPr>
            <w:r>
              <w:t>Yes</w:t>
            </w:r>
          </w:p>
        </w:tc>
        <w:tc>
          <w:tcPr>
            <w:tcW w:w="2106"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505EF8" w:rsidP="008369A3">
            <w:pPr>
              <w:pStyle w:val="IAIOPrefMQ"/>
            </w:pPr>
            <w:r>
              <w:t>Out</w:t>
            </w:r>
          </w:p>
        </w:tc>
      </w:tr>
      <w:tr w:rsidR="007208D9" w:rsidRPr="00826F71" w:rsidTr="00BF4F20">
        <w:trPr>
          <w:gridAfter w:val="1"/>
          <w:wAfter w:w="12" w:type="dxa"/>
          <w:trHeight w:hRule="exact" w:val="2334"/>
        </w:trPr>
        <w:tc>
          <w:tcPr>
            <w:tcW w:w="10207" w:type="dxa"/>
            <w:gridSpan w:val="5"/>
            <w:tcBorders>
              <w:top w:val="single" w:sz="4" w:space="0" w:color="auto"/>
              <w:left w:val="single" w:sz="4" w:space="0" w:color="auto"/>
              <w:bottom w:val="single" w:sz="4" w:space="0" w:color="auto"/>
              <w:right w:val="single" w:sz="4" w:space="0" w:color="auto"/>
            </w:tcBorders>
          </w:tcPr>
          <w:p w:rsidR="007208D9" w:rsidRPr="00EA0B74" w:rsidRDefault="00EF0768" w:rsidP="008369A3">
            <w:pPr>
              <w:pStyle w:val="IAIOQ1"/>
            </w:pPr>
            <w:bookmarkStart w:id="10" w:name="Summary1"/>
            <w:r>
              <w:t>What is the problem under consideration? Why is government intervention necessary?</w:t>
            </w:r>
            <w:bookmarkEnd w:id="10"/>
          </w:p>
          <w:p w:rsidR="00E75380" w:rsidRPr="00C120C0" w:rsidRDefault="00FA0AA1" w:rsidP="00B73C03">
            <w:pPr>
              <w:pStyle w:val="IATableLines"/>
            </w:pPr>
            <w:bookmarkStart w:id="11" w:name="IAIOA1"/>
            <w:r w:rsidRPr="00476BAF">
              <w:rPr>
                <w:i/>
              </w:rPr>
              <w:t>Brucella</w:t>
            </w:r>
            <w:r w:rsidR="003B3840">
              <w:rPr>
                <w:i/>
              </w:rPr>
              <w:t xml:space="preserve"> a</w:t>
            </w:r>
            <w:r w:rsidR="00476BAF">
              <w:rPr>
                <w:i/>
              </w:rPr>
              <w:t>bortus</w:t>
            </w:r>
            <w:r>
              <w:t xml:space="preserve"> is a notifiable zoonotic disease </w:t>
            </w:r>
            <w:r w:rsidR="003B3840">
              <w:t>that</w:t>
            </w:r>
            <w:r>
              <w:t xml:space="preserve"> causes abortion or premature calving in cattle and the ‘flu’ like disease ‘undulant fever’ in humans. </w:t>
            </w:r>
            <w:r w:rsidR="0014364C">
              <w:t xml:space="preserve">Great Britain has been officially brucellosis free since the 1980’s. Disease freedom is a public good and the spread of infectious disease is a negative externality </w:t>
            </w:r>
            <w:r w:rsidR="00FA0181">
              <w:t xml:space="preserve">that </w:t>
            </w:r>
            <w:r w:rsidR="0014364C">
              <w:t xml:space="preserve">can impose costs on unwitting third parties. To check that the disease has not been re-introduced there is a national surveillance programme which seeks to discover if there is any disease present in the national herd. </w:t>
            </w:r>
            <w:r w:rsidR="003D023A">
              <w:fldChar w:fldCharType="begin">
                <w:ffData>
                  <w:name w:val="IAIOA1"/>
                  <w:enabled/>
                  <w:calcOnExit w:val="0"/>
                  <w:textInput>
                    <w:default w:val="Maximum of 7 lines"/>
                    <w:maxLength w:val="800"/>
                  </w:textInput>
                </w:ffData>
              </w:fldChar>
            </w:r>
            <w:r w:rsidR="008369A3">
              <w:instrText xml:space="preserve"> FORMTEXT </w:instrText>
            </w:r>
            <w:r w:rsidR="003D023A">
              <w:fldChar w:fldCharType="separate"/>
            </w:r>
            <w:r w:rsidR="00A27908" w:rsidRPr="00A27908">
              <w:t>A review of th</w:t>
            </w:r>
            <w:r w:rsidR="0014364C">
              <w:t xml:space="preserve">is </w:t>
            </w:r>
            <w:r w:rsidR="00A27908" w:rsidRPr="00A27908">
              <w:t xml:space="preserve">surveillance programme </w:t>
            </w:r>
            <w:r w:rsidR="0014364C">
              <w:t xml:space="preserve">identified some costs to industry and government associated with the current regime that could be reduced without unduly jeopardising disease free status. </w:t>
            </w:r>
            <w:r w:rsidR="00A27908" w:rsidRPr="00A27908">
              <w:t xml:space="preserve">     </w:t>
            </w:r>
            <w:r w:rsidR="00A27908">
              <w:t> </w:t>
            </w:r>
            <w:r w:rsidR="00A27908">
              <w:t> </w:t>
            </w:r>
            <w:r w:rsidR="00A27908">
              <w:t> </w:t>
            </w:r>
            <w:r w:rsidR="00A27908">
              <w:t> </w:t>
            </w:r>
            <w:r w:rsidR="00A27908">
              <w:t> </w:t>
            </w:r>
            <w:r w:rsidR="003D023A">
              <w:fldChar w:fldCharType="end"/>
            </w:r>
            <w:bookmarkEnd w:id="11"/>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547754" w:rsidTr="00BF4F20">
        <w:trPr>
          <w:trHeight w:hRule="exact" w:val="1916"/>
        </w:trPr>
        <w:tc>
          <w:tcPr>
            <w:tcW w:w="10214" w:type="dxa"/>
          </w:tcPr>
          <w:p w:rsidR="007208D9" w:rsidRPr="00547754" w:rsidRDefault="00EF0768" w:rsidP="008369A3">
            <w:pPr>
              <w:pStyle w:val="IAIOQ2"/>
              <w:rPr>
                <w:sz w:val="22"/>
                <w:szCs w:val="22"/>
              </w:rPr>
            </w:pPr>
            <w:bookmarkStart w:id="12" w:name="Summary2"/>
            <w:r w:rsidRPr="00547754">
              <w:rPr>
                <w:sz w:val="22"/>
                <w:szCs w:val="22"/>
              </w:rPr>
              <w:t>What are the policy objectives and the intended effects?</w:t>
            </w:r>
            <w:bookmarkEnd w:id="12"/>
          </w:p>
          <w:p w:rsidR="00547754" w:rsidRPr="00547754" w:rsidRDefault="00547754" w:rsidP="00547754">
            <w:pPr>
              <w:ind w:left="147" w:hanging="147"/>
              <w:rPr>
                <w:sz w:val="22"/>
                <w:szCs w:val="22"/>
              </w:rPr>
            </w:pPr>
            <w:r>
              <w:rPr>
                <w:sz w:val="22"/>
                <w:szCs w:val="22"/>
              </w:rPr>
              <w:t xml:space="preserve">  </w:t>
            </w:r>
            <w:r w:rsidR="002E1736">
              <w:rPr>
                <w:sz w:val="22"/>
                <w:szCs w:val="22"/>
              </w:rPr>
              <w:t>This de-regulatory proposal will result in a</w:t>
            </w:r>
            <w:r w:rsidRPr="00547754">
              <w:rPr>
                <w:sz w:val="22"/>
                <w:szCs w:val="22"/>
              </w:rPr>
              <w:t xml:space="preserve"> more cost-effective and proportionate surveillance programme that remains robust enough to detect and control any re-emergence of the disease. </w:t>
            </w:r>
            <w:r w:rsidR="00301FE3">
              <w:rPr>
                <w:sz w:val="22"/>
                <w:szCs w:val="22"/>
              </w:rPr>
              <w:t>T</w:t>
            </w:r>
            <w:r w:rsidRPr="00547754">
              <w:rPr>
                <w:sz w:val="22"/>
                <w:szCs w:val="22"/>
              </w:rPr>
              <w:t xml:space="preserve">his will result in </w:t>
            </w:r>
            <w:r>
              <w:rPr>
                <w:sz w:val="22"/>
                <w:szCs w:val="22"/>
              </w:rPr>
              <w:t xml:space="preserve">cost </w:t>
            </w:r>
            <w:r w:rsidRPr="00547754">
              <w:rPr>
                <w:sz w:val="22"/>
                <w:szCs w:val="22"/>
              </w:rPr>
              <w:t>reduction</w:t>
            </w:r>
            <w:r w:rsidR="00DD7C99">
              <w:rPr>
                <w:sz w:val="22"/>
                <w:szCs w:val="22"/>
              </w:rPr>
              <w:t>s</w:t>
            </w:r>
            <w:r w:rsidR="0014364C">
              <w:rPr>
                <w:sz w:val="22"/>
                <w:szCs w:val="22"/>
              </w:rPr>
              <w:t xml:space="preserve"> and other benefits</w:t>
            </w:r>
            <w:r w:rsidRPr="00547754">
              <w:rPr>
                <w:sz w:val="22"/>
                <w:szCs w:val="22"/>
              </w:rPr>
              <w:t xml:space="preserve"> to affected businesses</w:t>
            </w:r>
            <w:r w:rsidR="0014364C">
              <w:rPr>
                <w:sz w:val="22"/>
                <w:szCs w:val="22"/>
              </w:rPr>
              <w:t xml:space="preserve"> and government</w:t>
            </w:r>
            <w:r w:rsidRPr="00547754">
              <w:rPr>
                <w:sz w:val="22"/>
                <w:szCs w:val="22"/>
              </w:rPr>
              <w:t xml:space="preserve">. Alongside bulk milk </w:t>
            </w:r>
            <w:r w:rsidR="0096325E">
              <w:rPr>
                <w:sz w:val="22"/>
                <w:szCs w:val="22"/>
              </w:rPr>
              <w:t>tank testing, surveillance for b</w:t>
            </w:r>
            <w:r w:rsidRPr="00547754">
              <w:rPr>
                <w:sz w:val="22"/>
                <w:szCs w:val="22"/>
              </w:rPr>
              <w:t xml:space="preserve">rucellosis will continue to include post import inspections and investigations of reported abortions in </w:t>
            </w:r>
            <w:r w:rsidR="00734B42">
              <w:rPr>
                <w:sz w:val="22"/>
                <w:szCs w:val="22"/>
              </w:rPr>
              <w:t>target categor</w:t>
            </w:r>
            <w:r w:rsidR="003B3840">
              <w:rPr>
                <w:sz w:val="22"/>
                <w:szCs w:val="22"/>
              </w:rPr>
              <w:t>ies</w:t>
            </w:r>
            <w:r w:rsidR="00734B42">
              <w:rPr>
                <w:sz w:val="22"/>
                <w:szCs w:val="22"/>
              </w:rPr>
              <w:t xml:space="preserve"> of </w:t>
            </w:r>
            <w:r w:rsidRPr="00547754">
              <w:rPr>
                <w:sz w:val="22"/>
                <w:szCs w:val="22"/>
              </w:rPr>
              <w:t xml:space="preserve">cattle. </w:t>
            </w:r>
          </w:p>
          <w:p w:rsidR="00E75380" w:rsidRPr="00547754" w:rsidRDefault="00E75380" w:rsidP="00F60297">
            <w:pPr>
              <w:pStyle w:val="IATableLines"/>
              <w:rPr>
                <w:szCs w:val="22"/>
              </w:rPr>
            </w:pPr>
          </w:p>
        </w:tc>
      </w:tr>
    </w:tbl>
    <w:p w:rsidR="007208D9" w:rsidRPr="00547754" w:rsidRDefault="007208D9" w:rsidP="007208D9">
      <w:pPr>
        <w:pStyle w:val="IASpacer"/>
        <w:rPr>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rsidTr="00E75380">
        <w:trPr>
          <w:trHeight w:hRule="exact" w:val="3179"/>
        </w:trPr>
        <w:tc>
          <w:tcPr>
            <w:tcW w:w="9648" w:type="dxa"/>
          </w:tcPr>
          <w:p w:rsidR="00A27908" w:rsidRPr="00F60297" w:rsidRDefault="00686F5E" w:rsidP="00AB1258">
            <w:pPr>
              <w:pStyle w:val="IAIOQ3"/>
            </w:pPr>
            <w:bookmarkStart w:id="13" w:name="IAIOQ3"/>
            <w:bookmarkStart w:id="14" w:name="Summary3"/>
            <w:r>
              <w:t>What policy options have been considered</w:t>
            </w:r>
            <w:r w:rsidR="005D6EA8">
              <w:t>, including any alternatives to regulation</w:t>
            </w:r>
            <w:r>
              <w:t>? Please justify preferred option (further details in Evidence Base)</w:t>
            </w:r>
            <w:bookmarkStart w:id="15" w:name="IAIOA3"/>
            <w:bookmarkEnd w:id="13"/>
            <w:r w:rsidR="003D023A">
              <w:fldChar w:fldCharType="begin">
                <w:ffData>
                  <w:name w:val="IAIOA3"/>
                  <w:enabled/>
                  <w:calcOnExit w:val="0"/>
                  <w:textInput>
                    <w:default w:val="Maximum of 10 lines"/>
                    <w:maxLength w:val="1100"/>
                  </w:textInput>
                </w:ffData>
              </w:fldChar>
            </w:r>
            <w:r w:rsidR="008369A3">
              <w:instrText xml:space="preserve"> FORMTEXT </w:instrText>
            </w:r>
            <w:r w:rsidR="003D023A">
              <w:fldChar w:fldCharType="separate"/>
            </w:r>
          </w:p>
          <w:p w:rsidR="00A27908" w:rsidRPr="00F60297" w:rsidRDefault="00A27908" w:rsidP="00A27908">
            <w:pPr>
              <w:pStyle w:val="IATableLines"/>
            </w:pPr>
            <w:r w:rsidRPr="00F60297">
              <w:t>Option 1</w:t>
            </w:r>
            <w:r w:rsidR="00AD65F8" w:rsidRPr="00F60297">
              <w:t xml:space="preserve">: </w:t>
            </w:r>
            <w:r w:rsidR="0014364C">
              <w:t>R</w:t>
            </w:r>
            <w:r w:rsidRPr="00F60297">
              <w:t>educ</w:t>
            </w:r>
            <w:r w:rsidR="00AD65F8" w:rsidRPr="00F60297">
              <w:t>e the</w:t>
            </w:r>
            <w:r w:rsidRPr="00F60297">
              <w:t xml:space="preserve"> frequency of sampling</w:t>
            </w:r>
            <w:r w:rsidR="0014364C">
              <w:t xml:space="preserve"> bulk milk tanks from monthly to quarterly</w:t>
            </w:r>
            <w:r w:rsidR="00F649B7">
              <w:t xml:space="preserve"> for the whole industry</w:t>
            </w:r>
            <w:r w:rsidRPr="00F60297">
              <w:t xml:space="preserve"> </w:t>
            </w:r>
            <w:r w:rsidR="00586BBC">
              <w:t xml:space="preserve">(milk purchasers and producer </w:t>
            </w:r>
            <w:r w:rsidR="00983A60">
              <w:t xml:space="preserve">retailers) </w:t>
            </w:r>
            <w:r w:rsidRPr="00F60297">
              <w:t>and require producer</w:t>
            </w:r>
            <w:r w:rsidR="00586BBC">
              <w:t xml:space="preserve"> </w:t>
            </w:r>
            <w:r w:rsidRPr="00F60297">
              <w:t xml:space="preserve">retailers to submit </w:t>
            </w:r>
            <w:r w:rsidR="00E80837">
              <w:t>three</w:t>
            </w:r>
            <w:r w:rsidRPr="00F60297">
              <w:t xml:space="preserve"> bulk </w:t>
            </w:r>
            <w:r w:rsidR="0014364C">
              <w:t xml:space="preserve">tank </w:t>
            </w:r>
            <w:r w:rsidRPr="00F60297">
              <w:t>milk samples</w:t>
            </w:r>
            <w:r w:rsidR="00E80837">
              <w:t xml:space="preserve"> a year</w:t>
            </w:r>
            <w:r w:rsidR="0014364C">
              <w:t xml:space="preserve"> by post</w:t>
            </w:r>
            <w:r w:rsidRPr="00F60297">
              <w:t>.</w:t>
            </w:r>
            <w:r w:rsidR="00E80837">
              <w:t xml:space="preserve"> AHVLA continue to collect a fourth sample </w:t>
            </w:r>
            <w:r w:rsidR="00F649B7">
              <w:t>from producer</w:t>
            </w:r>
            <w:r w:rsidR="00586BBC">
              <w:t xml:space="preserve"> </w:t>
            </w:r>
            <w:r w:rsidR="00F649B7">
              <w:t xml:space="preserve">retailers </w:t>
            </w:r>
            <w:r w:rsidR="00E80837">
              <w:t xml:space="preserve">for </w:t>
            </w:r>
            <w:r w:rsidR="00F649B7">
              <w:t xml:space="preserve">audit purposes, in light of </w:t>
            </w:r>
            <w:r w:rsidR="00AB1258">
              <w:t xml:space="preserve">higher </w:t>
            </w:r>
            <w:r w:rsidR="00E80837">
              <w:t xml:space="preserve">risk to public health </w:t>
            </w:r>
            <w:r w:rsidR="00F649B7">
              <w:t xml:space="preserve">from </w:t>
            </w:r>
            <w:r w:rsidR="00E80837">
              <w:t>raw milk/milk products.</w:t>
            </w:r>
            <w:r w:rsidR="001C2176" w:rsidRPr="00F60297">
              <w:t xml:space="preserve"> </w:t>
            </w:r>
          </w:p>
          <w:p w:rsidR="00A27908" w:rsidRDefault="00A27908" w:rsidP="00A27908">
            <w:pPr>
              <w:pStyle w:val="IATableLines"/>
            </w:pPr>
            <w:r w:rsidRPr="00F60297">
              <w:t xml:space="preserve">Option 2: Cease bulk milk </w:t>
            </w:r>
            <w:r w:rsidR="0014364C">
              <w:t xml:space="preserve">tank </w:t>
            </w:r>
            <w:r w:rsidRPr="00F60297">
              <w:t>testing for Brucella entirely.</w:t>
            </w:r>
          </w:p>
          <w:p w:rsidR="00D50283" w:rsidRPr="00C120C0" w:rsidRDefault="00A27908" w:rsidP="003B3840">
            <w:pPr>
              <w:pStyle w:val="IATableLines"/>
            </w:pPr>
            <w:r w:rsidRPr="00F60297">
              <w:t xml:space="preserve">Option 1 is </w:t>
            </w:r>
            <w:r w:rsidR="00E50129">
              <w:t>the</w:t>
            </w:r>
            <w:r w:rsidRPr="00F60297">
              <w:t xml:space="preserve"> preferred option.</w:t>
            </w:r>
            <w:r w:rsidR="00AB1258">
              <w:t xml:space="preserve"> Reducing the frequency of bulk milk</w:t>
            </w:r>
            <w:r w:rsidR="00476BAF">
              <w:t xml:space="preserve"> tank</w:t>
            </w:r>
            <w:r w:rsidR="00AB1258">
              <w:t xml:space="preserve"> testing results in significant cost savings to government and industry, whilst maintaining an appropriate and proportionate surveillance programme. </w:t>
            </w:r>
            <w:r w:rsidR="00E50129">
              <w:t>R</w:t>
            </w:r>
            <w:r w:rsidR="00AB1258">
              <w:t>equir</w:t>
            </w:r>
            <w:r w:rsidR="00E50129">
              <w:t xml:space="preserve">ing </w:t>
            </w:r>
            <w:r w:rsidR="00586BBC">
              <w:t xml:space="preserve">producer </w:t>
            </w:r>
            <w:r w:rsidR="00AB1258">
              <w:t xml:space="preserve">retailers to submit bulk </w:t>
            </w:r>
            <w:r w:rsidR="00E50129">
              <w:t xml:space="preserve">tank </w:t>
            </w:r>
            <w:r w:rsidR="00AB1258">
              <w:t xml:space="preserve">milk samples represents a more cost-effective option than AHVLA collecting the samples. It also levels the playing field with milk purchasers who are already </w:t>
            </w:r>
            <w:r w:rsidR="003B3840">
              <w:t xml:space="preserve">required to </w:t>
            </w:r>
            <w:r w:rsidR="00AB1258">
              <w:t xml:space="preserve">submit samples and meet the associated costs of this. </w:t>
            </w:r>
            <w:r w:rsidRPr="00F60297">
              <w:t xml:space="preserve">     </w:t>
            </w:r>
            <w:r w:rsidRPr="00F60297">
              <w:t> </w:t>
            </w:r>
            <w:r w:rsidRPr="00F60297">
              <w:t> </w:t>
            </w:r>
            <w:r w:rsidRPr="00F60297">
              <w:t> </w:t>
            </w:r>
            <w:r w:rsidRPr="00F60297">
              <w:t> </w:t>
            </w:r>
            <w:r w:rsidRPr="00F60297">
              <w:t> </w:t>
            </w:r>
            <w:r w:rsidR="003D023A">
              <w:fldChar w:fldCharType="end"/>
            </w:r>
            <w:bookmarkEnd w:id="15"/>
          </w:p>
        </w:tc>
      </w:tr>
    </w:tbl>
    <w:p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98"/>
        <w:gridCol w:w="984"/>
        <w:gridCol w:w="984"/>
        <w:gridCol w:w="984"/>
        <w:gridCol w:w="347"/>
        <w:gridCol w:w="635"/>
        <w:gridCol w:w="983"/>
      </w:tblGrid>
      <w:tr w:rsidR="00720FFE" w:rsidTr="00490F71">
        <w:tc>
          <w:tcPr>
            <w:tcW w:w="5000" w:type="pct"/>
            <w:gridSpan w:val="7"/>
          </w:tcPr>
          <w:p w:rsidR="00720FFE" w:rsidRPr="00490F71" w:rsidRDefault="00720FFE" w:rsidP="00E50129">
            <w:pPr>
              <w:pStyle w:val="IATableLabel"/>
              <w:rPr>
                <w:b w:val="0"/>
                <w:sz w:val="22"/>
                <w:szCs w:val="22"/>
              </w:rPr>
            </w:pPr>
            <w:r w:rsidRPr="00D02C89">
              <w:t xml:space="preserve">Will the policy be reviewed?  </w:t>
            </w:r>
            <w:r w:rsidRPr="00490F71">
              <w:rPr>
                <w:b w:val="0"/>
                <w:sz w:val="22"/>
                <w:szCs w:val="22"/>
              </w:rPr>
              <w:t xml:space="preserve">It </w:t>
            </w:r>
            <w:bookmarkStart w:id="16" w:name="IAPolicyReview"/>
            <w:r w:rsidR="003D023A" w:rsidRPr="00490F71">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490F71">
              <w:rPr>
                <w:rStyle w:val="IAIOPolicyReviewChar"/>
              </w:rPr>
              <w:instrText xml:space="preserve"> FORMDROPDOWN </w:instrText>
            </w:r>
            <w:r w:rsidR="00403E13">
              <w:rPr>
                <w:rStyle w:val="IAIOPolicyReviewChar"/>
              </w:rPr>
            </w:r>
            <w:r w:rsidR="00403E13">
              <w:rPr>
                <w:rStyle w:val="IAIOPolicyReviewChar"/>
              </w:rPr>
              <w:fldChar w:fldCharType="separate"/>
            </w:r>
            <w:r w:rsidR="003D023A" w:rsidRPr="00490F71">
              <w:rPr>
                <w:rStyle w:val="IAIOPolicyReviewChar"/>
              </w:rPr>
              <w:fldChar w:fldCharType="end"/>
            </w:r>
            <w:bookmarkEnd w:id="16"/>
            <w:r w:rsidRPr="00490F71">
              <w:rPr>
                <w:b w:val="0"/>
                <w:sz w:val="22"/>
                <w:szCs w:val="22"/>
              </w:rPr>
              <w:t xml:space="preserve"> be reviewed.</w:t>
            </w:r>
            <w:r w:rsidRPr="00490F71">
              <w:rPr>
                <w:sz w:val="22"/>
                <w:szCs w:val="22"/>
              </w:rPr>
              <w:t xml:space="preserve"> </w:t>
            </w:r>
            <w:r w:rsidRPr="00D02C89">
              <w:t xml:space="preserve"> If applicable, set review date:  </w:t>
            </w:r>
            <w:r w:rsidR="00E50129">
              <w:rPr>
                <w:b w:val="0"/>
                <w:sz w:val="22"/>
                <w:szCs w:val="22"/>
              </w:rPr>
              <w:t>07</w:t>
            </w:r>
            <w:r w:rsidRPr="00490F71">
              <w:rPr>
                <w:b w:val="0"/>
                <w:sz w:val="22"/>
                <w:szCs w:val="22"/>
              </w:rPr>
              <w:t>/</w:t>
            </w:r>
            <w:bookmarkStart w:id="17" w:name="IAReviewYear"/>
            <w:r w:rsidR="00287D21">
              <w:rPr>
                <w:b w:val="0"/>
                <w:sz w:val="22"/>
                <w:szCs w:val="22"/>
              </w:rPr>
              <w:t>2024</w:t>
            </w:r>
            <w:bookmarkEnd w:id="17"/>
          </w:p>
        </w:tc>
      </w:tr>
      <w:tr w:rsidR="006656EC" w:rsidRPr="00D50283" w:rsidTr="006656EC">
        <w:tblPrEx>
          <w:shd w:val="clear" w:color="auto" w:fill="E0E0E0"/>
        </w:tblPrEx>
        <w:trPr>
          <w:trHeight w:hRule="exact" w:val="340"/>
        </w:trPr>
        <w:tc>
          <w:tcPr>
            <w:tcW w:w="7252" w:type="dxa"/>
            <w:gridSpan w:val="3"/>
            <w:shd w:val="clear" w:color="auto" w:fill="E0E0E0"/>
            <w:vAlign w:val="center"/>
          </w:tcPr>
          <w:p w:rsidR="006656EC" w:rsidRPr="00D50283" w:rsidRDefault="006656EC" w:rsidP="006A0557">
            <w:pPr>
              <w:pStyle w:val="IATableText"/>
              <w:spacing w:before="0" w:after="0"/>
              <w:rPr>
                <w:sz w:val="20"/>
              </w:rPr>
            </w:pPr>
            <w:bookmarkStart w:id="18" w:name="Summary4"/>
            <w:bookmarkEnd w:id="14"/>
            <w:r w:rsidRPr="00D50283">
              <w:rPr>
                <w:iCs/>
                <w:sz w:val="20"/>
              </w:rPr>
              <w:t>Does implementation go beyond minimum EU requirements?</w:t>
            </w:r>
          </w:p>
        </w:tc>
        <w:tc>
          <w:tcPr>
            <w:tcW w:w="2949" w:type="dxa"/>
            <w:gridSpan w:val="4"/>
            <w:tcBorders>
              <w:bottom w:val="single" w:sz="4" w:space="0" w:color="auto"/>
            </w:tcBorders>
            <w:shd w:val="clear" w:color="auto" w:fill="E0E0E0"/>
            <w:vAlign w:val="center"/>
          </w:tcPr>
          <w:p w:rsidR="006656EC" w:rsidRPr="00D50283" w:rsidRDefault="00951AD9" w:rsidP="00F91F5A">
            <w:pPr>
              <w:pStyle w:val="IAIOCheckEU"/>
            </w:pPr>
            <w:r>
              <w:t>Yes</w:t>
            </w:r>
          </w:p>
        </w:tc>
      </w:tr>
      <w:tr w:rsidR="006656EC" w:rsidRPr="00D50283" w:rsidTr="006656EC">
        <w:tblPrEx>
          <w:shd w:val="clear" w:color="auto" w:fill="E0E0E0"/>
        </w:tblPrEx>
        <w:trPr>
          <w:trHeight w:val="460"/>
        </w:trPr>
        <w:tc>
          <w:tcPr>
            <w:tcW w:w="5286" w:type="dxa"/>
            <w:shd w:val="clear" w:color="auto" w:fill="E0E0E0"/>
            <w:vAlign w:val="center"/>
          </w:tcPr>
          <w:p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Micro</w:t>
            </w:r>
            <w:bookmarkStart w:id="19" w:name="IACheckMicro"/>
            <w:r w:rsidR="003D023A"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00586D82" w:rsidRPr="00817638">
              <w:rPr>
                <w:rStyle w:val="IAIOCheckMicroChar"/>
                <w:b w:val="0"/>
                <w:sz w:val="20"/>
              </w:rPr>
              <w:instrText xml:space="preserve"> FORMDROPDOWN </w:instrText>
            </w:r>
            <w:r w:rsidR="00403E13">
              <w:rPr>
                <w:rStyle w:val="IAIOCheckMicroChar"/>
                <w:b w:val="0"/>
                <w:sz w:val="20"/>
              </w:rPr>
            </w:r>
            <w:r w:rsidR="00403E13">
              <w:rPr>
                <w:rStyle w:val="IAIOCheckMicroChar"/>
                <w:b w:val="0"/>
                <w:sz w:val="20"/>
              </w:rPr>
              <w:fldChar w:fldCharType="separate"/>
            </w:r>
            <w:r w:rsidR="003D023A" w:rsidRPr="00817638">
              <w:rPr>
                <w:rStyle w:val="IAIOCheckMicroChar"/>
                <w:b w:val="0"/>
                <w:sz w:val="20"/>
              </w:rPr>
              <w:fldChar w:fldCharType="end"/>
            </w:r>
            <w:bookmarkEnd w:id="19"/>
          </w:p>
        </w:tc>
        <w:tc>
          <w:tcPr>
            <w:tcW w:w="983" w:type="dxa"/>
            <w:shd w:val="clear" w:color="auto" w:fill="E0E0E0"/>
            <w:vAlign w:val="center"/>
          </w:tcPr>
          <w:p w:rsidR="00586D82" w:rsidRDefault="006656EC" w:rsidP="006A0557">
            <w:pPr>
              <w:pStyle w:val="IATableLines"/>
              <w:rPr>
                <w:b/>
                <w:color w:val="000000"/>
                <w:sz w:val="20"/>
              </w:rPr>
            </w:pPr>
            <w:r w:rsidRPr="00720FFE">
              <w:rPr>
                <w:b/>
                <w:color w:val="000000"/>
                <w:sz w:val="20"/>
              </w:rPr>
              <w:t>&lt; 20</w:t>
            </w:r>
          </w:p>
          <w:p w:rsidR="006656EC" w:rsidRPr="00720FFE" w:rsidRDefault="00BB249D" w:rsidP="00D478C9">
            <w:pPr>
              <w:pStyle w:val="IAIOCheck20"/>
              <w:rPr>
                <w:b/>
                <w:color w:val="000000"/>
              </w:rPr>
            </w:pPr>
            <w:r>
              <w:rPr>
                <w:b/>
                <w:color w:val="000000"/>
              </w:rPr>
              <w:t xml:space="preserve"> </w:t>
            </w:r>
            <w:bookmarkStart w:id="20" w:name="IACheck20"/>
            <w:r w:rsidR="003D023A">
              <w:fldChar w:fldCharType="begin">
                <w:ffData>
                  <w:name w:val="IACheck20"/>
                  <w:enabled/>
                  <w:calcOnExit w:val="0"/>
                  <w:ddList>
                    <w:result w:val="1"/>
                    <w:listEntry w:val="Yes/No"/>
                    <w:listEntry w:val="Yes"/>
                    <w:listEntry w:val="No"/>
                  </w:ddList>
                </w:ffData>
              </w:fldChar>
            </w:r>
            <w:r w:rsidR="00072272">
              <w:instrText xml:space="preserve"> FORMDROPDOWN </w:instrText>
            </w:r>
            <w:r w:rsidR="00403E13">
              <w:fldChar w:fldCharType="separate"/>
            </w:r>
            <w:r w:rsidR="003D023A">
              <w:fldChar w:fldCharType="end"/>
            </w:r>
            <w:bookmarkEnd w:id="20"/>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Small</w:t>
            </w:r>
            <w:bookmarkStart w:id="21" w:name="IACheckSmall"/>
            <w:r w:rsidR="003D023A"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00072272" w:rsidRPr="00817638">
              <w:rPr>
                <w:rStyle w:val="IAIOCheckSmallChar"/>
                <w:b w:val="0"/>
                <w:sz w:val="20"/>
              </w:rPr>
              <w:instrText xml:space="preserve"> FORMDROPDOWN </w:instrText>
            </w:r>
            <w:r w:rsidR="00403E13">
              <w:rPr>
                <w:rStyle w:val="IAIOCheckSmallChar"/>
                <w:b w:val="0"/>
                <w:sz w:val="20"/>
              </w:rPr>
            </w:r>
            <w:r w:rsidR="00403E13">
              <w:rPr>
                <w:rStyle w:val="IAIOCheckSmallChar"/>
                <w:b w:val="0"/>
                <w:sz w:val="20"/>
              </w:rPr>
              <w:fldChar w:fldCharType="separate"/>
            </w:r>
            <w:r w:rsidR="003D023A" w:rsidRPr="00817638">
              <w:rPr>
                <w:rStyle w:val="IAIOCheckSmallChar"/>
                <w:b w:val="0"/>
                <w:sz w:val="20"/>
              </w:rPr>
              <w:fldChar w:fldCharType="end"/>
            </w:r>
            <w:bookmarkEnd w:id="21"/>
          </w:p>
        </w:tc>
        <w:tc>
          <w:tcPr>
            <w:tcW w:w="983" w:type="dxa"/>
            <w:gridSpan w:val="2"/>
            <w:shd w:val="clear" w:color="auto" w:fill="E0E0E0"/>
            <w:vAlign w:val="center"/>
          </w:tcPr>
          <w:p w:rsidR="006656EC" w:rsidRPr="00720FFE" w:rsidRDefault="006656EC" w:rsidP="006A0557">
            <w:pPr>
              <w:pStyle w:val="IATableLines"/>
              <w:rPr>
                <w:b/>
                <w:color w:val="000000"/>
                <w:sz w:val="20"/>
              </w:rPr>
            </w:pPr>
            <w:r w:rsidRPr="00720FFE">
              <w:rPr>
                <w:b/>
                <w:color w:val="000000"/>
                <w:sz w:val="20"/>
              </w:rPr>
              <w:t>Medium</w:t>
            </w:r>
            <w:bookmarkStart w:id="22" w:name="IACheckMedium"/>
            <w:r w:rsidR="003D023A"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00072272" w:rsidRPr="00817638">
              <w:rPr>
                <w:rStyle w:val="IAIOCheckMediumChar"/>
                <w:b w:val="0"/>
                <w:sz w:val="20"/>
              </w:rPr>
              <w:instrText xml:space="preserve"> FORMDROPDOWN </w:instrText>
            </w:r>
            <w:r w:rsidR="00403E13">
              <w:rPr>
                <w:rStyle w:val="IAIOCheckMediumChar"/>
                <w:b w:val="0"/>
                <w:sz w:val="20"/>
              </w:rPr>
            </w:r>
            <w:r w:rsidR="00403E13">
              <w:rPr>
                <w:rStyle w:val="IAIOCheckMediumChar"/>
                <w:b w:val="0"/>
                <w:sz w:val="20"/>
              </w:rPr>
              <w:fldChar w:fldCharType="separate"/>
            </w:r>
            <w:r w:rsidR="003D023A" w:rsidRPr="00817638">
              <w:rPr>
                <w:rStyle w:val="IAIOCheckMediumChar"/>
                <w:b w:val="0"/>
                <w:sz w:val="20"/>
              </w:rPr>
              <w:fldChar w:fldCharType="end"/>
            </w:r>
            <w:bookmarkEnd w:id="22"/>
          </w:p>
        </w:tc>
        <w:tc>
          <w:tcPr>
            <w:tcW w:w="983" w:type="dxa"/>
            <w:shd w:val="clear" w:color="auto" w:fill="E0E0E0"/>
            <w:vAlign w:val="center"/>
          </w:tcPr>
          <w:p w:rsidR="006656EC" w:rsidRPr="00720FFE" w:rsidRDefault="006656EC" w:rsidP="006A0557">
            <w:pPr>
              <w:pStyle w:val="IATableLines"/>
              <w:rPr>
                <w:b/>
                <w:color w:val="000000"/>
                <w:sz w:val="20"/>
              </w:rPr>
            </w:pPr>
            <w:r w:rsidRPr="00720FFE">
              <w:rPr>
                <w:b/>
                <w:color w:val="000000"/>
                <w:sz w:val="20"/>
              </w:rPr>
              <w:t>Large</w:t>
            </w:r>
            <w:bookmarkStart w:id="23" w:name="IACheckLarge"/>
            <w:r w:rsidR="003D023A"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817638">
              <w:rPr>
                <w:rStyle w:val="IAIOCheckLargeChar"/>
                <w:b w:val="0"/>
                <w:sz w:val="20"/>
              </w:rPr>
              <w:instrText xml:space="preserve"> FORMDROPDOWN </w:instrText>
            </w:r>
            <w:r w:rsidR="00403E13">
              <w:rPr>
                <w:rStyle w:val="IAIOCheckLargeChar"/>
                <w:b w:val="0"/>
                <w:sz w:val="20"/>
              </w:rPr>
            </w:r>
            <w:r w:rsidR="00403E13">
              <w:rPr>
                <w:rStyle w:val="IAIOCheckLargeChar"/>
                <w:b w:val="0"/>
                <w:sz w:val="20"/>
              </w:rPr>
              <w:fldChar w:fldCharType="separate"/>
            </w:r>
            <w:r w:rsidR="003D023A" w:rsidRPr="00817638">
              <w:rPr>
                <w:rStyle w:val="IAIOCheckLargeChar"/>
                <w:b w:val="0"/>
                <w:sz w:val="20"/>
              </w:rPr>
              <w:fldChar w:fldCharType="end"/>
            </w:r>
            <w:bookmarkEnd w:id="23"/>
          </w:p>
        </w:tc>
      </w:tr>
      <w:tr w:rsidR="00817638" w:rsidTr="006656EC">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505EF8">
            <w:pPr>
              <w:pStyle w:val="IATableLabel"/>
            </w:pPr>
            <w:r>
              <w:t xml:space="preserve">Traded:   </w:t>
            </w:r>
            <w:r>
              <w:br/>
            </w:r>
            <w:r w:rsidR="00505EF8">
              <w:rPr>
                <w:rStyle w:val="IAIOCO2TradedChar"/>
                <w:sz w:val="20"/>
              </w:rPr>
              <w:t>n/a</w:t>
            </w:r>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Default="00817638" w:rsidP="008A6491">
            <w:pPr>
              <w:pStyle w:val="IATableLabel"/>
            </w:pPr>
            <w:r>
              <w:t xml:space="preserve">Non-traded:   </w:t>
            </w:r>
            <w:r>
              <w:br/>
            </w:r>
            <w:bookmarkStart w:id="24" w:name="IACO2NonTraded"/>
            <w:r w:rsidR="00505EF8">
              <w:rPr>
                <w:rStyle w:val="IAIOCO2TradedChar"/>
                <w:sz w:val="20"/>
              </w:rPr>
              <w:t>n/a</w:t>
            </w:r>
            <w:r w:rsidR="003D023A">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3D023A">
              <w:rPr>
                <w:rStyle w:val="IAIOCO2TradedChar"/>
                <w:sz w:val="20"/>
              </w:rPr>
            </w:r>
            <w:r w:rsidR="003D023A">
              <w:rPr>
                <w:rStyle w:val="IAIOCO2TradedChar"/>
                <w:sz w:val="20"/>
              </w:rPr>
              <w:fldChar w:fldCharType="separate"/>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8155E3">
              <w:rPr>
                <w:rStyle w:val="IAIOCO2TradedChar"/>
                <w:noProof/>
                <w:sz w:val="20"/>
              </w:rPr>
              <w:t> </w:t>
            </w:r>
            <w:r w:rsidR="003D023A">
              <w:rPr>
                <w:rStyle w:val="IAIOCO2TradedChar"/>
                <w:sz w:val="20"/>
              </w:rPr>
              <w:fldChar w:fldCharType="end"/>
            </w:r>
            <w:bookmarkEnd w:id="24"/>
          </w:p>
        </w:tc>
      </w:tr>
    </w:tbl>
    <w:p w:rsidR="00EF0768" w:rsidRPr="00DF2F4B" w:rsidRDefault="00EF0768">
      <w:pPr>
        <w:pStyle w:val="IASign-off"/>
        <w:rPr>
          <w:sz w:val="20"/>
        </w:rPr>
      </w:pPr>
      <w:bookmarkStart w:id="25" w:name="SignOfftext"/>
      <w:bookmarkEnd w:id="18"/>
      <w:r w:rsidRPr="00DF2F4B">
        <w:rPr>
          <w:sz w:val="20"/>
        </w:rPr>
        <w:t>I have read the Impact Assessment and I am satisfied that, given the available evidence, it represents 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EF0768" w:rsidTr="00275C5C">
        <w:trPr>
          <w:cantSplit/>
          <w:trHeight w:hRule="exact" w:val="767"/>
        </w:trPr>
        <w:tc>
          <w:tcPr>
            <w:tcW w:w="2350" w:type="pct"/>
            <w:vAlign w:val="bottom"/>
          </w:tcPr>
          <w:p w:rsidR="00EF0768" w:rsidRDefault="00EF0768" w:rsidP="00275C5C">
            <w:pPr>
              <w:pStyle w:val="IASignature"/>
              <w:tabs>
                <w:tab w:val="clear" w:pos="6804"/>
                <w:tab w:val="left" w:leader="dot" w:pos="7380"/>
              </w:tabs>
            </w:pPr>
            <w:r w:rsidRPr="00455EAA">
              <w:t>Signed by the</w:t>
            </w:r>
            <w:r>
              <w:t xml:space="preserve"> responsible </w:t>
            </w:r>
            <w:bookmarkStart w:id="26" w:name="IASignedBy"/>
            <w:r w:rsidR="003D023A">
              <w:fldChar w:fldCharType="begin">
                <w:ffData>
                  <w:name w:val="IASignedBy"/>
                  <w:enabled/>
                  <w:calcOnExit w:val="0"/>
                  <w:ddList>
                    <w:result w:val="3"/>
                    <w:listEntry w:val="SELECT SIGNATORY"/>
                    <w:listEntry w:val="Chair"/>
                    <w:listEntry w:val="Chief Executive"/>
                    <w:listEntry w:val="Minister"/>
                  </w:ddList>
                </w:ffData>
              </w:fldChar>
            </w:r>
            <w:r>
              <w:instrText xml:space="preserve"> FORMDROPDOWN </w:instrText>
            </w:r>
            <w:r w:rsidR="00403E13">
              <w:fldChar w:fldCharType="separate"/>
            </w:r>
            <w:r w:rsidR="003D023A">
              <w:fldChar w:fldCharType="end"/>
            </w:r>
            <w:bookmarkEnd w:id="26"/>
            <w:r w:rsidRPr="00455EAA">
              <w:t>:</w:t>
            </w:r>
          </w:p>
        </w:tc>
        <w:tc>
          <w:tcPr>
            <w:tcW w:w="1318" w:type="pct"/>
            <w:tcBorders>
              <w:bottom w:val="dashSmallGap" w:sz="4" w:space="0" w:color="auto"/>
            </w:tcBorders>
            <w:vAlign w:val="bottom"/>
          </w:tcPr>
          <w:p w:rsidR="00EF0768" w:rsidRPr="00AB4A42" w:rsidRDefault="00EF0768" w:rsidP="00275C5C">
            <w:pPr>
              <w:pStyle w:val="IAIOtextSign"/>
            </w:pPr>
          </w:p>
        </w:tc>
        <w:tc>
          <w:tcPr>
            <w:tcW w:w="345" w:type="pct"/>
            <w:vAlign w:val="bottom"/>
          </w:tcPr>
          <w:p w:rsidR="00EF0768" w:rsidRDefault="00EF0768" w:rsidP="00275C5C">
            <w:pPr>
              <w:pStyle w:val="IASignature"/>
              <w:tabs>
                <w:tab w:val="clear" w:pos="6804"/>
                <w:tab w:val="left" w:leader="dot" w:pos="7380"/>
              </w:tabs>
            </w:pPr>
            <w:r>
              <w:t> </w:t>
            </w:r>
            <w:r w:rsidRPr="00455EAA">
              <w:t>Date:</w:t>
            </w:r>
          </w:p>
        </w:tc>
        <w:bookmarkStart w:id="27" w:name="SigDate"/>
        <w:tc>
          <w:tcPr>
            <w:tcW w:w="988" w:type="pct"/>
            <w:tcBorders>
              <w:bottom w:val="dashSmallGap" w:sz="4" w:space="0" w:color="auto"/>
            </w:tcBorders>
            <w:vAlign w:val="bottom"/>
          </w:tcPr>
          <w:p w:rsidR="00EF0768" w:rsidRPr="005D0BD1" w:rsidRDefault="003D023A" w:rsidP="00275C5C">
            <w:pPr>
              <w:pStyle w:val="IAIOSigDate"/>
            </w:pPr>
            <w:r>
              <w:fldChar w:fldCharType="begin">
                <w:ffData>
                  <w:name w:val="SigDate"/>
                  <w:enabled/>
                  <w:calcOnExit w:val="0"/>
                  <w:textInput/>
                </w:ffData>
              </w:fldChar>
            </w:r>
            <w:r w:rsidR="00EF0768">
              <w:instrText xml:space="preserve"> FORMTEXT </w:instrText>
            </w:r>
            <w:r>
              <w:fldChar w:fldCharType="separate"/>
            </w:r>
            <w:r w:rsidR="00EF0768">
              <w:rPr>
                <w:noProof/>
              </w:rPr>
              <w:t> </w:t>
            </w:r>
            <w:r w:rsidR="00EF0768">
              <w:rPr>
                <w:noProof/>
              </w:rPr>
              <w:t> </w:t>
            </w:r>
            <w:r w:rsidR="00EF0768">
              <w:rPr>
                <w:noProof/>
              </w:rPr>
              <w:t> </w:t>
            </w:r>
            <w:r w:rsidR="00EF0768">
              <w:rPr>
                <w:noProof/>
              </w:rPr>
              <w:t> </w:t>
            </w:r>
            <w:r w:rsidR="00EF0768">
              <w:rPr>
                <w:noProof/>
              </w:rPr>
              <w:t> </w:t>
            </w:r>
            <w:r>
              <w:fldChar w:fldCharType="end"/>
            </w:r>
            <w:bookmarkEnd w:id="27"/>
          </w:p>
        </w:tc>
      </w:tr>
      <w:bookmarkEnd w:id="25"/>
    </w:tbl>
    <w:p w:rsidR="00F1328C" w:rsidRDefault="00F1328C" w:rsidP="005A3880">
      <w:pPr>
        <w:pStyle w:val="Heading1"/>
        <w:spacing w:before="0"/>
        <w:sectPr w:rsidR="00F1328C" w:rsidSect="005A3880">
          <w:headerReference w:type="default" r:id="rId9"/>
          <w:footerReference w:type="default" r:id="rId10"/>
          <w:footnotePr>
            <w:numRestart w:val="eachSect"/>
          </w:footnotePr>
          <w:type w:val="continuous"/>
          <w:pgSz w:w="11907" w:h="16840" w:code="9"/>
          <w:pgMar w:top="680" w:right="851" w:bottom="680" w:left="851" w:header="284" w:footer="284" w:gutter="0"/>
          <w:cols w:space="708"/>
          <w:docGrid w:linePitch="360"/>
        </w:sectPr>
      </w:pPr>
    </w:p>
    <w:p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sidR="003D023A">
        <w:rPr>
          <w:rFonts w:ascii="Arial" w:hAnsi="Arial"/>
          <w:b w:val="0"/>
          <w:bCs w:val="0"/>
        </w:rPr>
        <w:fldChar w:fldCharType="begin"/>
      </w:r>
      <w:r>
        <w:rPr>
          <w:rFonts w:ascii="Arial" w:hAnsi="Arial"/>
          <w:b w:val="0"/>
          <w:bCs w:val="0"/>
        </w:rPr>
        <w:instrText xml:space="preserve"> SEQ Policy </w:instrText>
      </w:r>
      <w:r w:rsidR="003D023A">
        <w:rPr>
          <w:rFonts w:ascii="Arial" w:hAnsi="Arial"/>
          <w:b w:val="0"/>
          <w:bCs w:val="0"/>
        </w:rPr>
        <w:fldChar w:fldCharType="separate"/>
      </w:r>
      <w:r w:rsidR="004B5B4E">
        <w:rPr>
          <w:rFonts w:ascii="Arial" w:hAnsi="Arial"/>
          <w:b w:val="0"/>
          <w:bCs w:val="0"/>
          <w:noProof/>
        </w:rPr>
        <w:t>1</w:t>
      </w:r>
      <w:r w:rsidR="003D023A">
        <w:rPr>
          <w:rFonts w:ascii="Arial" w:hAnsi="Arial"/>
          <w:b w:val="0"/>
          <w:bCs w:val="0"/>
        </w:rPr>
        <w:fldChar w:fldCharType="end"/>
      </w:r>
    </w:p>
    <w:p w:rsidR="001844B6" w:rsidRDefault="001844B6" w:rsidP="005A3880">
      <w:pPr>
        <w:pStyle w:val="IAHeadLabel"/>
        <w:spacing w:before="50"/>
      </w:pPr>
      <w:r w:rsidRPr="00892576">
        <w:t xml:space="preserve">Description: </w:t>
      </w:r>
      <w:r w:rsidRPr="006B70AF">
        <w:t xml:space="preserve"> </w:t>
      </w:r>
      <w:r w:rsidR="00E50129">
        <w:t>R</w:t>
      </w:r>
      <w:r w:rsidR="00344B7D">
        <w:t xml:space="preserve">educe the frequency of bulk milk </w:t>
      </w:r>
      <w:r w:rsidR="00E50129">
        <w:t xml:space="preserve">tank </w:t>
      </w:r>
      <w:r w:rsidR="00344B7D">
        <w:t>testing to quarterly and require producer</w:t>
      </w:r>
      <w:r w:rsidR="00586BBC">
        <w:t xml:space="preserve"> </w:t>
      </w:r>
      <w:r w:rsidR="00344B7D">
        <w:t xml:space="preserve">retailers to supply </w:t>
      </w:r>
      <w:r w:rsidR="00E50129">
        <w:t xml:space="preserve">three </w:t>
      </w:r>
      <w:r w:rsidR="00344B7D">
        <w:t xml:space="preserve">bulk </w:t>
      </w:r>
      <w:r w:rsidR="00E50129">
        <w:t xml:space="preserve">tank </w:t>
      </w:r>
      <w:r w:rsidR="00344B7D">
        <w:t>milk samples</w:t>
      </w:r>
      <w:r w:rsidR="00E50129">
        <w:t xml:space="preserve"> a year themselves</w:t>
      </w:r>
      <w:r w:rsidR="00344B7D">
        <w:t>.</w:t>
      </w:r>
    </w:p>
    <w:p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1844B6" w:rsidRPr="00490F71" w:rsidTr="00490F71">
        <w:trPr>
          <w:trHeight w:hRule="exact" w:val="312"/>
        </w:trPr>
        <w:tc>
          <w:tcPr>
            <w:tcW w:w="1265" w:type="dxa"/>
            <w:vMerge w:val="restart"/>
            <w:shd w:val="clear" w:color="auto" w:fill="auto"/>
          </w:tcPr>
          <w:p w:rsidR="001844B6" w:rsidRPr="00826F71" w:rsidRDefault="001844B6" w:rsidP="00BA3FB2">
            <w:pPr>
              <w:pStyle w:val="POPBY"/>
              <w:ind w:right="0"/>
            </w:pPr>
            <w:r w:rsidRPr="00826F71">
              <w:t>Price Base Year</w:t>
            </w:r>
            <w:r>
              <w:t xml:space="preserve"> </w:t>
            </w:r>
            <w:r w:rsidR="00BA3FB2">
              <w:t>2012</w:t>
            </w:r>
          </w:p>
        </w:tc>
        <w:tc>
          <w:tcPr>
            <w:tcW w:w="1260" w:type="dxa"/>
            <w:vMerge w:val="restart"/>
            <w:shd w:val="clear" w:color="auto" w:fill="auto"/>
          </w:tcPr>
          <w:p w:rsidR="001844B6" w:rsidRPr="00826F71" w:rsidRDefault="001844B6" w:rsidP="00BA3FB2">
            <w:pPr>
              <w:pStyle w:val="POPVBY"/>
            </w:pPr>
            <w:r w:rsidRPr="00826F71">
              <w:t>PV Base Year</w:t>
            </w:r>
            <w:r>
              <w:t xml:space="preserve">  </w:t>
            </w:r>
            <w:r w:rsidR="00BA3FB2">
              <w:t>2013</w:t>
            </w:r>
          </w:p>
        </w:tc>
        <w:tc>
          <w:tcPr>
            <w:tcW w:w="1440" w:type="dxa"/>
            <w:vMerge w:val="restart"/>
            <w:tcBorders>
              <w:right w:val="single" w:sz="12" w:space="0" w:color="auto"/>
            </w:tcBorders>
            <w:shd w:val="clear" w:color="auto" w:fill="auto"/>
          </w:tcPr>
          <w:p w:rsidR="001844B6" w:rsidRPr="00826F71" w:rsidRDefault="001844B6" w:rsidP="00C90407">
            <w:pPr>
              <w:pStyle w:val="POTPY"/>
            </w:pPr>
            <w:r w:rsidRPr="00826F71">
              <w:t>Time Period Years</w:t>
            </w:r>
            <w:r>
              <w:t xml:space="preserve">  </w:t>
            </w:r>
            <w:r w:rsidR="00BA3FB2">
              <w:t>10</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826F71" w:rsidRDefault="001844B6" w:rsidP="00490F71">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490F71" w:rsidTr="00490F71">
        <w:trPr>
          <w:trHeight w:hRule="exact" w:val="340"/>
        </w:trPr>
        <w:tc>
          <w:tcPr>
            <w:tcW w:w="1265" w:type="dxa"/>
            <w:vMerge/>
            <w:shd w:val="clear" w:color="auto" w:fill="auto"/>
          </w:tcPr>
          <w:p w:rsidR="001844B6" w:rsidRPr="00490F71" w:rsidRDefault="001844B6" w:rsidP="00490F71">
            <w:pPr>
              <w:pStyle w:val="IATableNotes"/>
              <w:ind w:left="0"/>
              <w:rPr>
                <w:b/>
                <w:sz w:val="20"/>
              </w:rPr>
            </w:pPr>
          </w:p>
        </w:tc>
        <w:tc>
          <w:tcPr>
            <w:tcW w:w="1260" w:type="dxa"/>
            <w:vMerge/>
            <w:shd w:val="clear" w:color="auto" w:fill="auto"/>
          </w:tcPr>
          <w:p w:rsidR="001844B6" w:rsidRPr="00490F71" w:rsidRDefault="001844B6" w:rsidP="00490F71">
            <w:pPr>
              <w:pStyle w:val="IATableNotes"/>
              <w:ind w:left="0"/>
              <w:rPr>
                <w:b/>
                <w:sz w:val="20"/>
              </w:rPr>
            </w:pPr>
          </w:p>
        </w:tc>
        <w:tc>
          <w:tcPr>
            <w:tcW w:w="1440" w:type="dxa"/>
            <w:vMerge/>
            <w:tcBorders>
              <w:right w:val="single" w:sz="12" w:space="0" w:color="auto"/>
            </w:tcBorders>
            <w:shd w:val="clear" w:color="auto" w:fill="auto"/>
          </w:tcPr>
          <w:p w:rsidR="001844B6" w:rsidRPr="00490F71" w:rsidRDefault="001844B6" w:rsidP="00490F71">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490F71" w:rsidRDefault="001844B6" w:rsidP="00D068C0">
            <w:pPr>
              <w:pStyle w:val="IATableLabel"/>
              <w:rPr>
                <w:bCs/>
              </w:rPr>
            </w:pPr>
            <w:r w:rsidRPr="00304C1D">
              <w:t>Low:</w:t>
            </w:r>
            <w:r w:rsidRPr="00826F71">
              <w:t xml:space="preserve"> </w:t>
            </w:r>
            <w:r w:rsidR="00063E62">
              <w:rPr>
                <w:rStyle w:val="PONBLowCharChar"/>
                <w:b/>
                <w:noProof/>
              </w:rPr>
              <w:t>4.</w:t>
            </w:r>
            <w:r w:rsidR="00D068C0">
              <w:rPr>
                <w:rStyle w:val="PONBLowCharChar"/>
                <w:b/>
                <w:noProof/>
              </w:rPr>
              <w:t>366</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490F71" w:rsidRDefault="001844B6" w:rsidP="00D068C0">
            <w:pPr>
              <w:pStyle w:val="IATableLabel"/>
              <w:rPr>
                <w:rFonts w:cs="Arial"/>
                <w:bCs/>
                <w:szCs w:val="18"/>
              </w:rPr>
            </w:pPr>
            <w:r w:rsidRPr="00304C1D">
              <w:t>High:</w:t>
            </w:r>
            <w:r w:rsidRPr="00826F71">
              <w:t xml:space="preserve"> </w:t>
            </w:r>
            <w:r w:rsidR="00C90407">
              <w:t>4</w:t>
            </w:r>
            <w:r w:rsidR="00C02BC2">
              <w:t>.</w:t>
            </w:r>
            <w:r w:rsidR="00063E62">
              <w:t>9</w:t>
            </w:r>
            <w:r w:rsidR="00D068C0">
              <w:t>50</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490F71" w:rsidRDefault="001844B6" w:rsidP="00D068C0">
            <w:pPr>
              <w:pStyle w:val="IATableLabel"/>
              <w:rPr>
                <w:szCs w:val="18"/>
              </w:rPr>
            </w:pPr>
            <w:r w:rsidRPr="00304C1D">
              <w:t xml:space="preserve">Best </w:t>
            </w:r>
            <w:r>
              <w:t>E</w:t>
            </w:r>
            <w:r w:rsidRPr="00304C1D">
              <w:t>stimate:</w:t>
            </w:r>
            <w:r w:rsidRPr="00826F71">
              <w:t xml:space="preserve"> </w:t>
            </w:r>
            <w:r w:rsidR="00CD01EA">
              <w:t>4.</w:t>
            </w:r>
            <w:r w:rsidR="00063E62">
              <w:t>4</w:t>
            </w:r>
            <w:r w:rsidR="00D068C0">
              <w:t>71</w:t>
            </w:r>
          </w:p>
        </w:tc>
      </w:tr>
    </w:tbl>
    <w:p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1844B6" w:rsidRPr="00490F71" w:rsidTr="00490F71">
        <w:trPr>
          <w:trHeight w:hRule="exact" w:val="567"/>
        </w:trPr>
        <w:tc>
          <w:tcPr>
            <w:tcW w:w="1995" w:type="dxa"/>
            <w:shd w:val="clear" w:color="auto" w:fill="FFFFFF"/>
          </w:tcPr>
          <w:p w:rsidR="001844B6" w:rsidRPr="00490F71" w:rsidRDefault="001844B6" w:rsidP="005A3880">
            <w:pPr>
              <w:pStyle w:val="IATableLabel"/>
              <w:rPr>
                <w:sz w:val="24"/>
                <w:szCs w:val="24"/>
              </w:rPr>
            </w:pPr>
            <w:r w:rsidRPr="00490F71">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826F71" w:rsidRDefault="001844B6" w:rsidP="00490F71">
            <w:pPr>
              <w:pStyle w:val="IATableLabel"/>
              <w:tabs>
                <w:tab w:val="right" w:pos="1800"/>
                <w:tab w:val="center" w:pos="2340"/>
              </w:tabs>
              <w:jc w:val="right"/>
            </w:pPr>
            <w:r w:rsidRPr="00826F71">
              <w:t xml:space="preserve">Total Transition </w:t>
            </w:r>
            <w:r>
              <w:br/>
            </w:r>
            <w:r>
              <w:tab/>
            </w:r>
            <w:r w:rsidRPr="00490F71">
              <w:rPr>
                <w:b w:val="0"/>
                <w:sz w:val="18"/>
                <w:szCs w:val="18"/>
              </w:rPr>
              <w:t>(Constant Price)</w:t>
            </w:r>
            <w:r>
              <w:tab/>
            </w:r>
            <w:r w:rsidRPr="00490F71">
              <w:rPr>
                <w:b w:val="0"/>
                <w:sz w:val="18"/>
                <w:szCs w:val="18"/>
              </w:rPr>
              <w:t>Yea</w:t>
            </w:r>
            <w:r w:rsidRPr="00490F71">
              <w:rPr>
                <w:b w:val="0"/>
                <w:bCs/>
                <w:sz w:val="18"/>
                <w:szCs w:val="18"/>
              </w:rPr>
              <w:t>r</w:t>
            </w:r>
            <w:r w:rsidRPr="00490F71">
              <w:rPr>
                <w:b w:val="0"/>
                <w:sz w:val="18"/>
                <w:szCs w:val="18"/>
              </w:rPr>
              <w:t>s</w:t>
            </w:r>
          </w:p>
          <w:p w:rsidR="001844B6" w:rsidRPr="00826F71" w:rsidRDefault="001844B6" w:rsidP="00490F71">
            <w:pPr>
              <w:pStyle w:val="IATableLabel"/>
              <w:jc w:val="right"/>
            </w:pPr>
            <w:r>
              <w:br/>
            </w:r>
          </w:p>
        </w:tc>
        <w:tc>
          <w:tcPr>
            <w:tcW w:w="2865" w:type="dxa"/>
            <w:tcBorders>
              <w:bottom w:val="single" w:sz="6" w:space="0" w:color="auto"/>
              <w:right w:val="single" w:sz="12" w:space="0" w:color="auto"/>
            </w:tcBorders>
            <w:shd w:val="clear" w:color="auto" w:fill="auto"/>
          </w:tcPr>
          <w:p w:rsidR="001844B6" w:rsidRPr="00490F71" w:rsidRDefault="001844B6" w:rsidP="00490F71">
            <w:pPr>
              <w:pStyle w:val="IATableLabel"/>
              <w:jc w:val="right"/>
              <w:rPr>
                <w:rFonts w:cs="Arial"/>
                <w:bCs/>
              </w:rPr>
            </w:pPr>
            <w:r w:rsidRPr="00826F71">
              <w:t>Average Annual</w:t>
            </w:r>
            <w:r w:rsidRPr="000C031E">
              <w:t xml:space="preserve"> </w:t>
            </w:r>
            <w:r>
              <w:br/>
            </w:r>
            <w:r w:rsidRPr="00490F71">
              <w:rPr>
                <w:b w:val="0"/>
                <w:sz w:val="18"/>
                <w:szCs w:val="18"/>
              </w:rPr>
              <w:t xml:space="preserve">(excl. Transition) </w:t>
            </w:r>
            <w:r w:rsidRPr="00490F7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490F71">
            <w:pPr>
              <w:pStyle w:val="IATableLabel"/>
              <w:jc w:val="right"/>
            </w:pPr>
            <w:r w:rsidRPr="00826F71">
              <w:t>Total Cost</w:t>
            </w:r>
            <w:r w:rsidRPr="00490F71">
              <w:rPr>
                <w:b w:val="0"/>
                <w:sz w:val="18"/>
                <w:szCs w:val="18"/>
              </w:rPr>
              <w:t xml:space="preserve"> </w:t>
            </w:r>
            <w:r w:rsidRPr="00490F71">
              <w:rPr>
                <w:b w:val="0"/>
                <w:sz w:val="18"/>
                <w:szCs w:val="18"/>
              </w:rPr>
              <w:br/>
              <w:t>(Present Value)</w:t>
            </w:r>
          </w:p>
        </w:tc>
      </w:tr>
      <w:tr w:rsidR="001844B6" w:rsidRPr="00490F71" w:rsidTr="00490F71">
        <w:trPr>
          <w:trHeight w:hRule="exact" w:val="348"/>
        </w:trPr>
        <w:tc>
          <w:tcPr>
            <w:tcW w:w="1995" w:type="dxa"/>
            <w:tcBorders>
              <w:top w:val="single" w:sz="6" w:space="0" w:color="auto"/>
              <w:bottom w:val="single" w:sz="6" w:space="0" w:color="auto"/>
            </w:tcBorders>
            <w:shd w:val="clear" w:color="auto" w:fill="auto"/>
            <w:vAlign w:val="center"/>
          </w:tcPr>
          <w:p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1844B6" w:rsidRPr="00490F71" w:rsidRDefault="00DD321F" w:rsidP="005A3880">
            <w:pPr>
              <w:pStyle w:val="POTTCostsLow"/>
              <w:rPr>
                <w:sz w:val="20"/>
              </w:rPr>
            </w:pPr>
            <w:r>
              <w:rPr>
                <w:sz w:val="20"/>
              </w:rPr>
              <w:t>-</w:t>
            </w:r>
          </w:p>
        </w:tc>
        <w:tc>
          <w:tcPr>
            <w:tcW w:w="790" w:type="dxa"/>
            <w:vMerge w:val="restart"/>
            <w:tcBorders>
              <w:top w:val="single" w:sz="6" w:space="0" w:color="auto"/>
            </w:tcBorders>
            <w:shd w:val="clear" w:color="auto" w:fill="auto"/>
            <w:vAlign w:val="center"/>
          </w:tcPr>
          <w:p w:rsidR="001844B6" w:rsidRPr="00490F71" w:rsidRDefault="003D023A" w:rsidP="005A3880">
            <w:pPr>
              <w:pStyle w:val="POTTCostsYear"/>
              <w:rPr>
                <w:sz w:val="20"/>
                <w:szCs w:val="20"/>
              </w:rPr>
            </w:pPr>
            <w:r w:rsidRPr="00490F71">
              <w:rPr>
                <w:sz w:val="20"/>
                <w:szCs w:val="20"/>
              </w:rPr>
              <w:fldChar w:fldCharType="begin">
                <w:ffData>
                  <w:name w:val="Text48"/>
                  <w:enabled/>
                  <w:calcOnExit w:val="0"/>
                  <w:textInput>
                    <w:maxLength w:val="3"/>
                  </w:textInput>
                </w:ffData>
              </w:fldChar>
            </w:r>
            <w:r w:rsidR="001844B6" w:rsidRPr="00490F71">
              <w:rPr>
                <w:sz w:val="20"/>
                <w:szCs w:val="20"/>
              </w:rPr>
              <w:instrText xml:space="preserve"> FORMTEXT </w:instrText>
            </w:r>
            <w:r w:rsidRPr="00490F71">
              <w:rPr>
                <w:sz w:val="20"/>
                <w:szCs w:val="20"/>
              </w:rPr>
            </w:r>
            <w:r w:rsidRPr="00490F71">
              <w:rPr>
                <w:sz w:val="20"/>
                <w:szCs w:val="20"/>
              </w:rPr>
              <w:fldChar w:fldCharType="separate"/>
            </w:r>
            <w:r w:rsidR="001844B6" w:rsidRPr="00490F71">
              <w:rPr>
                <w:noProof/>
                <w:sz w:val="20"/>
                <w:szCs w:val="20"/>
              </w:rPr>
              <w:t> </w:t>
            </w:r>
            <w:r w:rsidR="001844B6" w:rsidRPr="00490F71">
              <w:rPr>
                <w:noProof/>
                <w:sz w:val="20"/>
                <w:szCs w:val="20"/>
              </w:rPr>
              <w:t> </w:t>
            </w:r>
            <w:r w:rsidR="001844B6" w:rsidRPr="00490F71">
              <w:rPr>
                <w:noProof/>
                <w:sz w:val="20"/>
                <w:szCs w:val="20"/>
              </w:rPr>
              <w:t> </w:t>
            </w:r>
            <w:r w:rsidRPr="00490F71">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490F71" w:rsidRDefault="00DD321F" w:rsidP="00DD321F">
            <w:pPr>
              <w:pStyle w:val="POAACostsLow"/>
              <w:rPr>
                <w:sz w:val="20"/>
              </w:rPr>
            </w:pPr>
            <w:r>
              <w:rPr>
                <w:sz w:val="20"/>
              </w:rPr>
              <w:t>-</w:t>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490F71" w:rsidRDefault="00DD321F" w:rsidP="005A3880">
            <w:pPr>
              <w:pStyle w:val="POTCCostsLow"/>
              <w:rPr>
                <w:sz w:val="20"/>
              </w:rPr>
            </w:pPr>
            <w:r>
              <w:rPr>
                <w:sz w:val="20"/>
              </w:rPr>
              <w:t>-</w:t>
            </w:r>
          </w:p>
        </w:tc>
      </w:tr>
      <w:tr w:rsidR="001844B6" w:rsidRPr="00490F71" w:rsidTr="00490F71">
        <w:trPr>
          <w:trHeight w:hRule="exact" w:val="348"/>
        </w:trPr>
        <w:tc>
          <w:tcPr>
            <w:tcW w:w="1995" w:type="dxa"/>
            <w:tcBorders>
              <w:top w:val="single" w:sz="6" w:space="0" w:color="auto"/>
              <w:bottom w:val="single" w:sz="12" w:space="0" w:color="auto"/>
            </w:tcBorders>
            <w:shd w:val="clear" w:color="auto" w:fill="auto"/>
            <w:vAlign w:val="center"/>
          </w:tcPr>
          <w:p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1844B6" w:rsidRPr="00490F71" w:rsidRDefault="00DD321F" w:rsidP="005A3880">
            <w:pPr>
              <w:pStyle w:val="POTTCostsHigh"/>
              <w:rPr>
                <w:sz w:val="20"/>
              </w:rPr>
            </w:pPr>
            <w:r>
              <w:rPr>
                <w:sz w:val="20"/>
              </w:rPr>
              <w:t>-</w:t>
            </w:r>
          </w:p>
        </w:tc>
        <w:tc>
          <w:tcPr>
            <w:tcW w:w="790" w:type="dxa"/>
            <w:vMerge/>
            <w:shd w:val="clear" w:color="auto" w:fill="FFFFFF"/>
            <w:vAlign w:val="center"/>
          </w:tcPr>
          <w:p w:rsidR="001844B6" w:rsidRPr="00490F71" w:rsidRDefault="001844B6" w:rsidP="00490F7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490F71" w:rsidRDefault="00DD321F" w:rsidP="00DD321F">
            <w:pPr>
              <w:pStyle w:val="POAACostsHigh"/>
              <w:rPr>
                <w:sz w:val="20"/>
              </w:rPr>
            </w:pPr>
            <w:r>
              <w:rPr>
                <w:sz w:val="20"/>
              </w:rPr>
              <w:t>-</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490F71" w:rsidRDefault="00DD321F" w:rsidP="005A3880">
            <w:pPr>
              <w:pStyle w:val="POTCCostsHigh"/>
              <w:rPr>
                <w:sz w:val="20"/>
              </w:rPr>
            </w:pPr>
            <w:r>
              <w:rPr>
                <w:sz w:val="20"/>
              </w:rPr>
              <w:t>-</w:t>
            </w:r>
          </w:p>
        </w:tc>
      </w:tr>
      <w:tr w:rsidR="001844B6" w:rsidRPr="00490F71" w:rsidTr="00490F71">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F63895" w:rsidRDefault="001844B6" w:rsidP="005A3880">
            <w:pPr>
              <w:pStyle w:val="IATableLabel"/>
            </w:pPr>
            <w:r w:rsidRPr="00F63895">
              <w:t>Best Estimate</w:t>
            </w:r>
          </w:p>
          <w:p w:rsidR="001844B6" w:rsidRPr="00490F71" w:rsidRDefault="001844B6" w:rsidP="00AB125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0F71" w:rsidRDefault="00D068C0" w:rsidP="00D068C0">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rsidR="001844B6" w:rsidRPr="00490F71" w:rsidRDefault="001844B6" w:rsidP="00490F7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EF16E4" w:rsidRDefault="003D023A" w:rsidP="00A21E63">
            <w:pPr>
              <w:pStyle w:val="POAACostsBest"/>
              <w:rPr>
                <w:sz w:val="20"/>
              </w:rPr>
            </w:pPr>
            <w:r w:rsidRPr="00490F71">
              <w:rPr>
                <w:sz w:val="20"/>
              </w:rPr>
              <w:fldChar w:fldCharType="begin">
                <w:ffData>
                  <w:name w:val="Text51"/>
                  <w:enabled/>
                  <w:calcOnExit w:val="0"/>
                  <w:textInput>
                    <w:maxLength w:val="14"/>
                  </w:textInput>
                </w:ffData>
              </w:fldChar>
            </w:r>
            <w:r w:rsidR="001844B6" w:rsidRPr="00490F71">
              <w:rPr>
                <w:sz w:val="20"/>
              </w:rPr>
              <w:instrText xml:space="preserve"> FORMTEXT </w:instrText>
            </w:r>
            <w:r w:rsidRPr="00490F71">
              <w:rPr>
                <w:sz w:val="20"/>
              </w:rPr>
            </w:r>
            <w:r w:rsidRPr="00490F71">
              <w:rPr>
                <w:sz w:val="20"/>
              </w:rPr>
              <w:fldChar w:fldCharType="separate"/>
            </w:r>
            <w:r w:rsidR="001844B6" w:rsidRPr="00490F71">
              <w:rPr>
                <w:noProof/>
                <w:sz w:val="20"/>
              </w:rPr>
              <w:t> </w:t>
            </w:r>
            <w:r w:rsidR="001844B6" w:rsidRPr="00490F71">
              <w:rPr>
                <w:noProof/>
                <w:sz w:val="20"/>
              </w:rPr>
              <w:t> </w:t>
            </w:r>
            <w:r w:rsidR="001844B6" w:rsidRPr="00490F71">
              <w:rPr>
                <w:noProof/>
                <w:sz w:val="20"/>
              </w:rPr>
              <w:t> </w:t>
            </w:r>
            <w:r w:rsidR="001844B6" w:rsidRPr="00490F71">
              <w:rPr>
                <w:noProof/>
                <w:sz w:val="20"/>
              </w:rPr>
              <w:t> </w:t>
            </w:r>
            <w:r w:rsidR="001844B6" w:rsidRPr="00490F71">
              <w:rPr>
                <w:noProof/>
                <w:sz w:val="20"/>
              </w:rPr>
              <w:t> </w:t>
            </w:r>
            <w:r w:rsidRPr="00490F71">
              <w:rPr>
                <w:sz w:val="20"/>
              </w:rPr>
              <w:fldChar w:fldCharType="end"/>
            </w:r>
            <w:r w:rsidR="00C02BC2">
              <w:rPr>
                <w:sz w:val="20"/>
              </w:rPr>
              <w:t>0.00</w:t>
            </w:r>
            <w:r w:rsidR="00A21E63">
              <w:rPr>
                <w:sz w:val="20"/>
              </w:rPr>
              <w:t>6</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F16E4" w:rsidRDefault="00C02BC2" w:rsidP="00CD01EA">
            <w:pPr>
              <w:pStyle w:val="POTCCostsBest"/>
              <w:rPr>
                <w:sz w:val="20"/>
              </w:rPr>
            </w:pPr>
            <w:r>
              <w:rPr>
                <w:sz w:val="20"/>
              </w:rPr>
              <w:t>0.04</w:t>
            </w:r>
            <w:r w:rsidR="00CD01EA">
              <w:rPr>
                <w:sz w:val="20"/>
              </w:rPr>
              <w:t>7</w:t>
            </w:r>
          </w:p>
        </w:tc>
      </w:tr>
      <w:tr w:rsidR="001844B6" w:rsidRPr="00826F71" w:rsidTr="00490F71">
        <w:trPr>
          <w:trHeight w:hRule="exact" w:val="1701"/>
        </w:trPr>
        <w:tc>
          <w:tcPr>
            <w:tcW w:w="10235" w:type="dxa"/>
            <w:gridSpan w:val="6"/>
            <w:tcBorders>
              <w:bottom w:val="single" w:sz="6" w:space="0" w:color="auto"/>
            </w:tcBorders>
            <w:shd w:val="clear" w:color="auto" w:fill="auto"/>
          </w:tcPr>
          <w:p w:rsidR="001844B6" w:rsidRPr="00490F71"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rsidR="001844B6" w:rsidRPr="00826F71" w:rsidRDefault="00586BBC" w:rsidP="003B3840">
            <w:pPr>
              <w:pStyle w:val="IAPOA1"/>
            </w:pPr>
            <w:r>
              <w:t xml:space="preserve">Producer </w:t>
            </w:r>
            <w:r w:rsidR="00BA3FB2">
              <w:t xml:space="preserve">retailers would incur a small </w:t>
            </w:r>
            <w:r w:rsidR="00D068C0">
              <w:t xml:space="preserve">new </w:t>
            </w:r>
            <w:r w:rsidR="00BA3FB2">
              <w:t>cost (approx. £1.</w:t>
            </w:r>
            <w:r w:rsidR="00CD01EA">
              <w:t>6</w:t>
            </w:r>
            <w:r w:rsidR="00BA3FB2">
              <w:t>k</w:t>
            </w:r>
            <w:r w:rsidR="00D068C0">
              <w:t xml:space="preserve"> total</w:t>
            </w:r>
            <w:r w:rsidR="00BA3FB2">
              <w:t>; £</w:t>
            </w:r>
            <w:r w:rsidR="004D3880">
              <w:t>16</w:t>
            </w:r>
            <w:r w:rsidR="00E50129">
              <w:t>.50</w:t>
            </w:r>
            <w:r w:rsidR="00BA3FB2">
              <w:t xml:space="preserve"> per business p</w:t>
            </w:r>
            <w:r w:rsidR="00D068C0">
              <w:t xml:space="preserve">er </w:t>
            </w:r>
            <w:r w:rsidR="00BA3FB2">
              <w:t>a</w:t>
            </w:r>
            <w:r w:rsidR="00D068C0">
              <w:t>nnum</w:t>
            </w:r>
            <w:r w:rsidR="00BA3FB2">
              <w:t xml:space="preserve">) to submit three bulk milk </w:t>
            </w:r>
            <w:r w:rsidR="00A24B1F">
              <w:t xml:space="preserve">tank </w:t>
            </w:r>
            <w:r w:rsidR="00BA3FB2">
              <w:t>samples</w:t>
            </w:r>
            <w:r w:rsidR="004D3880">
              <w:t xml:space="preserve"> a year</w:t>
            </w:r>
            <w:r w:rsidR="00D068C0">
              <w:t>. T</w:t>
            </w:r>
            <w:r w:rsidR="0043034B">
              <w:t xml:space="preserve">he fourth </w:t>
            </w:r>
            <w:r w:rsidR="00F83017">
              <w:t xml:space="preserve">sample </w:t>
            </w:r>
            <w:r w:rsidR="0043034B">
              <w:t>continues to be collected by AHVLA for audit purposes</w:t>
            </w:r>
            <w:r w:rsidR="00A21E63">
              <w:t xml:space="preserve">. </w:t>
            </w:r>
            <w:r w:rsidR="00BA3FB2">
              <w:t>Government would incur costs (approx. £</w:t>
            </w:r>
            <w:r w:rsidR="00A21E63">
              <w:t>4.1</w:t>
            </w:r>
            <w:r w:rsidR="004D3880">
              <w:t>k</w:t>
            </w:r>
            <w:r w:rsidR="00D068C0">
              <w:t xml:space="preserve"> per annum</w:t>
            </w:r>
            <w:r w:rsidR="004D3880">
              <w:t>) to post sample pots and issue reminder</w:t>
            </w:r>
            <w:r w:rsidR="00A24B1F">
              <w:t xml:space="preserve">s </w:t>
            </w:r>
            <w:r w:rsidR="00BF30AD">
              <w:t xml:space="preserve">to the </w:t>
            </w:r>
            <w:r w:rsidR="00A24B1F">
              <w:t>100</w:t>
            </w:r>
            <w:r>
              <w:t xml:space="preserve"> producer </w:t>
            </w:r>
            <w:r w:rsidR="00BF30AD">
              <w:t>retailers</w:t>
            </w:r>
            <w:r w:rsidR="00D068C0">
              <w:t xml:space="preserve"> (approx.)</w:t>
            </w:r>
            <w:r w:rsidR="00BF30AD">
              <w:t xml:space="preserve"> </w:t>
            </w:r>
            <w:r w:rsidR="004D3880">
              <w:t>when the</w:t>
            </w:r>
            <w:r w:rsidR="00951AD9">
              <w:t>ir</w:t>
            </w:r>
            <w:r w:rsidR="004D3880">
              <w:t xml:space="preserve"> samples </w:t>
            </w:r>
            <w:r w:rsidR="003B3840">
              <w:t>become</w:t>
            </w:r>
            <w:r w:rsidR="004D3880">
              <w:t xml:space="preserve"> due. </w:t>
            </w:r>
          </w:p>
        </w:tc>
      </w:tr>
      <w:tr w:rsidR="001844B6" w:rsidRPr="00826F71" w:rsidTr="00490F71">
        <w:trPr>
          <w:trHeight w:hRule="exact" w:val="1701"/>
        </w:trPr>
        <w:tc>
          <w:tcPr>
            <w:tcW w:w="10235" w:type="dxa"/>
            <w:gridSpan w:val="6"/>
            <w:tcBorders>
              <w:top w:val="single" w:sz="6" w:space="0" w:color="auto"/>
              <w:bottom w:val="single" w:sz="12" w:space="0" w:color="auto"/>
            </w:tcBorders>
            <w:shd w:val="clear" w:color="auto" w:fill="auto"/>
          </w:tcPr>
          <w:p w:rsidR="001844B6" w:rsidRPr="00490F71" w:rsidRDefault="001844B6" w:rsidP="005A3880">
            <w:pPr>
              <w:pStyle w:val="IAPOQ2"/>
              <w:rPr>
                <w:szCs w:val="22"/>
              </w:rPr>
            </w:pPr>
            <w:r w:rsidRPr="00544292">
              <w:t>Other</w:t>
            </w:r>
            <w:r w:rsidRPr="00826F71">
              <w:t xml:space="preserve"> key non-monetised costs</w:t>
            </w:r>
            <w:r w:rsidRPr="00544292">
              <w:t xml:space="preserve"> by ‘main affected groups’ </w:t>
            </w:r>
          </w:p>
          <w:p w:rsidR="001844B6" w:rsidRPr="00490F71" w:rsidRDefault="00992525" w:rsidP="005A3880">
            <w:pPr>
              <w:pStyle w:val="IAPOA2"/>
              <w:rPr>
                <w:szCs w:val="22"/>
              </w:rPr>
            </w:pPr>
            <w:r>
              <w:rPr>
                <w:szCs w:val="22"/>
              </w:rPr>
              <w:t>-</w:t>
            </w:r>
          </w:p>
        </w:tc>
      </w:tr>
      <w:tr w:rsidR="001844B6" w:rsidRPr="00490F71" w:rsidTr="00490F71">
        <w:trPr>
          <w:trHeight w:hRule="exact" w:val="567"/>
        </w:trPr>
        <w:tc>
          <w:tcPr>
            <w:tcW w:w="1995" w:type="dxa"/>
            <w:shd w:val="clear" w:color="auto" w:fill="FFFFFF"/>
          </w:tcPr>
          <w:p w:rsidR="001844B6" w:rsidRPr="00490F71" w:rsidRDefault="001844B6" w:rsidP="005A3880">
            <w:pPr>
              <w:pStyle w:val="IATableLabel"/>
              <w:rPr>
                <w:sz w:val="24"/>
                <w:szCs w:val="24"/>
              </w:rPr>
            </w:pPr>
            <w:r w:rsidRPr="00490F71">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826F71" w:rsidRDefault="001844B6" w:rsidP="00490F71">
            <w:pPr>
              <w:pStyle w:val="IATableLabel"/>
              <w:tabs>
                <w:tab w:val="right" w:pos="1797"/>
                <w:tab w:val="center" w:pos="2340"/>
              </w:tabs>
              <w:jc w:val="right"/>
            </w:pPr>
            <w:r w:rsidRPr="00826F71">
              <w:t xml:space="preserve">Total Transition </w:t>
            </w:r>
            <w:r>
              <w:br/>
            </w:r>
            <w:r>
              <w:tab/>
            </w:r>
            <w:r w:rsidRPr="00490F71">
              <w:rPr>
                <w:b w:val="0"/>
                <w:sz w:val="18"/>
                <w:szCs w:val="18"/>
              </w:rPr>
              <w:t>(Constant Price)</w:t>
            </w:r>
            <w:r>
              <w:tab/>
            </w:r>
            <w:r w:rsidRPr="00490F71">
              <w:rPr>
                <w:b w:val="0"/>
                <w:sz w:val="18"/>
                <w:szCs w:val="18"/>
              </w:rPr>
              <w:t>Yea</w:t>
            </w:r>
            <w:r w:rsidRPr="00490F71">
              <w:rPr>
                <w:b w:val="0"/>
                <w:bCs/>
                <w:sz w:val="18"/>
                <w:szCs w:val="18"/>
              </w:rPr>
              <w:t>r</w:t>
            </w:r>
            <w:r w:rsidRPr="00490F71">
              <w:rPr>
                <w:b w:val="0"/>
                <w:sz w:val="18"/>
                <w:szCs w:val="18"/>
              </w:rPr>
              <w:t>s</w:t>
            </w:r>
          </w:p>
          <w:p w:rsidR="001844B6" w:rsidRPr="00826F71" w:rsidRDefault="001844B6" w:rsidP="00490F71">
            <w:pPr>
              <w:pStyle w:val="IATableLabel"/>
              <w:jc w:val="right"/>
            </w:pPr>
            <w:r>
              <w:br/>
            </w:r>
          </w:p>
        </w:tc>
        <w:tc>
          <w:tcPr>
            <w:tcW w:w="2865" w:type="dxa"/>
            <w:tcBorders>
              <w:bottom w:val="single" w:sz="6" w:space="0" w:color="auto"/>
              <w:right w:val="single" w:sz="12" w:space="0" w:color="auto"/>
            </w:tcBorders>
            <w:shd w:val="clear" w:color="auto" w:fill="auto"/>
          </w:tcPr>
          <w:p w:rsidR="001844B6" w:rsidRPr="00490F71" w:rsidRDefault="001844B6" w:rsidP="00490F71">
            <w:pPr>
              <w:pStyle w:val="IATableLabel"/>
              <w:jc w:val="right"/>
              <w:rPr>
                <w:rFonts w:cs="Arial"/>
                <w:bCs/>
              </w:rPr>
            </w:pPr>
            <w:r w:rsidRPr="00826F71">
              <w:t>Average Annual</w:t>
            </w:r>
            <w:r w:rsidRPr="000C031E">
              <w:t xml:space="preserve"> </w:t>
            </w:r>
            <w:r>
              <w:br/>
            </w:r>
            <w:r w:rsidRPr="00490F71">
              <w:rPr>
                <w:b w:val="0"/>
                <w:sz w:val="18"/>
                <w:szCs w:val="18"/>
              </w:rPr>
              <w:t xml:space="preserve">(excl. Transition) </w:t>
            </w:r>
            <w:r w:rsidRPr="00490F7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490F71">
            <w:pPr>
              <w:pStyle w:val="IATableLabel"/>
              <w:jc w:val="right"/>
            </w:pPr>
            <w:r w:rsidRPr="00826F71">
              <w:t xml:space="preserve">Total </w:t>
            </w:r>
            <w:r>
              <w:t>Benefit</w:t>
            </w:r>
            <w:r w:rsidRPr="00490F71">
              <w:rPr>
                <w:b w:val="0"/>
                <w:sz w:val="18"/>
                <w:szCs w:val="18"/>
              </w:rPr>
              <w:t xml:space="preserve"> </w:t>
            </w:r>
            <w:r w:rsidRPr="00490F71">
              <w:rPr>
                <w:b w:val="0"/>
                <w:sz w:val="18"/>
                <w:szCs w:val="18"/>
              </w:rPr>
              <w:br/>
              <w:t>(Present Value)</w:t>
            </w:r>
          </w:p>
        </w:tc>
      </w:tr>
      <w:tr w:rsidR="001844B6" w:rsidRPr="00490F71" w:rsidTr="00490F71">
        <w:trPr>
          <w:trHeight w:hRule="exact" w:val="348"/>
        </w:trPr>
        <w:tc>
          <w:tcPr>
            <w:tcW w:w="1995" w:type="dxa"/>
            <w:tcBorders>
              <w:top w:val="single" w:sz="6" w:space="0" w:color="auto"/>
              <w:bottom w:val="single" w:sz="6" w:space="0" w:color="auto"/>
            </w:tcBorders>
            <w:shd w:val="clear" w:color="auto" w:fill="auto"/>
            <w:vAlign w:val="center"/>
          </w:tcPr>
          <w:p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1844B6" w:rsidRPr="00490F71" w:rsidRDefault="00DD321F" w:rsidP="005A3880">
            <w:pPr>
              <w:pStyle w:val="POTTBenLow"/>
              <w:rPr>
                <w:sz w:val="20"/>
              </w:rPr>
            </w:pPr>
            <w:r>
              <w:rPr>
                <w:sz w:val="20"/>
              </w:rPr>
              <w:t>-</w:t>
            </w:r>
          </w:p>
        </w:tc>
        <w:tc>
          <w:tcPr>
            <w:tcW w:w="790" w:type="dxa"/>
            <w:vMerge w:val="restart"/>
            <w:tcBorders>
              <w:top w:val="single" w:sz="6" w:space="0" w:color="auto"/>
            </w:tcBorders>
            <w:shd w:val="clear" w:color="auto" w:fill="auto"/>
            <w:vAlign w:val="center"/>
          </w:tcPr>
          <w:p w:rsidR="001844B6" w:rsidRPr="00490F71" w:rsidRDefault="003D023A" w:rsidP="00490F71">
            <w:pPr>
              <w:pStyle w:val="IATableText"/>
              <w:jc w:val="center"/>
              <w:rPr>
                <w:sz w:val="20"/>
              </w:rPr>
            </w:pPr>
            <w:r w:rsidRPr="00490F71">
              <w:rPr>
                <w:sz w:val="20"/>
              </w:rPr>
              <w:fldChar w:fldCharType="begin">
                <w:ffData>
                  <w:name w:val="Text48"/>
                  <w:enabled/>
                  <w:calcOnExit w:val="0"/>
                  <w:textInput>
                    <w:maxLength w:val="3"/>
                  </w:textInput>
                </w:ffData>
              </w:fldChar>
            </w:r>
            <w:r w:rsidR="001844B6" w:rsidRPr="00490F71">
              <w:rPr>
                <w:sz w:val="20"/>
              </w:rPr>
              <w:instrText xml:space="preserve"> FORMTEXT </w:instrText>
            </w:r>
            <w:r w:rsidRPr="00490F71">
              <w:rPr>
                <w:sz w:val="20"/>
              </w:rPr>
            </w:r>
            <w:r w:rsidRPr="00490F71">
              <w:rPr>
                <w:sz w:val="20"/>
              </w:rPr>
              <w:fldChar w:fldCharType="separate"/>
            </w:r>
            <w:r w:rsidR="001844B6" w:rsidRPr="00490F71">
              <w:rPr>
                <w:noProof/>
                <w:sz w:val="20"/>
              </w:rPr>
              <w:t> </w:t>
            </w:r>
            <w:r w:rsidR="001844B6" w:rsidRPr="00490F71">
              <w:rPr>
                <w:noProof/>
                <w:sz w:val="20"/>
              </w:rPr>
              <w:t> </w:t>
            </w:r>
            <w:r w:rsidR="001844B6" w:rsidRPr="00490F71">
              <w:rPr>
                <w:noProof/>
                <w:sz w:val="20"/>
              </w:rPr>
              <w:t> </w:t>
            </w:r>
            <w:r w:rsidRPr="00490F71">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490F71" w:rsidRDefault="00C02BC2" w:rsidP="00A21E63">
            <w:pPr>
              <w:pStyle w:val="POAABenLow"/>
              <w:rPr>
                <w:sz w:val="20"/>
              </w:rPr>
            </w:pPr>
            <w:r>
              <w:rPr>
                <w:sz w:val="20"/>
              </w:rPr>
              <w:t>0.</w:t>
            </w:r>
            <w:r w:rsidR="00A21E63">
              <w:rPr>
                <w:sz w:val="20"/>
              </w:rPr>
              <w:t>509</w:t>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DD321F" w:rsidRDefault="00A21E63" w:rsidP="00992525">
            <w:pPr>
              <w:pStyle w:val="POTBBenLow"/>
              <w:rPr>
                <w:sz w:val="20"/>
              </w:rPr>
            </w:pPr>
            <w:r>
              <w:rPr>
                <w:sz w:val="20"/>
              </w:rPr>
              <w:t>4.366</w:t>
            </w:r>
          </w:p>
        </w:tc>
      </w:tr>
      <w:tr w:rsidR="001844B6" w:rsidRPr="00490F71" w:rsidTr="00490F71">
        <w:trPr>
          <w:trHeight w:hRule="exact" w:val="348"/>
        </w:trPr>
        <w:tc>
          <w:tcPr>
            <w:tcW w:w="1995" w:type="dxa"/>
            <w:tcBorders>
              <w:top w:val="single" w:sz="6" w:space="0" w:color="auto"/>
              <w:bottom w:val="single" w:sz="12" w:space="0" w:color="auto"/>
            </w:tcBorders>
            <w:shd w:val="clear" w:color="auto" w:fill="auto"/>
            <w:vAlign w:val="center"/>
          </w:tcPr>
          <w:p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1844B6" w:rsidRPr="00490F71" w:rsidRDefault="00DD321F" w:rsidP="005A3880">
            <w:pPr>
              <w:pStyle w:val="POTTBenHigh"/>
              <w:rPr>
                <w:sz w:val="20"/>
              </w:rPr>
            </w:pPr>
            <w:r>
              <w:rPr>
                <w:sz w:val="20"/>
              </w:rPr>
              <w:t>-</w:t>
            </w:r>
          </w:p>
        </w:tc>
        <w:tc>
          <w:tcPr>
            <w:tcW w:w="790" w:type="dxa"/>
            <w:vMerge/>
            <w:shd w:val="clear" w:color="auto" w:fill="FFFFFF"/>
            <w:vAlign w:val="center"/>
          </w:tcPr>
          <w:p w:rsidR="001844B6" w:rsidRPr="00490F71" w:rsidRDefault="001844B6" w:rsidP="00490F7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490F71" w:rsidRDefault="00C02BC2" w:rsidP="00063E62">
            <w:pPr>
              <w:pStyle w:val="POAABenHigh"/>
              <w:rPr>
                <w:sz w:val="20"/>
              </w:rPr>
            </w:pPr>
            <w:r>
              <w:rPr>
                <w:sz w:val="20"/>
              </w:rPr>
              <w:t>0.</w:t>
            </w:r>
            <w:r w:rsidR="00A21E63">
              <w:rPr>
                <w:sz w:val="20"/>
              </w:rPr>
              <w:t>57</w:t>
            </w:r>
            <w:r w:rsidR="00063E62">
              <w:rPr>
                <w:sz w:val="20"/>
              </w:rPr>
              <w:t>8</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EF16E4" w:rsidRDefault="00A21E63" w:rsidP="00D068C0">
            <w:pPr>
              <w:pStyle w:val="POTBBenHigh"/>
              <w:rPr>
                <w:sz w:val="20"/>
              </w:rPr>
            </w:pPr>
            <w:r>
              <w:rPr>
                <w:sz w:val="20"/>
              </w:rPr>
              <w:t>4.95</w:t>
            </w:r>
            <w:r w:rsidR="00D068C0">
              <w:rPr>
                <w:sz w:val="20"/>
              </w:rPr>
              <w:t>0</w:t>
            </w:r>
          </w:p>
        </w:tc>
      </w:tr>
      <w:tr w:rsidR="001844B6" w:rsidRPr="00490F71" w:rsidTr="00490F71">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826F71" w:rsidRDefault="001844B6" w:rsidP="005A3880">
            <w:pPr>
              <w:pStyle w:val="IATableLabel"/>
            </w:pPr>
            <w:r w:rsidRPr="00826F71">
              <w:t xml:space="preserve">Best </w:t>
            </w:r>
            <w:r>
              <w:t>E</w:t>
            </w:r>
            <w:r w:rsidRPr="00826F71">
              <w:t>stimate</w:t>
            </w:r>
          </w:p>
          <w:p w:rsidR="001844B6" w:rsidRPr="00490F71" w:rsidRDefault="001844B6" w:rsidP="00AB125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0F71" w:rsidRDefault="009C41A2" w:rsidP="005A3880">
            <w:pPr>
              <w:pStyle w:val="POTTBen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rsidR="001844B6" w:rsidRPr="00490F71" w:rsidRDefault="001844B6" w:rsidP="00490F7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0F71" w:rsidRDefault="00C02BC2" w:rsidP="007A28FB">
            <w:pPr>
              <w:pStyle w:val="POAABenBest"/>
              <w:rPr>
                <w:sz w:val="20"/>
              </w:rPr>
            </w:pPr>
            <w:r>
              <w:rPr>
                <w:sz w:val="20"/>
              </w:rPr>
              <w:t>0.</w:t>
            </w:r>
            <w:r w:rsidR="00A21E63">
              <w:rPr>
                <w:sz w:val="20"/>
              </w:rPr>
              <w:t>522</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EF16E4" w:rsidRDefault="003D023A" w:rsidP="00A21E63">
            <w:pPr>
              <w:pStyle w:val="POTBBenBest"/>
              <w:rPr>
                <w:sz w:val="20"/>
              </w:rPr>
            </w:pPr>
            <w:r w:rsidRPr="00DD321F">
              <w:rPr>
                <w:sz w:val="20"/>
              </w:rPr>
              <w:fldChar w:fldCharType="begin">
                <w:ffData>
                  <w:name w:val=""/>
                  <w:enabled/>
                  <w:calcOnExit w:val="0"/>
                  <w:textInput>
                    <w:maxLength w:val="14"/>
                  </w:textInput>
                </w:ffData>
              </w:fldChar>
            </w:r>
            <w:r w:rsidR="001844B6" w:rsidRPr="00DD321F">
              <w:rPr>
                <w:sz w:val="20"/>
              </w:rPr>
              <w:instrText xml:space="preserve"> FORMTEXT </w:instrText>
            </w:r>
            <w:r w:rsidRPr="00DD321F">
              <w:rPr>
                <w:sz w:val="20"/>
              </w:rPr>
            </w:r>
            <w:r w:rsidRPr="00DD321F">
              <w:rPr>
                <w:sz w:val="20"/>
              </w:rPr>
              <w:fldChar w:fldCharType="separate"/>
            </w:r>
            <w:r w:rsidR="001844B6" w:rsidRPr="00DD321F">
              <w:rPr>
                <w:noProof/>
                <w:sz w:val="20"/>
              </w:rPr>
              <w:t> </w:t>
            </w:r>
            <w:r w:rsidR="001844B6" w:rsidRPr="00DD321F">
              <w:rPr>
                <w:noProof/>
                <w:sz w:val="20"/>
              </w:rPr>
              <w:t> </w:t>
            </w:r>
            <w:r w:rsidR="001844B6" w:rsidRPr="00DD321F">
              <w:rPr>
                <w:noProof/>
                <w:sz w:val="20"/>
              </w:rPr>
              <w:t> </w:t>
            </w:r>
            <w:r w:rsidR="001844B6" w:rsidRPr="00DD321F">
              <w:rPr>
                <w:noProof/>
                <w:sz w:val="20"/>
              </w:rPr>
              <w:t> </w:t>
            </w:r>
            <w:r w:rsidR="001844B6" w:rsidRPr="00DD321F">
              <w:rPr>
                <w:noProof/>
                <w:sz w:val="20"/>
              </w:rPr>
              <w:t> </w:t>
            </w:r>
            <w:r w:rsidRPr="00DD321F">
              <w:rPr>
                <w:sz w:val="20"/>
              </w:rPr>
              <w:fldChar w:fldCharType="end"/>
            </w:r>
            <w:r w:rsidR="00A21E63">
              <w:rPr>
                <w:sz w:val="20"/>
              </w:rPr>
              <w:t>4.471</w:t>
            </w:r>
          </w:p>
        </w:tc>
      </w:tr>
      <w:tr w:rsidR="001844B6" w:rsidRPr="00826F71" w:rsidTr="00490F71">
        <w:trPr>
          <w:trHeight w:hRule="exact" w:val="1701"/>
        </w:trPr>
        <w:tc>
          <w:tcPr>
            <w:tcW w:w="10235" w:type="dxa"/>
            <w:gridSpan w:val="6"/>
            <w:shd w:val="clear" w:color="auto" w:fill="auto"/>
          </w:tcPr>
          <w:p w:rsidR="001844B6" w:rsidRPr="00490F71"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001844B6" w:rsidRDefault="004D3880" w:rsidP="00857235">
            <w:pPr>
              <w:pStyle w:val="IAPOA3"/>
              <w:rPr>
                <w:noProof/>
              </w:rPr>
            </w:pPr>
            <w:r>
              <w:rPr>
                <w:noProof/>
              </w:rPr>
              <w:t xml:space="preserve">Cost savings to </w:t>
            </w:r>
            <w:r w:rsidR="00D068C0">
              <w:rPr>
                <w:noProof/>
              </w:rPr>
              <w:t>g</w:t>
            </w:r>
            <w:r w:rsidR="009C41A2">
              <w:rPr>
                <w:noProof/>
              </w:rPr>
              <w:t>overnment in the region of £</w:t>
            </w:r>
            <w:r w:rsidR="00C50B8F">
              <w:rPr>
                <w:noProof/>
              </w:rPr>
              <w:t>445</w:t>
            </w:r>
            <w:r w:rsidR="00583787">
              <w:rPr>
                <w:noProof/>
              </w:rPr>
              <w:t>k</w:t>
            </w:r>
            <w:r w:rsidR="0074553B">
              <w:rPr>
                <w:noProof/>
              </w:rPr>
              <w:t xml:space="preserve"> p</w:t>
            </w:r>
            <w:r w:rsidR="00D068C0">
              <w:rPr>
                <w:noProof/>
              </w:rPr>
              <w:t xml:space="preserve">er </w:t>
            </w:r>
            <w:r w:rsidR="0074553B">
              <w:rPr>
                <w:noProof/>
              </w:rPr>
              <w:t>a</w:t>
            </w:r>
            <w:r w:rsidR="00D068C0">
              <w:rPr>
                <w:noProof/>
              </w:rPr>
              <w:t>nnum</w:t>
            </w:r>
            <w:r w:rsidR="009C41A2">
              <w:rPr>
                <w:noProof/>
              </w:rPr>
              <w:t xml:space="preserve"> through a reduced number of bulk milk </w:t>
            </w:r>
            <w:r w:rsidR="00A24B1F">
              <w:rPr>
                <w:noProof/>
              </w:rPr>
              <w:t xml:space="preserve">tank </w:t>
            </w:r>
            <w:r w:rsidR="009C41A2">
              <w:rPr>
                <w:noProof/>
              </w:rPr>
              <w:t xml:space="preserve">tests and </w:t>
            </w:r>
            <w:r w:rsidR="00DD321F">
              <w:rPr>
                <w:noProof/>
              </w:rPr>
              <w:t xml:space="preserve">AHVLA </w:t>
            </w:r>
            <w:r w:rsidR="009C41A2">
              <w:rPr>
                <w:noProof/>
              </w:rPr>
              <w:t xml:space="preserve">no longer having to collect </w:t>
            </w:r>
            <w:r w:rsidR="00F76979">
              <w:rPr>
                <w:noProof/>
              </w:rPr>
              <w:t xml:space="preserve">as many </w:t>
            </w:r>
            <w:r w:rsidR="009C41A2">
              <w:rPr>
                <w:noProof/>
              </w:rPr>
              <w:t>samples from producer</w:t>
            </w:r>
            <w:r w:rsidR="00586BBC">
              <w:rPr>
                <w:noProof/>
              </w:rPr>
              <w:t xml:space="preserve"> </w:t>
            </w:r>
            <w:r w:rsidR="009C41A2">
              <w:rPr>
                <w:noProof/>
              </w:rPr>
              <w:t>retailers. Industry cost savings in the region of £</w:t>
            </w:r>
            <w:r w:rsidR="00C50B8F">
              <w:rPr>
                <w:noProof/>
              </w:rPr>
              <w:t>88</w:t>
            </w:r>
            <w:r w:rsidR="00583787">
              <w:rPr>
                <w:noProof/>
              </w:rPr>
              <w:t>k</w:t>
            </w:r>
            <w:r w:rsidR="0074553B">
              <w:rPr>
                <w:noProof/>
              </w:rPr>
              <w:t xml:space="preserve"> p</w:t>
            </w:r>
            <w:r w:rsidR="00C50B8F">
              <w:rPr>
                <w:noProof/>
              </w:rPr>
              <w:t xml:space="preserve">er </w:t>
            </w:r>
            <w:r w:rsidR="0074553B">
              <w:rPr>
                <w:noProof/>
              </w:rPr>
              <w:t>a</w:t>
            </w:r>
            <w:r w:rsidR="00C50B8F">
              <w:rPr>
                <w:noProof/>
              </w:rPr>
              <w:t>nnum</w:t>
            </w:r>
            <w:r w:rsidR="00661B51">
              <w:rPr>
                <w:noProof/>
              </w:rPr>
              <w:t>,</w:t>
            </w:r>
            <w:r w:rsidR="009C41A2">
              <w:rPr>
                <w:noProof/>
              </w:rPr>
              <w:t xml:space="preserve"> </w:t>
            </w:r>
            <w:r w:rsidR="00661B51">
              <w:rPr>
                <w:noProof/>
              </w:rPr>
              <w:t xml:space="preserve">principally </w:t>
            </w:r>
            <w:r w:rsidR="009C41A2">
              <w:rPr>
                <w:noProof/>
              </w:rPr>
              <w:t xml:space="preserve">as a result of </w:t>
            </w:r>
            <w:r w:rsidR="00D66025">
              <w:rPr>
                <w:noProof/>
              </w:rPr>
              <w:t xml:space="preserve">quarterly </w:t>
            </w:r>
            <w:r w:rsidR="00661B51">
              <w:rPr>
                <w:noProof/>
              </w:rPr>
              <w:t xml:space="preserve">instead of monthly </w:t>
            </w:r>
            <w:r w:rsidR="00D66025">
              <w:rPr>
                <w:noProof/>
              </w:rPr>
              <w:t>testing</w:t>
            </w:r>
            <w:r w:rsidR="00661B51">
              <w:rPr>
                <w:noProof/>
              </w:rPr>
              <w:t xml:space="preserve">. </w:t>
            </w:r>
            <w:r w:rsidR="00AB1258">
              <w:rPr>
                <w:noProof/>
              </w:rPr>
              <w:t xml:space="preserve">                                                 </w:t>
            </w:r>
          </w:p>
          <w:p w:rsidR="00AB1258" w:rsidRDefault="00AB1258" w:rsidP="00857235">
            <w:pPr>
              <w:pStyle w:val="IAPOA3"/>
              <w:rPr>
                <w:noProof/>
              </w:rPr>
            </w:pPr>
          </w:p>
          <w:p w:rsidR="00AB1258" w:rsidRPr="00AB1258" w:rsidRDefault="00AB1258" w:rsidP="00AB1258">
            <w:pPr>
              <w:pStyle w:val="IAPOA3"/>
              <w:rPr>
                <w:sz w:val="16"/>
                <w:szCs w:val="16"/>
              </w:rPr>
            </w:pPr>
          </w:p>
        </w:tc>
      </w:tr>
      <w:tr w:rsidR="001844B6" w:rsidRPr="00826F71" w:rsidTr="00490F71">
        <w:trPr>
          <w:trHeight w:hRule="exact" w:val="1701"/>
        </w:trPr>
        <w:tc>
          <w:tcPr>
            <w:tcW w:w="10235" w:type="dxa"/>
            <w:gridSpan w:val="6"/>
            <w:shd w:val="clear" w:color="auto" w:fill="auto"/>
          </w:tcPr>
          <w:p w:rsidR="001844B6" w:rsidRPr="00490F71"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rsidR="001844B6" w:rsidRPr="00826F71" w:rsidRDefault="00387D1E" w:rsidP="003B3840">
            <w:pPr>
              <w:pStyle w:val="IAPOA4"/>
            </w:pPr>
            <w:r>
              <w:rPr>
                <w:noProof/>
              </w:rPr>
              <w:t xml:space="preserve">The removal of </w:t>
            </w:r>
            <w:r w:rsidR="003B3840">
              <w:rPr>
                <w:noProof/>
              </w:rPr>
              <w:t xml:space="preserve">a small </w:t>
            </w:r>
            <w:r>
              <w:rPr>
                <w:noProof/>
              </w:rPr>
              <w:t>b</w:t>
            </w:r>
            <w:r w:rsidR="009C41A2">
              <w:rPr>
                <w:noProof/>
              </w:rPr>
              <w:t>i</w:t>
            </w:r>
            <w:r>
              <w:rPr>
                <w:noProof/>
              </w:rPr>
              <w:t>o</w:t>
            </w:r>
            <w:r w:rsidR="00661B51">
              <w:rPr>
                <w:noProof/>
              </w:rPr>
              <w:t>security risk associated with f</w:t>
            </w:r>
            <w:r w:rsidR="009C41A2">
              <w:rPr>
                <w:noProof/>
              </w:rPr>
              <w:t xml:space="preserve">arm visits to collect </w:t>
            </w:r>
            <w:r w:rsidR="00583787">
              <w:rPr>
                <w:noProof/>
              </w:rPr>
              <w:t xml:space="preserve">bulk milk </w:t>
            </w:r>
            <w:r w:rsidR="00A24B1F">
              <w:rPr>
                <w:noProof/>
              </w:rPr>
              <w:t xml:space="preserve">tank </w:t>
            </w:r>
            <w:r w:rsidR="009C41A2">
              <w:rPr>
                <w:noProof/>
              </w:rPr>
              <w:t>samples</w:t>
            </w:r>
            <w:r w:rsidR="00586BBC">
              <w:rPr>
                <w:noProof/>
              </w:rPr>
              <w:t xml:space="preserve">. More flexibility for producer </w:t>
            </w:r>
            <w:r w:rsidR="009C41A2">
              <w:rPr>
                <w:noProof/>
              </w:rPr>
              <w:t xml:space="preserve">retailers over </w:t>
            </w:r>
            <w:r w:rsidR="004638E0">
              <w:rPr>
                <w:noProof/>
              </w:rPr>
              <w:t xml:space="preserve">when they </w:t>
            </w:r>
            <w:r w:rsidR="009C41A2">
              <w:rPr>
                <w:noProof/>
              </w:rPr>
              <w:t>empty their bulk milk tanks</w:t>
            </w:r>
            <w:r w:rsidR="003B3840">
              <w:rPr>
                <w:noProof/>
              </w:rPr>
              <w:t xml:space="preserve"> on three occasions</w:t>
            </w:r>
            <w:r w:rsidR="009C41A2">
              <w:rPr>
                <w:noProof/>
              </w:rPr>
              <w:t xml:space="preserve">, which in turn should be of </w:t>
            </w:r>
            <w:r w:rsidR="00FD666C">
              <w:rPr>
                <w:noProof/>
              </w:rPr>
              <w:t xml:space="preserve">some </w:t>
            </w:r>
            <w:r w:rsidR="009C41A2">
              <w:rPr>
                <w:noProof/>
              </w:rPr>
              <w:t xml:space="preserve">benefit to business operations. </w:t>
            </w:r>
          </w:p>
        </w:tc>
      </w:tr>
      <w:tr w:rsidR="001844B6" w:rsidRPr="00826F71" w:rsidTr="00490F71">
        <w:trPr>
          <w:trHeight w:hRule="exact" w:val="346"/>
        </w:trPr>
        <w:tc>
          <w:tcPr>
            <w:tcW w:w="9375" w:type="dxa"/>
            <w:gridSpan w:val="5"/>
            <w:tcBorders>
              <w:top w:val="single" w:sz="6" w:space="0" w:color="auto"/>
              <w:bottom w:val="nil"/>
            </w:tcBorders>
            <w:shd w:val="clear" w:color="auto" w:fill="auto"/>
          </w:tcPr>
          <w:p w:rsidR="001844B6" w:rsidRDefault="001844B6" w:rsidP="00490F71">
            <w:pPr>
              <w:pStyle w:val="IATableLabel"/>
              <w:tabs>
                <w:tab w:val="left" w:pos="7655"/>
              </w:tabs>
            </w:pPr>
            <w:r w:rsidRPr="00F1653E">
              <w:rPr>
                <w:rStyle w:val="IAPOQ5Char"/>
              </w:rPr>
              <w:t>Key assumptions/sensitivities/risks</w:t>
            </w:r>
            <w:r>
              <w:tab/>
              <w:t>Discount rate (%)</w:t>
            </w:r>
          </w:p>
          <w:p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7E6CF8" w:rsidRDefault="004D3880" w:rsidP="005A3880">
            <w:pPr>
              <w:pStyle w:val="IAPODisRate"/>
            </w:pPr>
            <w:r>
              <w:t>3.5</w:t>
            </w:r>
          </w:p>
        </w:tc>
      </w:tr>
      <w:tr w:rsidR="001844B6" w:rsidRPr="00490F71" w:rsidTr="00490F71">
        <w:trPr>
          <w:trHeight w:hRule="exact" w:val="1375"/>
        </w:trPr>
        <w:tc>
          <w:tcPr>
            <w:tcW w:w="10235" w:type="dxa"/>
            <w:gridSpan w:val="6"/>
            <w:tcBorders>
              <w:top w:val="nil"/>
              <w:bottom w:val="single" w:sz="12" w:space="0" w:color="auto"/>
            </w:tcBorders>
            <w:shd w:val="clear" w:color="auto" w:fill="auto"/>
          </w:tcPr>
          <w:p w:rsidR="001844B6" w:rsidRDefault="000B1818" w:rsidP="00E56522">
            <w:pPr>
              <w:pStyle w:val="IAPOA5"/>
              <w:rPr>
                <w:noProof/>
              </w:rPr>
            </w:pPr>
            <w:r>
              <w:rPr>
                <w:noProof/>
              </w:rPr>
              <w:t>A</w:t>
            </w:r>
            <w:r w:rsidR="00586BBC">
              <w:rPr>
                <w:noProof/>
              </w:rPr>
              <w:t xml:space="preserve">ll producer </w:t>
            </w:r>
            <w:r w:rsidR="009C41A2">
              <w:rPr>
                <w:noProof/>
              </w:rPr>
              <w:t xml:space="preserve">retailers </w:t>
            </w:r>
            <w:r w:rsidR="005D601C">
              <w:rPr>
                <w:noProof/>
              </w:rPr>
              <w:t>will s</w:t>
            </w:r>
            <w:r w:rsidR="009C41A2">
              <w:rPr>
                <w:noProof/>
              </w:rPr>
              <w:t xml:space="preserve">ubmit bulk milk </w:t>
            </w:r>
            <w:r w:rsidR="00A24B1F">
              <w:rPr>
                <w:noProof/>
              </w:rPr>
              <w:t xml:space="preserve">tank </w:t>
            </w:r>
            <w:r w:rsidR="009C41A2">
              <w:rPr>
                <w:noProof/>
              </w:rPr>
              <w:t>samples direct to AHVLA (and not via a private laboratory). The</w:t>
            </w:r>
            <w:r>
              <w:rPr>
                <w:noProof/>
              </w:rPr>
              <w:t xml:space="preserve">re are currently approximately </w:t>
            </w:r>
            <w:r w:rsidR="00A24B1F">
              <w:rPr>
                <w:noProof/>
              </w:rPr>
              <w:t>100</w:t>
            </w:r>
            <w:r w:rsidR="009C41A2">
              <w:rPr>
                <w:noProof/>
              </w:rPr>
              <w:t xml:space="preserve"> producer</w:t>
            </w:r>
            <w:r w:rsidR="00586BBC">
              <w:rPr>
                <w:noProof/>
              </w:rPr>
              <w:t xml:space="preserve"> </w:t>
            </w:r>
            <w:r w:rsidR="009C41A2">
              <w:rPr>
                <w:noProof/>
              </w:rPr>
              <w:t>retailers</w:t>
            </w:r>
            <w:r w:rsidR="00985777">
              <w:rPr>
                <w:noProof/>
              </w:rPr>
              <w:t xml:space="preserve"> in England</w:t>
            </w:r>
            <w:r w:rsidR="00274558">
              <w:rPr>
                <w:noProof/>
              </w:rPr>
              <w:t xml:space="preserve"> and Wales</w:t>
            </w:r>
            <w:r w:rsidR="00985777">
              <w:rPr>
                <w:noProof/>
              </w:rPr>
              <w:t xml:space="preserve">. </w:t>
            </w:r>
            <w:r w:rsidR="005D601C">
              <w:rPr>
                <w:noProof/>
              </w:rPr>
              <w:t>The risk of incursion of disease is low and we would detect it early. Trading patterns in cattle imported to GB remain largely the same.</w:t>
            </w:r>
            <w:r w:rsidR="00C50B8F">
              <w:rPr>
                <w:noProof/>
              </w:rPr>
              <w:t xml:space="preserve"> </w:t>
            </w:r>
            <w:r>
              <w:rPr>
                <w:noProof/>
              </w:rPr>
              <w:t>Key sensitivities include t</w:t>
            </w:r>
            <w:r w:rsidR="00E56522">
              <w:rPr>
                <w:noProof/>
              </w:rPr>
              <w:t xml:space="preserve">he number of milk vats/tanks eligible for testing and the cost of sample pots. The latter is dependent on savings that </w:t>
            </w:r>
            <w:r>
              <w:rPr>
                <w:noProof/>
              </w:rPr>
              <w:t>may</w:t>
            </w:r>
            <w:r w:rsidR="00E56522">
              <w:rPr>
                <w:noProof/>
              </w:rPr>
              <w:t xml:space="preserve"> be gained through high volume</w:t>
            </w:r>
            <w:r>
              <w:rPr>
                <w:noProof/>
              </w:rPr>
              <w:t xml:space="preserve"> (bulk)</w:t>
            </w:r>
            <w:r w:rsidR="00E56522">
              <w:rPr>
                <w:noProof/>
              </w:rPr>
              <w:t xml:space="preserve"> purchasing. </w:t>
            </w:r>
          </w:p>
          <w:p w:rsidR="00E56522" w:rsidRPr="00544292" w:rsidRDefault="00E56522" w:rsidP="00E56522">
            <w:pPr>
              <w:pStyle w:val="IAPOA5"/>
              <w:rPr>
                <w:noProof/>
              </w:rPr>
            </w:pPr>
          </w:p>
        </w:tc>
      </w:tr>
    </w:tbl>
    <w:p w:rsidR="001844B6" w:rsidRDefault="001844B6" w:rsidP="005A3880">
      <w:pPr>
        <w:pStyle w:val="IASpacer"/>
      </w:pPr>
    </w:p>
    <w:p w:rsidR="001844B6" w:rsidRDefault="00F63895" w:rsidP="005A3880">
      <w:pPr>
        <w:pStyle w:val="IAHeadLabel"/>
        <w:spacing w:before="50"/>
      </w:pPr>
      <w:r>
        <w:t xml:space="preserve">BUSINESS </w:t>
      </w:r>
      <w:r w:rsidR="001844B6">
        <w:t xml:space="preserve">ASSESSMENT (Option </w:t>
      </w:r>
      <w:r w:rsidR="00403E13">
        <w:fldChar w:fldCharType="begin"/>
      </w:r>
      <w:r w:rsidR="00403E13">
        <w:instrText xml:space="preserve"> SEQ BA </w:instrText>
      </w:r>
      <w:r w:rsidR="00403E13">
        <w:fldChar w:fldCharType="separate"/>
      </w:r>
      <w:r w:rsidR="004B5B4E">
        <w:rPr>
          <w:noProof/>
        </w:rPr>
        <w:t>1</w:t>
      </w:r>
      <w:r w:rsidR="00403E13">
        <w:rPr>
          <w:noProof/>
        </w:rPr>
        <w:fldChar w:fldCharType="end"/>
      </w:r>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0E02BE" w:rsidTr="005A3880">
        <w:trPr>
          <w:trHeight w:hRule="exact" w:val="312"/>
        </w:trPr>
        <w:tc>
          <w:tcPr>
            <w:tcW w:w="6125" w:type="dxa"/>
            <w:gridSpan w:val="3"/>
            <w:tcBorders>
              <w:top w:val="single" w:sz="4" w:space="0" w:color="auto"/>
              <w:bottom w:val="nil"/>
              <w:right w:val="single" w:sz="4" w:space="0" w:color="auto"/>
            </w:tcBorders>
          </w:tcPr>
          <w:p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rsidR="001844B6" w:rsidRPr="000E02BE" w:rsidRDefault="005B5FA8" w:rsidP="005A3880">
            <w:pPr>
              <w:pStyle w:val="IATableLabel"/>
            </w:pPr>
            <w:r>
              <w:t>In scope of OIT</w:t>
            </w:r>
            <w:r w:rsidR="001844B6" w:rsidRPr="000E02BE">
              <w:t>O?</w:t>
            </w:r>
          </w:p>
        </w:tc>
        <w:tc>
          <w:tcPr>
            <w:tcW w:w="2110" w:type="dxa"/>
            <w:tcBorders>
              <w:top w:val="single" w:sz="4" w:space="0" w:color="auto"/>
              <w:left w:val="nil"/>
              <w:bottom w:val="nil"/>
              <w:right w:val="single" w:sz="4" w:space="0" w:color="auto"/>
            </w:tcBorders>
            <w:shd w:val="clear" w:color="auto" w:fill="auto"/>
          </w:tcPr>
          <w:p w:rsidR="001844B6" w:rsidRPr="000E02BE" w:rsidRDefault="001844B6" w:rsidP="005A3880">
            <w:pPr>
              <w:pStyle w:val="IATableLabel"/>
              <w:ind w:left="0"/>
            </w:pPr>
            <w:r w:rsidRPr="000E02BE">
              <w:t xml:space="preserve">  Measure qualifies as</w:t>
            </w:r>
          </w:p>
        </w:tc>
      </w:tr>
      <w:tr w:rsidR="001844B6" w:rsidRPr="00E75380" w:rsidTr="005A3880">
        <w:trPr>
          <w:trHeight w:hRule="exact" w:val="340"/>
        </w:trPr>
        <w:tc>
          <w:tcPr>
            <w:tcW w:w="1990" w:type="dxa"/>
            <w:tcBorders>
              <w:top w:val="nil"/>
              <w:bottom w:val="single" w:sz="4" w:space="0" w:color="auto"/>
              <w:right w:val="single" w:sz="4" w:space="0" w:color="auto"/>
            </w:tcBorders>
            <w:shd w:val="clear" w:color="auto" w:fill="FFFFFF"/>
          </w:tcPr>
          <w:p w:rsidR="00EF16E4" w:rsidRDefault="001844B6" w:rsidP="00AB1258">
            <w:pPr>
              <w:pStyle w:val="IATableLabel"/>
            </w:pPr>
            <w:r w:rsidRPr="00F63895">
              <w:t xml:space="preserve">Costs: </w:t>
            </w:r>
            <w:r w:rsidR="001B2528">
              <w:t>0.00</w:t>
            </w:r>
            <w:r w:rsidR="00AB1258">
              <w:t>2</w:t>
            </w:r>
          </w:p>
        </w:tc>
        <w:tc>
          <w:tcPr>
            <w:tcW w:w="2155" w:type="dxa"/>
            <w:tcBorders>
              <w:top w:val="nil"/>
              <w:bottom w:val="single" w:sz="4" w:space="0" w:color="auto"/>
              <w:right w:val="single" w:sz="4" w:space="0" w:color="auto"/>
            </w:tcBorders>
            <w:shd w:val="clear" w:color="auto" w:fill="FFFFFF"/>
          </w:tcPr>
          <w:p w:rsidR="00EF16E4" w:rsidRDefault="001844B6" w:rsidP="00661B51">
            <w:pPr>
              <w:pStyle w:val="IATableLabel"/>
            </w:pPr>
            <w:r w:rsidRPr="00F63895">
              <w:t xml:space="preserve">Benefits: </w:t>
            </w:r>
            <w:r w:rsidR="001B2528">
              <w:t>0.0</w:t>
            </w:r>
            <w:r w:rsidR="00661B51">
              <w:t>87</w:t>
            </w:r>
          </w:p>
        </w:tc>
        <w:tc>
          <w:tcPr>
            <w:tcW w:w="1980" w:type="dxa"/>
            <w:tcBorders>
              <w:top w:val="nil"/>
              <w:bottom w:val="single" w:sz="4" w:space="0" w:color="auto"/>
              <w:right w:val="single" w:sz="4" w:space="0" w:color="auto"/>
            </w:tcBorders>
            <w:shd w:val="clear" w:color="auto" w:fill="FFFFFF"/>
          </w:tcPr>
          <w:p w:rsidR="00EF16E4" w:rsidRDefault="001844B6" w:rsidP="00661B51">
            <w:pPr>
              <w:pStyle w:val="IATableLabel"/>
            </w:pPr>
            <w:r w:rsidRPr="00F63895">
              <w:t>Net:</w:t>
            </w:r>
            <w:r w:rsidR="00E56522">
              <w:t xml:space="preserve"> </w:t>
            </w:r>
            <w:r w:rsidR="001B2528">
              <w:t>0.0</w:t>
            </w:r>
            <w:r w:rsidR="00661B51">
              <w:t>86</w:t>
            </w:r>
          </w:p>
        </w:tc>
        <w:tc>
          <w:tcPr>
            <w:tcW w:w="1980" w:type="dxa"/>
            <w:tcBorders>
              <w:top w:val="nil"/>
              <w:left w:val="single" w:sz="4" w:space="0" w:color="auto"/>
              <w:bottom w:val="single" w:sz="4" w:space="0" w:color="auto"/>
              <w:right w:val="single" w:sz="4" w:space="0" w:color="auto"/>
            </w:tcBorders>
            <w:shd w:val="clear" w:color="auto" w:fill="FFFFFF"/>
          </w:tcPr>
          <w:p w:rsidR="001844B6" w:rsidRPr="00F63895" w:rsidRDefault="00E56522" w:rsidP="005A3880">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rsidR="001844B6" w:rsidRPr="00F63895" w:rsidRDefault="00E56522" w:rsidP="005A3880">
            <w:pPr>
              <w:pStyle w:val="IAPODIMQ"/>
            </w:pPr>
            <w:r>
              <w:t>Out</w:t>
            </w:r>
          </w:p>
        </w:tc>
      </w:tr>
    </w:tbl>
    <w:p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rsidR="00367E3E" w:rsidRDefault="00367E3E" w:rsidP="00367E3E">
      <w:pPr>
        <w:pStyle w:val="Heading1"/>
        <w:spacing w:before="0"/>
      </w:pPr>
      <w:bookmarkStart w:id="28" w:name="EvidenceHead"/>
      <w:r>
        <w:lastRenderedPageBreak/>
        <w:t>Summary: Analysis &amp; Evidence</w:t>
      </w:r>
      <w:r>
        <w:tab/>
      </w:r>
      <w:r w:rsidRPr="00E3545D">
        <w:rPr>
          <w:rFonts w:ascii="Arial" w:hAnsi="Arial"/>
          <w:b w:val="0"/>
          <w:bCs w:val="0"/>
        </w:rPr>
        <w:t xml:space="preserve">Policy Option </w:t>
      </w:r>
      <w:r w:rsidR="003D023A">
        <w:rPr>
          <w:rFonts w:ascii="Arial" w:hAnsi="Arial"/>
          <w:b w:val="0"/>
          <w:bCs w:val="0"/>
        </w:rPr>
        <w:fldChar w:fldCharType="begin"/>
      </w:r>
      <w:r>
        <w:rPr>
          <w:rFonts w:ascii="Arial" w:hAnsi="Arial"/>
          <w:b w:val="0"/>
          <w:bCs w:val="0"/>
        </w:rPr>
        <w:instrText xml:space="preserve"> SEQ Policy </w:instrText>
      </w:r>
      <w:r w:rsidR="003D023A">
        <w:rPr>
          <w:rFonts w:ascii="Arial" w:hAnsi="Arial"/>
          <w:b w:val="0"/>
          <w:bCs w:val="0"/>
        </w:rPr>
        <w:fldChar w:fldCharType="separate"/>
      </w:r>
      <w:r w:rsidR="004B5B4E">
        <w:rPr>
          <w:rFonts w:ascii="Arial" w:hAnsi="Arial"/>
          <w:b w:val="0"/>
          <w:bCs w:val="0"/>
          <w:noProof/>
        </w:rPr>
        <w:t>2</w:t>
      </w:r>
      <w:r w:rsidR="003D023A">
        <w:rPr>
          <w:rFonts w:ascii="Arial" w:hAnsi="Arial"/>
          <w:b w:val="0"/>
          <w:bCs w:val="0"/>
        </w:rPr>
        <w:fldChar w:fldCharType="end"/>
      </w:r>
    </w:p>
    <w:p w:rsidR="00367E3E" w:rsidRDefault="00367E3E" w:rsidP="00367E3E">
      <w:pPr>
        <w:pStyle w:val="IAHeadLabel"/>
        <w:spacing w:before="50"/>
      </w:pPr>
      <w:r w:rsidRPr="00892576">
        <w:t xml:space="preserve">Description: </w:t>
      </w:r>
      <w:r w:rsidRPr="006B70AF">
        <w:t xml:space="preserve"> </w:t>
      </w:r>
      <w:bookmarkStart w:id="29" w:name="Text70"/>
      <w:r w:rsidR="003D023A" w:rsidRPr="00344B7D">
        <w:rPr>
          <w:rStyle w:val="IAPODescriptionCharChar"/>
          <w:b/>
        </w:rPr>
        <w:fldChar w:fldCharType="begin">
          <w:ffData>
            <w:name w:val="Text70"/>
            <w:enabled/>
            <w:calcOnExit w:val="0"/>
            <w:textInput>
              <w:maxLength w:val="230"/>
            </w:textInput>
          </w:ffData>
        </w:fldChar>
      </w:r>
      <w:r w:rsidRPr="00344B7D">
        <w:rPr>
          <w:rStyle w:val="IAPODescriptionCharChar"/>
          <w:b/>
        </w:rPr>
        <w:instrText xml:space="preserve"> FORMTEXT </w:instrText>
      </w:r>
      <w:r w:rsidR="003D023A" w:rsidRPr="00344B7D">
        <w:rPr>
          <w:rStyle w:val="IAPODescriptionCharChar"/>
          <w:b/>
        </w:rPr>
      </w:r>
      <w:r w:rsidR="003D023A" w:rsidRPr="00344B7D">
        <w:rPr>
          <w:rStyle w:val="IAPODescriptionCharChar"/>
          <w:b/>
        </w:rPr>
        <w:fldChar w:fldCharType="separate"/>
      </w:r>
      <w:r w:rsidRPr="00344B7D">
        <w:rPr>
          <w:rStyle w:val="IAPODescriptionCharChar"/>
          <w:b/>
          <w:noProof/>
        </w:rPr>
        <w:t xml:space="preserve">Cease bulk milk </w:t>
      </w:r>
      <w:r w:rsidR="00C50B8F">
        <w:rPr>
          <w:rStyle w:val="IAPODescriptionCharChar"/>
          <w:b/>
          <w:noProof/>
        </w:rPr>
        <w:t xml:space="preserve">tank </w:t>
      </w:r>
      <w:r w:rsidRPr="00344B7D">
        <w:rPr>
          <w:rStyle w:val="IAPODescriptionCharChar"/>
          <w:b/>
          <w:noProof/>
        </w:rPr>
        <w:t>testing for Brucellosis</w:t>
      </w:r>
      <w:r w:rsidR="00C50B8F">
        <w:rPr>
          <w:rStyle w:val="IAPODescriptionCharChar"/>
          <w:b/>
          <w:noProof/>
        </w:rPr>
        <w:t xml:space="preserve">. </w:t>
      </w:r>
      <w:r w:rsidR="003D023A" w:rsidRPr="00344B7D">
        <w:rPr>
          <w:rStyle w:val="IAPODescriptionCharChar"/>
          <w:b/>
        </w:rPr>
        <w:fldChar w:fldCharType="end"/>
      </w:r>
      <w:bookmarkEnd w:id="29"/>
    </w:p>
    <w:p w:rsidR="00367E3E" w:rsidRDefault="00367E3E" w:rsidP="00367E3E">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367E3E" w:rsidRPr="00490F71" w:rsidTr="00490F71">
        <w:trPr>
          <w:trHeight w:hRule="exact" w:val="312"/>
        </w:trPr>
        <w:tc>
          <w:tcPr>
            <w:tcW w:w="1265" w:type="dxa"/>
            <w:vMerge w:val="restart"/>
            <w:shd w:val="clear" w:color="auto" w:fill="auto"/>
          </w:tcPr>
          <w:p w:rsidR="00367E3E" w:rsidRPr="00826F71" w:rsidRDefault="00367E3E" w:rsidP="00A14195">
            <w:pPr>
              <w:pStyle w:val="POPBY"/>
            </w:pPr>
            <w:r w:rsidRPr="00826F71">
              <w:t>Price Base Year</w:t>
            </w:r>
            <w:r>
              <w:t xml:space="preserve">  </w:t>
            </w:r>
            <w:r w:rsidR="00A14195">
              <w:t>2012</w:t>
            </w:r>
          </w:p>
        </w:tc>
        <w:tc>
          <w:tcPr>
            <w:tcW w:w="1260" w:type="dxa"/>
            <w:vMerge w:val="restart"/>
            <w:shd w:val="clear" w:color="auto" w:fill="auto"/>
          </w:tcPr>
          <w:p w:rsidR="00367E3E" w:rsidRPr="00826F71" w:rsidRDefault="00367E3E" w:rsidP="00A14195">
            <w:pPr>
              <w:pStyle w:val="POPVBY"/>
            </w:pPr>
            <w:r w:rsidRPr="00826F71">
              <w:t>PV Base Year</w:t>
            </w:r>
            <w:r>
              <w:t xml:space="preserve">  </w:t>
            </w:r>
            <w:r w:rsidR="00A14195">
              <w:t>2013</w:t>
            </w:r>
          </w:p>
        </w:tc>
        <w:tc>
          <w:tcPr>
            <w:tcW w:w="1440" w:type="dxa"/>
            <w:vMerge w:val="restart"/>
            <w:tcBorders>
              <w:right w:val="single" w:sz="12" w:space="0" w:color="auto"/>
            </w:tcBorders>
            <w:shd w:val="clear" w:color="auto" w:fill="auto"/>
          </w:tcPr>
          <w:p w:rsidR="00367E3E" w:rsidRPr="00826F71" w:rsidRDefault="00367E3E" w:rsidP="00A14195">
            <w:pPr>
              <w:pStyle w:val="POTPY"/>
            </w:pPr>
            <w:r w:rsidRPr="00826F71">
              <w:t>Time Period Years</w:t>
            </w:r>
            <w:r>
              <w:t xml:space="preserve">  </w:t>
            </w:r>
            <w:r w:rsidR="00A14195">
              <w:t>10</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367E3E" w:rsidRPr="00826F71" w:rsidRDefault="00367E3E" w:rsidP="00490F71">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367E3E" w:rsidRPr="00490F71" w:rsidTr="00490F71">
        <w:trPr>
          <w:trHeight w:hRule="exact" w:val="340"/>
        </w:trPr>
        <w:tc>
          <w:tcPr>
            <w:tcW w:w="1265" w:type="dxa"/>
            <w:vMerge/>
            <w:shd w:val="clear" w:color="auto" w:fill="auto"/>
          </w:tcPr>
          <w:p w:rsidR="00367E3E" w:rsidRPr="00490F71" w:rsidRDefault="00367E3E" w:rsidP="00490F71">
            <w:pPr>
              <w:pStyle w:val="IATableNotes"/>
              <w:ind w:left="0"/>
              <w:rPr>
                <w:b/>
                <w:sz w:val="20"/>
              </w:rPr>
            </w:pPr>
          </w:p>
        </w:tc>
        <w:tc>
          <w:tcPr>
            <w:tcW w:w="1260" w:type="dxa"/>
            <w:vMerge/>
            <w:shd w:val="clear" w:color="auto" w:fill="auto"/>
          </w:tcPr>
          <w:p w:rsidR="00367E3E" w:rsidRPr="00490F71" w:rsidRDefault="00367E3E" w:rsidP="00490F71">
            <w:pPr>
              <w:pStyle w:val="IATableNotes"/>
              <w:ind w:left="0"/>
              <w:rPr>
                <w:b/>
                <w:sz w:val="20"/>
              </w:rPr>
            </w:pPr>
          </w:p>
        </w:tc>
        <w:tc>
          <w:tcPr>
            <w:tcW w:w="1440" w:type="dxa"/>
            <w:vMerge/>
            <w:tcBorders>
              <w:right w:val="single" w:sz="12" w:space="0" w:color="auto"/>
            </w:tcBorders>
            <w:shd w:val="clear" w:color="auto" w:fill="auto"/>
          </w:tcPr>
          <w:p w:rsidR="00367E3E" w:rsidRPr="00490F71" w:rsidRDefault="00367E3E" w:rsidP="00490F71">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367E3E" w:rsidRPr="00490F71" w:rsidRDefault="00367E3E" w:rsidP="005B5FA8">
            <w:pPr>
              <w:pStyle w:val="IATableLabel"/>
              <w:rPr>
                <w:bCs/>
              </w:rPr>
            </w:pPr>
            <w:r w:rsidRPr="00304C1D">
              <w:t>Low:</w:t>
            </w:r>
            <w:r w:rsidRPr="00826F71">
              <w:t xml:space="preserve"> </w:t>
            </w:r>
            <w:r w:rsidR="005B5FA8">
              <w:t>6</w:t>
            </w:r>
            <w:r w:rsidR="00116A69">
              <w:t>.</w:t>
            </w:r>
            <w:r w:rsidR="005B5FA8">
              <w:t>269</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367E3E" w:rsidRPr="0024235D" w:rsidRDefault="00367E3E" w:rsidP="005B5FA8">
            <w:pPr>
              <w:pStyle w:val="IATableLabel"/>
              <w:rPr>
                <w:rFonts w:cs="Arial"/>
                <w:b w:val="0"/>
                <w:bCs/>
                <w:szCs w:val="18"/>
              </w:rPr>
            </w:pPr>
            <w:r w:rsidRPr="00304C1D">
              <w:t>High:</w:t>
            </w:r>
            <w:r w:rsidRPr="00826F71">
              <w:t xml:space="preserve"> </w:t>
            </w:r>
            <w:r w:rsidR="005B5FA8">
              <w:t>7.131</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367E3E" w:rsidRPr="00490F71" w:rsidRDefault="00367E3E" w:rsidP="005B5FA8">
            <w:pPr>
              <w:pStyle w:val="IATableLabel"/>
              <w:tabs>
                <w:tab w:val="left" w:pos="2336"/>
              </w:tabs>
              <w:rPr>
                <w:szCs w:val="18"/>
              </w:rPr>
            </w:pPr>
            <w:r w:rsidRPr="00304C1D">
              <w:t xml:space="preserve">Best </w:t>
            </w:r>
            <w:r>
              <w:t>E</w:t>
            </w:r>
            <w:r w:rsidRPr="00304C1D">
              <w:t>stimate:</w:t>
            </w:r>
            <w:r w:rsidRPr="00826F71">
              <w:t xml:space="preserve"> </w:t>
            </w:r>
            <w:r w:rsidR="005B5FA8">
              <w:t>6.424</w:t>
            </w:r>
          </w:p>
        </w:tc>
      </w:tr>
    </w:tbl>
    <w:p w:rsidR="00367E3E" w:rsidRDefault="00367E3E" w:rsidP="00367E3E">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367E3E" w:rsidRPr="00490F71" w:rsidTr="00490F71">
        <w:trPr>
          <w:trHeight w:hRule="exact" w:val="567"/>
        </w:trPr>
        <w:tc>
          <w:tcPr>
            <w:tcW w:w="1995" w:type="dxa"/>
            <w:shd w:val="clear" w:color="auto" w:fill="FFFFFF"/>
          </w:tcPr>
          <w:p w:rsidR="00367E3E" w:rsidRPr="00490F71" w:rsidRDefault="00367E3E" w:rsidP="00367E3E">
            <w:pPr>
              <w:pStyle w:val="IATableLabel"/>
              <w:rPr>
                <w:sz w:val="24"/>
                <w:szCs w:val="24"/>
              </w:rPr>
            </w:pPr>
            <w:r w:rsidRPr="00490F71">
              <w:rPr>
                <w:sz w:val="24"/>
                <w:szCs w:val="24"/>
              </w:rPr>
              <w:t>COSTS (£m)</w:t>
            </w:r>
          </w:p>
        </w:tc>
        <w:tc>
          <w:tcPr>
            <w:tcW w:w="2739" w:type="dxa"/>
            <w:gridSpan w:val="2"/>
            <w:tcBorders>
              <w:top w:val="single" w:sz="12" w:space="0" w:color="auto"/>
              <w:bottom w:val="single" w:sz="6" w:space="0" w:color="auto"/>
            </w:tcBorders>
            <w:shd w:val="clear" w:color="auto" w:fill="auto"/>
          </w:tcPr>
          <w:p w:rsidR="00367E3E" w:rsidRPr="00826F71" w:rsidRDefault="00367E3E" w:rsidP="00490F71">
            <w:pPr>
              <w:pStyle w:val="IATableLabel"/>
              <w:tabs>
                <w:tab w:val="right" w:pos="1800"/>
                <w:tab w:val="center" w:pos="2340"/>
              </w:tabs>
              <w:jc w:val="right"/>
            </w:pPr>
            <w:r w:rsidRPr="00826F71">
              <w:t xml:space="preserve">Total Transition </w:t>
            </w:r>
            <w:r>
              <w:br/>
            </w:r>
            <w:r>
              <w:tab/>
            </w:r>
            <w:r w:rsidRPr="00490F71">
              <w:rPr>
                <w:b w:val="0"/>
                <w:sz w:val="18"/>
                <w:szCs w:val="18"/>
              </w:rPr>
              <w:t>(Constant Price)</w:t>
            </w:r>
            <w:r>
              <w:tab/>
            </w:r>
            <w:r w:rsidRPr="00490F71">
              <w:rPr>
                <w:b w:val="0"/>
                <w:sz w:val="18"/>
                <w:szCs w:val="18"/>
              </w:rPr>
              <w:t>Yea</w:t>
            </w:r>
            <w:r w:rsidRPr="00490F71">
              <w:rPr>
                <w:b w:val="0"/>
                <w:bCs/>
                <w:sz w:val="18"/>
                <w:szCs w:val="18"/>
              </w:rPr>
              <w:t>r</w:t>
            </w:r>
            <w:r w:rsidRPr="00490F71">
              <w:rPr>
                <w:b w:val="0"/>
                <w:sz w:val="18"/>
                <w:szCs w:val="18"/>
              </w:rPr>
              <w:t>s</w:t>
            </w:r>
          </w:p>
          <w:p w:rsidR="00367E3E" w:rsidRPr="00826F71" w:rsidRDefault="00367E3E" w:rsidP="00490F71">
            <w:pPr>
              <w:pStyle w:val="IATableLabel"/>
              <w:jc w:val="right"/>
            </w:pPr>
            <w:r>
              <w:br/>
            </w:r>
          </w:p>
        </w:tc>
        <w:tc>
          <w:tcPr>
            <w:tcW w:w="2865" w:type="dxa"/>
            <w:tcBorders>
              <w:bottom w:val="single" w:sz="6" w:space="0" w:color="auto"/>
              <w:right w:val="single" w:sz="12" w:space="0" w:color="auto"/>
            </w:tcBorders>
            <w:shd w:val="clear" w:color="auto" w:fill="auto"/>
          </w:tcPr>
          <w:p w:rsidR="00367E3E" w:rsidRPr="00490F71" w:rsidRDefault="00367E3E" w:rsidP="00490F71">
            <w:pPr>
              <w:pStyle w:val="IATableLabel"/>
              <w:jc w:val="right"/>
              <w:rPr>
                <w:rFonts w:cs="Arial"/>
                <w:bCs/>
              </w:rPr>
            </w:pPr>
            <w:r w:rsidRPr="00826F71">
              <w:t>Average Annual</w:t>
            </w:r>
            <w:r w:rsidRPr="000C031E">
              <w:t xml:space="preserve"> </w:t>
            </w:r>
            <w:r>
              <w:br/>
            </w:r>
            <w:r w:rsidRPr="00490F71">
              <w:rPr>
                <w:b w:val="0"/>
                <w:sz w:val="18"/>
                <w:szCs w:val="18"/>
              </w:rPr>
              <w:t xml:space="preserve">(excl. Transition) </w:t>
            </w:r>
            <w:r w:rsidRPr="00490F7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367E3E" w:rsidRPr="00826F71" w:rsidRDefault="00367E3E" w:rsidP="00490F71">
            <w:pPr>
              <w:pStyle w:val="IATableLabel"/>
              <w:jc w:val="right"/>
            </w:pPr>
            <w:r w:rsidRPr="00826F71">
              <w:t>Total Cost</w:t>
            </w:r>
            <w:r w:rsidRPr="00490F71">
              <w:rPr>
                <w:b w:val="0"/>
                <w:sz w:val="18"/>
                <w:szCs w:val="18"/>
              </w:rPr>
              <w:t xml:space="preserve"> </w:t>
            </w:r>
            <w:r w:rsidRPr="00490F71">
              <w:rPr>
                <w:b w:val="0"/>
                <w:sz w:val="18"/>
                <w:szCs w:val="18"/>
              </w:rPr>
              <w:br/>
              <w:t>(Present Value)</w:t>
            </w:r>
          </w:p>
        </w:tc>
      </w:tr>
      <w:tr w:rsidR="00367E3E" w:rsidRPr="00490F71" w:rsidTr="00490F71">
        <w:trPr>
          <w:trHeight w:hRule="exact" w:val="348"/>
        </w:trPr>
        <w:tc>
          <w:tcPr>
            <w:tcW w:w="1995" w:type="dxa"/>
            <w:tcBorders>
              <w:top w:val="single" w:sz="6" w:space="0" w:color="auto"/>
              <w:bottom w:val="single" w:sz="6" w:space="0" w:color="auto"/>
            </w:tcBorders>
            <w:shd w:val="clear" w:color="auto" w:fill="auto"/>
            <w:vAlign w:val="center"/>
          </w:tcPr>
          <w:p w:rsidR="00367E3E" w:rsidRPr="00F63895" w:rsidRDefault="00367E3E" w:rsidP="00367E3E">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367E3E" w:rsidRPr="00490F71" w:rsidRDefault="0024235D" w:rsidP="00367E3E">
            <w:pPr>
              <w:pStyle w:val="POTTCostsLow"/>
              <w:rPr>
                <w:sz w:val="20"/>
              </w:rPr>
            </w:pPr>
            <w:r>
              <w:rPr>
                <w:sz w:val="20"/>
              </w:rPr>
              <w:t>-</w:t>
            </w:r>
          </w:p>
        </w:tc>
        <w:tc>
          <w:tcPr>
            <w:tcW w:w="790" w:type="dxa"/>
            <w:vMerge w:val="restart"/>
            <w:tcBorders>
              <w:top w:val="single" w:sz="6" w:space="0" w:color="auto"/>
            </w:tcBorders>
            <w:shd w:val="clear" w:color="auto" w:fill="auto"/>
            <w:vAlign w:val="center"/>
          </w:tcPr>
          <w:p w:rsidR="00367E3E" w:rsidRPr="00490F71" w:rsidRDefault="003D023A" w:rsidP="00367E3E">
            <w:pPr>
              <w:pStyle w:val="POTTCostsYear"/>
              <w:rPr>
                <w:sz w:val="20"/>
                <w:szCs w:val="20"/>
              </w:rPr>
            </w:pPr>
            <w:r w:rsidRPr="00490F71">
              <w:rPr>
                <w:sz w:val="20"/>
                <w:szCs w:val="20"/>
              </w:rPr>
              <w:fldChar w:fldCharType="begin">
                <w:ffData>
                  <w:name w:val="Text48"/>
                  <w:enabled/>
                  <w:calcOnExit w:val="0"/>
                  <w:textInput>
                    <w:maxLength w:val="3"/>
                  </w:textInput>
                </w:ffData>
              </w:fldChar>
            </w:r>
            <w:r w:rsidR="00367E3E" w:rsidRPr="00490F71">
              <w:rPr>
                <w:sz w:val="20"/>
                <w:szCs w:val="20"/>
              </w:rPr>
              <w:instrText xml:space="preserve"> FORMTEXT </w:instrText>
            </w:r>
            <w:r w:rsidRPr="00490F71">
              <w:rPr>
                <w:sz w:val="20"/>
                <w:szCs w:val="20"/>
              </w:rPr>
            </w:r>
            <w:r w:rsidRPr="00490F71">
              <w:rPr>
                <w:sz w:val="20"/>
                <w:szCs w:val="20"/>
              </w:rPr>
              <w:fldChar w:fldCharType="separate"/>
            </w:r>
            <w:r w:rsidR="00367E3E" w:rsidRPr="00490F71">
              <w:rPr>
                <w:noProof/>
                <w:sz w:val="20"/>
                <w:szCs w:val="20"/>
              </w:rPr>
              <w:t> </w:t>
            </w:r>
            <w:r w:rsidR="00367E3E" w:rsidRPr="00490F71">
              <w:rPr>
                <w:noProof/>
                <w:sz w:val="20"/>
                <w:szCs w:val="20"/>
              </w:rPr>
              <w:t> </w:t>
            </w:r>
            <w:r w:rsidR="00367E3E" w:rsidRPr="00490F71">
              <w:rPr>
                <w:noProof/>
                <w:sz w:val="20"/>
                <w:szCs w:val="20"/>
              </w:rPr>
              <w:t> </w:t>
            </w:r>
            <w:r w:rsidRPr="00490F71">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367E3E" w:rsidRPr="00490F71" w:rsidRDefault="0024235D" w:rsidP="00367E3E">
            <w:pPr>
              <w:pStyle w:val="POAACostsLow"/>
              <w:rPr>
                <w:sz w:val="20"/>
              </w:rPr>
            </w:pPr>
            <w:r>
              <w:rPr>
                <w:sz w:val="20"/>
              </w:rPr>
              <w:t>-</w:t>
            </w:r>
          </w:p>
        </w:tc>
        <w:tc>
          <w:tcPr>
            <w:tcW w:w="2636" w:type="dxa"/>
            <w:gridSpan w:val="2"/>
            <w:tcBorders>
              <w:top w:val="single" w:sz="6" w:space="0" w:color="auto"/>
              <w:left w:val="single" w:sz="12" w:space="0" w:color="auto"/>
              <w:bottom w:val="single" w:sz="6" w:space="0" w:color="auto"/>
            </w:tcBorders>
            <w:shd w:val="clear" w:color="auto" w:fill="auto"/>
            <w:vAlign w:val="center"/>
          </w:tcPr>
          <w:p w:rsidR="00367E3E" w:rsidRPr="00490F71" w:rsidRDefault="0024235D" w:rsidP="00367E3E">
            <w:pPr>
              <w:pStyle w:val="POTCCostsLow"/>
              <w:rPr>
                <w:sz w:val="20"/>
              </w:rPr>
            </w:pPr>
            <w:r>
              <w:rPr>
                <w:sz w:val="20"/>
              </w:rPr>
              <w:t>-</w:t>
            </w:r>
          </w:p>
        </w:tc>
      </w:tr>
      <w:tr w:rsidR="00367E3E" w:rsidRPr="00490F71" w:rsidTr="00490F71">
        <w:trPr>
          <w:trHeight w:hRule="exact" w:val="348"/>
        </w:trPr>
        <w:tc>
          <w:tcPr>
            <w:tcW w:w="1995" w:type="dxa"/>
            <w:tcBorders>
              <w:top w:val="single" w:sz="6" w:space="0" w:color="auto"/>
              <w:bottom w:val="single" w:sz="12" w:space="0" w:color="auto"/>
            </w:tcBorders>
            <w:shd w:val="clear" w:color="auto" w:fill="auto"/>
            <w:vAlign w:val="center"/>
          </w:tcPr>
          <w:p w:rsidR="00367E3E" w:rsidRPr="00F63895" w:rsidRDefault="00367E3E" w:rsidP="00367E3E">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367E3E" w:rsidRPr="00490F71" w:rsidRDefault="0024235D" w:rsidP="00367E3E">
            <w:pPr>
              <w:pStyle w:val="POTTCostsHigh"/>
              <w:rPr>
                <w:sz w:val="20"/>
              </w:rPr>
            </w:pPr>
            <w:r>
              <w:rPr>
                <w:sz w:val="20"/>
              </w:rPr>
              <w:t>-</w:t>
            </w:r>
          </w:p>
        </w:tc>
        <w:tc>
          <w:tcPr>
            <w:tcW w:w="790" w:type="dxa"/>
            <w:vMerge/>
            <w:shd w:val="clear" w:color="auto" w:fill="FFFFFF"/>
            <w:vAlign w:val="center"/>
          </w:tcPr>
          <w:p w:rsidR="00367E3E" w:rsidRPr="00490F71" w:rsidRDefault="00367E3E" w:rsidP="00490F7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367E3E" w:rsidRPr="00490F71" w:rsidRDefault="0024235D" w:rsidP="00367E3E">
            <w:pPr>
              <w:pStyle w:val="POAACostsHigh"/>
              <w:rPr>
                <w:sz w:val="20"/>
              </w:rPr>
            </w:pPr>
            <w:r>
              <w:rPr>
                <w:sz w:val="20"/>
              </w:rPr>
              <w:t>-</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367E3E" w:rsidRPr="00490F71" w:rsidRDefault="0024235D" w:rsidP="00367E3E">
            <w:pPr>
              <w:pStyle w:val="POTCCostsHigh"/>
              <w:rPr>
                <w:sz w:val="20"/>
              </w:rPr>
            </w:pPr>
            <w:r>
              <w:rPr>
                <w:sz w:val="20"/>
              </w:rPr>
              <w:t>-</w:t>
            </w:r>
          </w:p>
        </w:tc>
      </w:tr>
      <w:tr w:rsidR="00367E3E" w:rsidRPr="00490F71" w:rsidTr="00490F71">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367E3E" w:rsidRPr="00F63895" w:rsidRDefault="00367E3E" w:rsidP="00367E3E">
            <w:pPr>
              <w:pStyle w:val="IATableLabel"/>
            </w:pPr>
            <w:r w:rsidRPr="00F63895">
              <w:t>Best Estimate</w:t>
            </w:r>
          </w:p>
          <w:p w:rsidR="00367E3E" w:rsidRPr="00490F71" w:rsidRDefault="00367E3E" w:rsidP="00AB125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367E3E" w:rsidRPr="00490F71" w:rsidRDefault="00020313" w:rsidP="00367E3E">
            <w:pPr>
              <w:pStyle w:val="POTTCosts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rsidR="00367E3E" w:rsidRPr="00490F71" w:rsidRDefault="00367E3E" w:rsidP="00490F7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367E3E" w:rsidRPr="00490F71" w:rsidRDefault="00020313" w:rsidP="00AB1258">
            <w:pPr>
              <w:pStyle w:val="POAACostsBest"/>
              <w:rPr>
                <w:sz w:val="20"/>
              </w:rPr>
            </w:pPr>
            <w:r>
              <w:rPr>
                <w:sz w:val="20"/>
              </w:rPr>
              <w:t>0</w:t>
            </w:r>
            <w:r w:rsidR="005B5FA8">
              <w:rPr>
                <w:sz w:val="20"/>
              </w:rPr>
              <w:t>.00</w:t>
            </w:r>
            <w:r w:rsidR="00AB1258">
              <w:rPr>
                <w:sz w:val="20"/>
              </w:rPr>
              <w:t>1</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367E3E" w:rsidRPr="00490F71" w:rsidRDefault="00020313" w:rsidP="00367E3E">
            <w:pPr>
              <w:pStyle w:val="POTCCostsBest"/>
              <w:rPr>
                <w:sz w:val="20"/>
              </w:rPr>
            </w:pPr>
            <w:r>
              <w:rPr>
                <w:sz w:val="20"/>
              </w:rPr>
              <w:t>0</w:t>
            </w:r>
            <w:r w:rsidR="005B5FA8">
              <w:rPr>
                <w:sz w:val="20"/>
              </w:rPr>
              <w:t>.00</w:t>
            </w:r>
            <w:r w:rsidR="00D6600D">
              <w:rPr>
                <w:sz w:val="20"/>
              </w:rPr>
              <w:t>8</w:t>
            </w:r>
          </w:p>
        </w:tc>
      </w:tr>
      <w:tr w:rsidR="00367E3E" w:rsidRPr="00826F71" w:rsidTr="00490F71">
        <w:trPr>
          <w:trHeight w:hRule="exact" w:val="1701"/>
        </w:trPr>
        <w:tc>
          <w:tcPr>
            <w:tcW w:w="10235" w:type="dxa"/>
            <w:gridSpan w:val="6"/>
            <w:tcBorders>
              <w:bottom w:val="single" w:sz="6" w:space="0" w:color="auto"/>
            </w:tcBorders>
            <w:shd w:val="clear" w:color="auto" w:fill="auto"/>
          </w:tcPr>
          <w:p w:rsidR="00367E3E" w:rsidRPr="00490F71" w:rsidRDefault="00367E3E" w:rsidP="00367E3E">
            <w:pPr>
              <w:pStyle w:val="IAPOQ1"/>
              <w:rPr>
                <w:szCs w:val="22"/>
              </w:rPr>
            </w:pPr>
            <w:r w:rsidRPr="00544292">
              <w:t xml:space="preserve">Description and scale of </w:t>
            </w:r>
            <w:r w:rsidRPr="00826F71">
              <w:t>key monetised costs</w:t>
            </w:r>
            <w:r w:rsidRPr="00544292">
              <w:t xml:space="preserve"> by ‘main affected groups’ </w:t>
            </w:r>
          </w:p>
          <w:p w:rsidR="00367E3E" w:rsidRPr="00826F71" w:rsidRDefault="003468E9" w:rsidP="003B3840">
            <w:pPr>
              <w:pStyle w:val="IAPOA1"/>
            </w:pPr>
            <w:r>
              <w:rPr>
                <w:noProof/>
              </w:rPr>
              <w:t>The costs remaining are associated with the continuation of bulk milk</w:t>
            </w:r>
            <w:r w:rsidR="00A24B1F">
              <w:rPr>
                <w:noProof/>
              </w:rPr>
              <w:t xml:space="preserve"> tank</w:t>
            </w:r>
            <w:r>
              <w:rPr>
                <w:noProof/>
              </w:rPr>
              <w:t xml:space="preserve"> testing for Enzootic Bovine Leukosis</w:t>
            </w:r>
            <w:r w:rsidR="00D6600D">
              <w:rPr>
                <w:noProof/>
              </w:rPr>
              <w:t xml:space="preserve"> (EBL)</w:t>
            </w:r>
            <w:r w:rsidR="00EE20E8">
              <w:rPr>
                <w:noProof/>
              </w:rPr>
              <w:t xml:space="preserve">, which </w:t>
            </w:r>
            <w:r w:rsidR="00EE20E8">
              <w:t>is a viral disease of cattle causing tumours in affected animals. It does not affect humans.</w:t>
            </w:r>
            <w:r>
              <w:rPr>
                <w:noProof/>
              </w:rPr>
              <w:t xml:space="preserve"> </w:t>
            </w:r>
            <w:r w:rsidR="0096325E">
              <w:t xml:space="preserve">A fifth of the dairy herd are selected each year </w:t>
            </w:r>
            <w:r w:rsidR="00EE20E8">
              <w:t xml:space="preserve">for EBL testing </w:t>
            </w:r>
            <w:r w:rsidR="0096325E">
              <w:t>in England and Wales; two milk samples</w:t>
            </w:r>
            <w:r w:rsidR="00491BC1">
              <w:t xml:space="preserve"> from these selected cattle</w:t>
            </w:r>
            <w:r w:rsidR="0096325E">
              <w:t xml:space="preserve"> </w:t>
            </w:r>
            <w:r w:rsidR="003B3840">
              <w:t xml:space="preserve">herds </w:t>
            </w:r>
            <w:r w:rsidR="0096325E">
              <w:t>are tested a year</w:t>
            </w:r>
            <w:r w:rsidR="00EE20E8">
              <w:t>,</w:t>
            </w:r>
            <w:r w:rsidR="0096325E">
              <w:t xml:space="preserve"> at 6 monthly intervals.</w:t>
            </w:r>
          </w:p>
        </w:tc>
      </w:tr>
      <w:tr w:rsidR="00367E3E" w:rsidRPr="00826F71" w:rsidTr="00490F71">
        <w:trPr>
          <w:trHeight w:hRule="exact" w:val="1701"/>
        </w:trPr>
        <w:tc>
          <w:tcPr>
            <w:tcW w:w="10235" w:type="dxa"/>
            <w:gridSpan w:val="6"/>
            <w:tcBorders>
              <w:top w:val="single" w:sz="6" w:space="0" w:color="auto"/>
              <w:bottom w:val="single" w:sz="12" w:space="0" w:color="auto"/>
            </w:tcBorders>
            <w:shd w:val="clear" w:color="auto" w:fill="auto"/>
          </w:tcPr>
          <w:p w:rsidR="00367E3E" w:rsidRPr="00490F71" w:rsidRDefault="00367E3E" w:rsidP="00EE20E8">
            <w:pPr>
              <w:pStyle w:val="IAPOQ2"/>
              <w:rPr>
                <w:szCs w:val="22"/>
              </w:rPr>
            </w:pPr>
            <w:r w:rsidRPr="00544292">
              <w:t>Other</w:t>
            </w:r>
            <w:r w:rsidRPr="00826F71">
              <w:t xml:space="preserve"> key non-monetised costs</w:t>
            </w:r>
            <w:r w:rsidRPr="00544292">
              <w:t xml:space="preserve"> by ‘main affected groups’ </w:t>
            </w:r>
            <w:r w:rsidR="002847F4" w:rsidRPr="0001694B">
              <w:rPr>
                <w:b w:val="0"/>
                <w:noProof/>
                <w:sz w:val="22"/>
                <w:szCs w:val="22"/>
              </w:rPr>
              <w:t xml:space="preserve">Loss of expertise and laboratory capacity to deal with an outbreak. </w:t>
            </w:r>
            <w:r w:rsidR="00EE20E8">
              <w:rPr>
                <w:b w:val="0"/>
                <w:noProof/>
                <w:sz w:val="22"/>
                <w:szCs w:val="22"/>
              </w:rPr>
              <w:t>Costs for e</w:t>
            </w:r>
            <w:r w:rsidR="0043034B" w:rsidRPr="0001694B">
              <w:rPr>
                <w:b w:val="0"/>
                <w:noProof/>
                <w:sz w:val="22"/>
                <w:szCs w:val="22"/>
              </w:rPr>
              <w:t xml:space="preserve">radication of disease and </w:t>
            </w:r>
            <w:r w:rsidR="00452D04" w:rsidRPr="0001694B">
              <w:rPr>
                <w:b w:val="0"/>
                <w:noProof/>
                <w:sz w:val="22"/>
                <w:szCs w:val="22"/>
              </w:rPr>
              <w:t>set</w:t>
            </w:r>
            <w:r w:rsidR="0043034B" w:rsidRPr="0001694B">
              <w:rPr>
                <w:b w:val="0"/>
                <w:noProof/>
                <w:sz w:val="22"/>
                <w:szCs w:val="22"/>
              </w:rPr>
              <w:t>ting</w:t>
            </w:r>
            <w:r w:rsidR="00452D04" w:rsidRPr="0001694B">
              <w:rPr>
                <w:b w:val="0"/>
                <w:noProof/>
                <w:sz w:val="22"/>
                <w:szCs w:val="22"/>
              </w:rPr>
              <w:t xml:space="preserve"> up a </w:t>
            </w:r>
            <w:r w:rsidR="0001694B" w:rsidRPr="0001694B">
              <w:rPr>
                <w:b w:val="0"/>
                <w:noProof/>
                <w:sz w:val="22"/>
                <w:szCs w:val="22"/>
              </w:rPr>
              <w:t xml:space="preserve">larger scale </w:t>
            </w:r>
            <w:r w:rsidR="00452D04" w:rsidRPr="0001694B">
              <w:rPr>
                <w:b w:val="0"/>
                <w:noProof/>
                <w:sz w:val="22"/>
                <w:szCs w:val="22"/>
              </w:rPr>
              <w:t>testing regime again</w:t>
            </w:r>
            <w:r w:rsidR="0001694B" w:rsidRPr="0001694B">
              <w:rPr>
                <w:b w:val="0"/>
                <w:noProof/>
                <w:sz w:val="22"/>
                <w:szCs w:val="22"/>
              </w:rPr>
              <w:t xml:space="preserve"> in the event of </w:t>
            </w:r>
            <w:r w:rsidR="00B6113D">
              <w:rPr>
                <w:b w:val="0"/>
                <w:noProof/>
                <w:sz w:val="22"/>
                <w:szCs w:val="22"/>
              </w:rPr>
              <w:t xml:space="preserve">disease </w:t>
            </w:r>
            <w:r w:rsidR="0001694B" w:rsidRPr="0001694B">
              <w:rPr>
                <w:b w:val="0"/>
                <w:noProof/>
                <w:sz w:val="22"/>
                <w:szCs w:val="22"/>
              </w:rPr>
              <w:t>incursion</w:t>
            </w:r>
            <w:r w:rsidR="00B6113D">
              <w:rPr>
                <w:b w:val="0"/>
                <w:noProof/>
                <w:sz w:val="22"/>
                <w:szCs w:val="22"/>
              </w:rPr>
              <w:t xml:space="preserve">. </w:t>
            </w:r>
            <w:r w:rsidR="006E3E2F" w:rsidRPr="0001694B">
              <w:rPr>
                <w:b w:val="0"/>
                <w:noProof/>
                <w:sz w:val="22"/>
                <w:szCs w:val="22"/>
              </w:rPr>
              <w:t>Treatment of human infection.</w:t>
            </w:r>
            <w:r w:rsidR="0043034B" w:rsidRPr="0001694B">
              <w:rPr>
                <w:b w:val="0"/>
                <w:noProof/>
                <w:sz w:val="22"/>
                <w:szCs w:val="22"/>
              </w:rPr>
              <w:t xml:space="preserve"> Production losses in the national herd. Loss of income through loss of trade. </w:t>
            </w:r>
            <w:r w:rsidR="00E26E98" w:rsidRPr="0001694B">
              <w:rPr>
                <w:b w:val="0"/>
                <w:noProof/>
                <w:sz w:val="22"/>
                <w:szCs w:val="22"/>
              </w:rPr>
              <w:t>Increased spending on abortion awareness campaigns</w:t>
            </w:r>
            <w:r w:rsidR="0001694B" w:rsidRPr="0001694B">
              <w:rPr>
                <w:b w:val="0"/>
                <w:noProof/>
                <w:sz w:val="22"/>
                <w:szCs w:val="22"/>
              </w:rPr>
              <w:t>/</w:t>
            </w:r>
            <w:r w:rsidR="00E26E98" w:rsidRPr="0001694B">
              <w:rPr>
                <w:b w:val="0"/>
                <w:noProof/>
                <w:sz w:val="22"/>
                <w:szCs w:val="22"/>
              </w:rPr>
              <w:t>enforcement activity, leading to increased costs for</w:t>
            </w:r>
            <w:r w:rsidR="00B6113D">
              <w:rPr>
                <w:b w:val="0"/>
                <w:noProof/>
                <w:sz w:val="22"/>
                <w:szCs w:val="22"/>
              </w:rPr>
              <w:t xml:space="preserve"> government </w:t>
            </w:r>
            <w:r w:rsidR="0001694B" w:rsidRPr="0001694B">
              <w:rPr>
                <w:b w:val="0"/>
                <w:noProof/>
                <w:sz w:val="22"/>
                <w:szCs w:val="22"/>
              </w:rPr>
              <w:t xml:space="preserve">(although </w:t>
            </w:r>
            <w:r w:rsidR="0001694B">
              <w:rPr>
                <w:b w:val="0"/>
                <w:noProof/>
                <w:sz w:val="22"/>
                <w:szCs w:val="22"/>
              </w:rPr>
              <w:t>may not exceed the savings to government from implementing this option)</w:t>
            </w:r>
            <w:r w:rsidR="00B6113D">
              <w:rPr>
                <w:b w:val="0"/>
                <w:noProof/>
                <w:sz w:val="22"/>
                <w:szCs w:val="22"/>
              </w:rPr>
              <w:t xml:space="preserve"> and dairy farmers</w:t>
            </w:r>
            <w:r w:rsidR="00EE20E8">
              <w:rPr>
                <w:b w:val="0"/>
                <w:noProof/>
                <w:sz w:val="22"/>
                <w:szCs w:val="22"/>
              </w:rPr>
              <w:t>,</w:t>
            </w:r>
            <w:r w:rsidR="00B6113D">
              <w:rPr>
                <w:b w:val="0"/>
                <w:noProof/>
                <w:sz w:val="22"/>
                <w:szCs w:val="22"/>
              </w:rPr>
              <w:t xml:space="preserve"> as involves farm visits and testing</w:t>
            </w:r>
            <w:r w:rsidR="00E26E98" w:rsidRPr="0001694B">
              <w:rPr>
                <w:b w:val="0"/>
                <w:noProof/>
                <w:sz w:val="22"/>
                <w:szCs w:val="22"/>
              </w:rPr>
              <w:t>.</w:t>
            </w:r>
            <w:r w:rsidR="00840592">
              <w:rPr>
                <w:noProof/>
                <w:szCs w:val="22"/>
              </w:rPr>
              <w:t xml:space="preserve"> </w:t>
            </w:r>
          </w:p>
        </w:tc>
      </w:tr>
      <w:tr w:rsidR="00367E3E" w:rsidRPr="00490F71" w:rsidTr="00490F71">
        <w:trPr>
          <w:trHeight w:hRule="exact" w:val="567"/>
        </w:trPr>
        <w:tc>
          <w:tcPr>
            <w:tcW w:w="1995" w:type="dxa"/>
            <w:shd w:val="clear" w:color="auto" w:fill="FFFFFF"/>
          </w:tcPr>
          <w:p w:rsidR="00367E3E" w:rsidRPr="00490F71" w:rsidRDefault="00367E3E" w:rsidP="00367E3E">
            <w:pPr>
              <w:pStyle w:val="IATableLabel"/>
              <w:rPr>
                <w:sz w:val="24"/>
                <w:szCs w:val="24"/>
              </w:rPr>
            </w:pPr>
            <w:r w:rsidRPr="00490F71">
              <w:rPr>
                <w:sz w:val="24"/>
                <w:szCs w:val="24"/>
              </w:rPr>
              <w:t>BENEFITS (£m)</w:t>
            </w:r>
          </w:p>
        </w:tc>
        <w:tc>
          <w:tcPr>
            <w:tcW w:w="2739" w:type="dxa"/>
            <w:gridSpan w:val="2"/>
            <w:tcBorders>
              <w:top w:val="single" w:sz="12" w:space="0" w:color="auto"/>
              <w:bottom w:val="single" w:sz="6" w:space="0" w:color="auto"/>
            </w:tcBorders>
            <w:shd w:val="clear" w:color="auto" w:fill="auto"/>
          </w:tcPr>
          <w:p w:rsidR="00367E3E" w:rsidRPr="00826F71" w:rsidRDefault="00367E3E" w:rsidP="00490F71">
            <w:pPr>
              <w:pStyle w:val="IATableLabel"/>
              <w:tabs>
                <w:tab w:val="right" w:pos="1797"/>
                <w:tab w:val="center" w:pos="2340"/>
              </w:tabs>
              <w:jc w:val="right"/>
            </w:pPr>
            <w:r w:rsidRPr="00826F71">
              <w:t xml:space="preserve">Total Transition </w:t>
            </w:r>
            <w:r>
              <w:br/>
            </w:r>
            <w:r>
              <w:tab/>
            </w:r>
            <w:r w:rsidRPr="00490F71">
              <w:rPr>
                <w:b w:val="0"/>
                <w:sz w:val="18"/>
                <w:szCs w:val="18"/>
              </w:rPr>
              <w:t>(Constant Price)</w:t>
            </w:r>
            <w:r>
              <w:tab/>
            </w:r>
            <w:r w:rsidRPr="00490F71">
              <w:rPr>
                <w:b w:val="0"/>
                <w:sz w:val="18"/>
                <w:szCs w:val="18"/>
              </w:rPr>
              <w:t>Yea</w:t>
            </w:r>
            <w:r w:rsidRPr="00490F71">
              <w:rPr>
                <w:b w:val="0"/>
                <w:bCs/>
                <w:sz w:val="18"/>
                <w:szCs w:val="18"/>
              </w:rPr>
              <w:t>r</w:t>
            </w:r>
            <w:r w:rsidRPr="00490F71">
              <w:rPr>
                <w:b w:val="0"/>
                <w:sz w:val="18"/>
                <w:szCs w:val="18"/>
              </w:rPr>
              <w:t>s</w:t>
            </w:r>
          </w:p>
          <w:p w:rsidR="00367E3E" w:rsidRPr="00826F71" w:rsidRDefault="00367E3E" w:rsidP="00490F71">
            <w:pPr>
              <w:pStyle w:val="IATableLabel"/>
              <w:jc w:val="right"/>
            </w:pPr>
            <w:r>
              <w:br/>
            </w:r>
          </w:p>
        </w:tc>
        <w:tc>
          <w:tcPr>
            <w:tcW w:w="2865" w:type="dxa"/>
            <w:tcBorders>
              <w:bottom w:val="single" w:sz="6" w:space="0" w:color="auto"/>
              <w:right w:val="single" w:sz="12" w:space="0" w:color="auto"/>
            </w:tcBorders>
            <w:shd w:val="clear" w:color="auto" w:fill="auto"/>
          </w:tcPr>
          <w:p w:rsidR="00367E3E" w:rsidRPr="00490F71" w:rsidRDefault="00367E3E" w:rsidP="00490F71">
            <w:pPr>
              <w:pStyle w:val="IATableLabel"/>
              <w:jc w:val="right"/>
              <w:rPr>
                <w:rFonts w:cs="Arial"/>
                <w:bCs/>
              </w:rPr>
            </w:pPr>
            <w:r w:rsidRPr="00826F71">
              <w:t>Average Annual</w:t>
            </w:r>
            <w:r w:rsidRPr="000C031E">
              <w:t xml:space="preserve"> </w:t>
            </w:r>
            <w:r>
              <w:br/>
            </w:r>
            <w:r w:rsidRPr="00490F71">
              <w:rPr>
                <w:b w:val="0"/>
                <w:sz w:val="18"/>
                <w:szCs w:val="18"/>
              </w:rPr>
              <w:t xml:space="preserve">(excl. Transition) </w:t>
            </w:r>
            <w:r w:rsidRPr="00490F71">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367E3E" w:rsidRPr="00826F71" w:rsidRDefault="00367E3E" w:rsidP="00490F71">
            <w:pPr>
              <w:pStyle w:val="IATableLabel"/>
              <w:jc w:val="right"/>
            </w:pPr>
            <w:r w:rsidRPr="00826F71">
              <w:t xml:space="preserve">Total </w:t>
            </w:r>
            <w:r>
              <w:t>Benefit</w:t>
            </w:r>
            <w:r w:rsidRPr="00490F71">
              <w:rPr>
                <w:b w:val="0"/>
                <w:sz w:val="18"/>
                <w:szCs w:val="18"/>
              </w:rPr>
              <w:t xml:space="preserve"> </w:t>
            </w:r>
            <w:r w:rsidRPr="00490F71">
              <w:rPr>
                <w:b w:val="0"/>
                <w:sz w:val="18"/>
                <w:szCs w:val="18"/>
              </w:rPr>
              <w:br/>
              <w:t>(Present Value)</w:t>
            </w:r>
          </w:p>
        </w:tc>
      </w:tr>
      <w:tr w:rsidR="00367E3E" w:rsidRPr="00490F71" w:rsidTr="00490F71">
        <w:trPr>
          <w:trHeight w:hRule="exact" w:val="348"/>
        </w:trPr>
        <w:tc>
          <w:tcPr>
            <w:tcW w:w="1995" w:type="dxa"/>
            <w:tcBorders>
              <w:top w:val="single" w:sz="6" w:space="0" w:color="auto"/>
              <w:bottom w:val="single" w:sz="6" w:space="0" w:color="auto"/>
            </w:tcBorders>
            <w:shd w:val="clear" w:color="auto" w:fill="auto"/>
            <w:vAlign w:val="center"/>
          </w:tcPr>
          <w:p w:rsidR="00367E3E" w:rsidRPr="00826F71" w:rsidRDefault="00367E3E" w:rsidP="00367E3E">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367E3E" w:rsidRPr="00490F71" w:rsidRDefault="00452FB3" w:rsidP="00367E3E">
            <w:pPr>
              <w:pStyle w:val="POTTBenLow"/>
              <w:rPr>
                <w:sz w:val="20"/>
              </w:rPr>
            </w:pPr>
            <w:r>
              <w:rPr>
                <w:sz w:val="20"/>
              </w:rPr>
              <w:t>-</w:t>
            </w:r>
          </w:p>
        </w:tc>
        <w:tc>
          <w:tcPr>
            <w:tcW w:w="790" w:type="dxa"/>
            <w:vMerge w:val="restart"/>
            <w:tcBorders>
              <w:top w:val="single" w:sz="6" w:space="0" w:color="auto"/>
            </w:tcBorders>
            <w:shd w:val="clear" w:color="auto" w:fill="auto"/>
            <w:vAlign w:val="center"/>
          </w:tcPr>
          <w:p w:rsidR="00367E3E" w:rsidRPr="00490F71" w:rsidRDefault="003D023A" w:rsidP="00490F71">
            <w:pPr>
              <w:pStyle w:val="IATableText"/>
              <w:jc w:val="center"/>
              <w:rPr>
                <w:sz w:val="20"/>
              </w:rPr>
            </w:pPr>
            <w:r w:rsidRPr="00490F71">
              <w:rPr>
                <w:sz w:val="20"/>
              </w:rPr>
              <w:fldChar w:fldCharType="begin">
                <w:ffData>
                  <w:name w:val="Text48"/>
                  <w:enabled/>
                  <w:calcOnExit w:val="0"/>
                  <w:textInput>
                    <w:maxLength w:val="3"/>
                  </w:textInput>
                </w:ffData>
              </w:fldChar>
            </w:r>
            <w:r w:rsidR="00367E3E" w:rsidRPr="00490F71">
              <w:rPr>
                <w:sz w:val="20"/>
              </w:rPr>
              <w:instrText xml:space="preserve"> FORMTEXT </w:instrText>
            </w:r>
            <w:r w:rsidRPr="00490F71">
              <w:rPr>
                <w:sz w:val="20"/>
              </w:rPr>
            </w:r>
            <w:r w:rsidRPr="00490F71">
              <w:rPr>
                <w:sz w:val="20"/>
              </w:rPr>
              <w:fldChar w:fldCharType="separate"/>
            </w:r>
            <w:r w:rsidR="00367E3E" w:rsidRPr="00490F71">
              <w:rPr>
                <w:noProof/>
                <w:sz w:val="20"/>
              </w:rPr>
              <w:t> </w:t>
            </w:r>
            <w:r w:rsidR="00367E3E" w:rsidRPr="00490F71">
              <w:rPr>
                <w:noProof/>
                <w:sz w:val="20"/>
              </w:rPr>
              <w:t> </w:t>
            </w:r>
            <w:r w:rsidR="00367E3E" w:rsidRPr="00490F71">
              <w:rPr>
                <w:noProof/>
                <w:sz w:val="20"/>
              </w:rPr>
              <w:t> </w:t>
            </w:r>
            <w:r w:rsidRPr="00490F71">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367E3E" w:rsidRPr="00490F71" w:rsidRDefault="001B2528" w:rsidP="00764104">
            <w:pPr>
              <w:pStyle w:val="POAABenLow"/>
              <w:rPr>
                <w:sz w:val="20"/>
              </w:rPr>
            </w:pPr>
            <w:r>
              <w:rPr>
                <w:sz w:val="20"/>
              </w:rPr>
              <w:t>0.</w:t>
            </w:r>
            <w:r w:rsidR="00764104">
              <w:rPr>
                <w:sz w:val="20"/>
              </w:rPr>
              <w:t>732</w:t>
            </w:r>
          </w:p>
        </w:tc>
        <w:tc>
          <w:tcPr>
            <w:tcW w:w="2636" w:type="dxa"/>
            <w:gridSpan w:val="2"/>
            <w:tcBorders>
              <w:top w:val="single" w:sz="6" w:space="0" w:color="auto"/>
              <w:left w:val="single" w:sz="12" w:space="0" w:color="auto"/>
              <w:bottom w:val="single" w:sz="6" w:space="0" w:color="auto"/>
            </w:tcBorders>
            <w:shd w:val="clear" w:color="auto" w:fill="auto"/>
            <w:vAlign w:val="center"/>
          </w:tcPr>
          <w:p w:rsidR="00367E3E" w:rsidRPr="00490F71" w:rsidRDefault="00764104" w:rsidP="00C65F69">
            <w:pPr>
              <w:pStyle w:val="POTBBenLow"/>
              <w:rPr>
                <w:sz w:val="20"/>
              </w:rPr>
            </w:pPr>
            <w:r>
              <w:rPr>
                <w:sz w:val="20"/>
              </w:rPr>
              <w:t>6.276</w:t>
            </w:r>
          </w:p>
        </w:tc>
      </w:tr>
      <w:tr w:rsidR="00367E3E" w:rsidRPr="00490F71" w:rsidTr="00490F71">
        <w:trPr>
          <w:trHeight w:hRule="exact" w:val="348"/>
        </w:trPr>
        <w:tc>
          <w:tcPr>
            <w:tcW w:w="1995" w:type="dxa"/>
            <w:tcBorders>
              <w:top w:val="single" w:sz="6" w:space="0" w:color="auto"/>
              <w:bottom w:val="single" w:sz="12" w:space="0" w:color="auto"/>
            </w:tcBorders>
            <w:shd w:val="clear" w:color="auto" w:fill="auto"/>
            <w:vAlign w:val="center"/>
          </w:tcPr>
          <w:p w:rsidR="00367E3E" w:rsidRPr="00826F71" w:rsidRDefault="00367E3E" w:rsidP="00367E3E">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367E3E" w:rsidRPr="00490F71" w:rsidRDefault="00452FB3" w:rsidP="00367E3E">
            <w:pPr>
              <w:pStyle w:val="POTTBenHigh"/>
              <w:rPr>
                <w:sz w:val="20"/>
              </w:rPr>
            </w:pPr>
            <w:r>
              <w:rPr>
                <w:sz w:val="20"/>
              </w:rPr>
              <w:t>-</w:t>
            </w:r>
          </w:p>
        </w:tc>
        <w:tc>
          <w:tcPr>
            <w:tcW w:w="790" w:type="dxa"/>
            <w:vMerge/>
            <w:shd w:val="clear" w:color="auto" w:fill="FFFFFF"/>
            <w:vAlign w:val="center"/>
          </w:tcPr>
          <w:p w:rsidR="00367E3E" w:rsidRPr="00490F71" w:rsidRDefault="00367E3E" w:rsidP="00490F71">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367E3E" w:rsidRPr="00490F71" w:rsidRDefault="001B2528" w:rsidP="00764104">
            <w:pPr>
              <w:pStyle w:val="POAABenHigh"/>
              <w:rPr>
                <w:sz w:val="20"/>
              </w:rPr>
            </w:pPr>
            <w:r>
              <w:rPr>
                <w:sz w:val="20"/>
              </w:rPr>
              <w:t>0.</w:t>
            </w:r>
            <w:r w:rsidR="00764104">
              <w:rPr>
                <w:sz w:val="20"/>
              </w:rPr>
              <w:t>833</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367E3E" w:rsidRPr="00490F71" w:rsidRDefault="00764104" w:rsidP="00983B4B">
            <w:pPr>
              <w:pStyle w:val="POTBBenHigh"/>
              <w:rPr>
                <w:sz w:val="20"/>
              </w:rPr>
            </w:pPr>
            <w:r>
              <w:rPr>
                <w:sz w:val="20"/>
              </w:rPr>
              <w:t>7.13</w:t>
            </w:r>
            <w:r w:rsidR="00983B4B">
              <w:rPr>
                <w:sz w:val="20"/>
              </w:rPr>
              <w:t>8</w:t>
            </w:r>
          </w:p>
        </w:tc>
      </w:tr>
      <w:tr w:rsidR="00367E3E" w:rsidRPr="00490F71" w:rsidTr="00490F71">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367E3E" w:rsidRPr="00826F71" w:rsidRDefault="00367E3E" w:rsidP="00367E3E">
            <w:pPr>
              <w:pStyle w:val="IATableLabel"/>
            </w:pPr>
            <w:r w:rsidRPr="00826F71">
              <w:t xml:space="preserve">Best </w:t>
            </w:r>
            <w:r>
              <w:t>E</w:t>
            </w:r>
            <w:r w:rsidRPr="00826F71">
              <w:t>stimate</w:t>
            </w:r>
          </w:p>
          <w:p w:rsidR="00367E3E" w:rsidRPr="00490F71" w:rsidRDefault="00367E3E" w:rsidP="00AB1258">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367E3E" w:rsidRPr="00490F71" w:rsidRDefault="00020313" w:rsidP="00367E3E">
            <w:pPr>
              <w:pStyle w:val="POTTBenBest"/>
              <w:rPr>
                <w:sz w:val="20"/>
              </w:rPr>
            </w:pPr>
            <w:r>
              <w:rPr>
                <w:sz w:val="20"/>
              </w:rPr>
              <w:t>0</w:t>
            </w:r>
          </w:p>
        </w:tc>
        <w:tc>
          <w:tcPr>
            <w:tcW w:w="790" w:type="dxa"/>
            <w:vMerge/>
            <w:tcBorders>
              <w:left w:val="single" w:sz="12" w:space="0" w:color="auto"/>
              <w:right w:val="single" w:sz="12" w:space="0" w:color="auto"/>
            </w:tcBorders>
            <w:shd w:val="clear" w:color="auto" w:fill="FFFFFF"/>
            <w:vAlign w:val="center"/>
          </w:tcPr>
          <w:p w:rsidR="00367E3E" w:rsidRPr="00490F71" w:rsidRDefault="00367E3E" w:rsidP="00490F71">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367E3E" w:rsidRPr="00490F71" w:rsidRDefault="003D023A" w:rsidP="00764104">
            <w:pPr>
              <w:pStyle w:val="POAABenBest"/>
              <w:rPr>
                <w:sz w:val="20"/>
              </w:rPr>
            </w:pPr>
            <w:r w:rsidRPr="00490F71">
              <w:rPr>
                <w:sz w:val="20"/>
              </w:rPr>
              <w:fldChar w:fldCharType="begin">
                <w:ffData>
                  <w:name w:val=""/>
                  <w:enabled/>
                  <w:calcOnExit w:val="0"/>
                  <w:textInput>
                    <w:maxLength w:val="14"/>
                  </w:textInput>
                </w:ffData>
              </w:fldChar>
            </w:r>
            <w:r w:rsidR="00367E3E" w:rsidRPr="00490F71">
              <w:rPr>
                <w:sz w:val="20"/>
              </w:rPr>
              <w:instrText xml:space="preserve"> FORMTEXT </w:instrText>
            </w:r>
            <w:r w:rsidRPr="00490F71">
              <w:rPr>
                <w:sz w:val="20"/>
              </w:rPr>
            </w:r>
            <w:r w:rsidRPr="00490F71">
              <w:rPr>
                <w:sz w:val="20"/>
              </w:rPr>
              <w:fldChar w:fldCharType="separate"/>
            </w:r>
            <w:r w:rsidR="00367E3E" w:rsidRPr="00490F71">
              <w:rPr>
                <w:noProof/>
                <w:sz w:val="20"/>
              </w:rPr>
              <w:t> </w:t>
            </w:r>
            <w:r w:rsidR="00367E3E" w:rsidRPr="00490F71">
              <w:rPr>
                <w:noProof/>
                <w:sz w:val="20"/>
              </w:rPr>
              <w:t> </w:t>
            </w:r>
            <w:r w:rsidR="00367E3E" w:rsidRPr="00490F71">
              <w:rPr>
                <w:noProof/>
                <w:sz w:val="20"/>
              </w:rPr>
              <w:t> </w:t>
            </w:r>
            <w:r w:rsidR="00367E3E" w:rsidRPr="00490F71">
              <w:rPr>
                <w:noProof/>
                <w:sz w:val="20"/>
              </w:rPr>
              <w:t> </w:t>
            </w:r>
            <w:r w:rsidR="00367E3E" w:rsidRPr="00490F71">
              <w:rPr>
                <w:noProof/>
                <w:sz w:val="20"/>
              </w:rPr>
              <w:t> </w:t>
            </w:r>
            <w:r w:rsidRPr="00490F71">
              <w:rPr>
                <w:sz w:val="20"/>
              </w:rPr>
              <w:fldChar w:fldCharType="end"/>
            </w:r>
            <w:r w:rsidR="001B2528">
              <w:rPr>
                <w:sz w:val="20"/>
              </w:rPr>
              <w:t>0.</w:t>
            </w:r>
            <w:r w:rsidR="00764104">
              <w:rPr>
                <w:sz w:val="20"/>
              </w:rPr>
              <w:t>750</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367E3E" w:rsidRPr="00490F71" w:rsidRDefault="003D023A" w:rsidP="00764104">
            <w:pPr>
              <w:pStyle w:val="POTBBenBest"/>
              <w:rPr>
                <w:sz w:val="20"/>
              </w:rPr>
            </w:pPr>
            <w:r w:rsidRPr="00490F71">
              <w:rPr>
                <w:sz w:val="20"/>
              </w:rPr>
              <w:fldChar w:fldCharType="begin">
                <w:ffData>
                  <w:name w:val=""/>
                  <w:enabled/>
                  <w:calcOnExit w:val="0"/>
                  <w:textInput>
                    <w:maxLength w:val="14"/>
                  </w:textInput>
                </w:ffData>
              </w:fldChar>
            </w:r>
            <w:r w:rsidR="00367E3E" w:rsidRPr="00490F71">
              <w:rPr>
                <w:sz w:val="20"/>
              </w:rPr>
              <w:instrText xml:space="preserve"> FORMTEXT </w:instrText>
            </w:r>
            <w:r w:rsidRPr="00490F71">
              <w:rPr>
                <w:sz w:val="20"/>
              </w:rPr>
            </w:r>
            <w:r w:rsidRPr="00490F71">
              <w:rPr>
                <w:sz w:val="20"/>
              </w:rPr>
              <w:fldChar w:fldCharType="separate"/>
            </w:r>
            <w:r w:rsidR="00367E3E" w:rsidRPr="00490F71">
              <w:rPr>
                <w:noProof/>
                <w:sz w:val="20"/>
              </w:rPr>
              <w:t> </w:t>
            </w:r>
            <w:r w:rsidR="00367E3E" w:rsidRPr="00490F71">
              <w:rPr>
                <w:noProof/>
                <w:sz w:val="20"/>
              </w:rPr>
              <w:t> </w:t>
            </w:r>
            <w:r w:rsidR="00367E3E" w:rsidRPr="00490F71">
              <w:rPr>
                <w:noProof/>
                <w:sz w:val="20"/>
              </w:rPr>
              <w:t> </w:t>
            </w:r>
            <w:r w:rsidR="00367E3E" w:rsidRPr="00490F71">
              <w:rPr>
                <w:noProof/>
                <w:sz w:val="20"/>
              </w:rPr>
              <w:t> </w:t>
            </w:r>
            <w:r w:rsidR="00367E3E" w:rsidRPr="00490F71">
              <w:rPr>
                <w:noProof/>
                <w:sz w:val="20"/>
              </w:rPr>
              <w:t> </w:t>
            </w:r>
            <w:r w:rsidRPr="00490F71">
              <w:rPr>
                <w:sz w:val="20"/>
              </w:rPr>
              <w:fldChar w:fldCharType="end"/>
            </w:r>
            <w:r w:rsidR="00764104">
              <w:rPr>
                <w:sz w:val="20"/>
              </w:rPr>
              <w:t>6.431</w:t>
            </w:r>
          </w:p>
        </w:tc>
      </w:tr>
      <w:tr w:rsidR="00367E3E" w:rsidRPr="00826F71" w:rsidTr="00490F71">
        <w:trPr>
          <w:trHeight w:hRule="exact" w:val="1701"/>
        </w:trPr>
        <w:tc>
          <w:tcPr>
            <w:tcW w:w="10235" w:type="dxa"/>
            <w:gridSpan w:val="6"/>
            <w:shd w:val="clear" w:color="auto" w:fill="auto"/>
          </w:tcPr>
          <w:p w:rsidR="00367E3E" w:rsidRPr="00490F71" w:rsidRDefault="00367E3E" w:rsidP="00367E3E">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00367E3E" w:rsidRPr="00826F71" w:rsidRDefault="00020313" w:rsidP="003468E9">
            <w:pPr>
              <w:pStyle w:val="IAPOA3"/>
            </w:pPr>
            <w:r>
              <w:rPr>
                <w:noProof/>
              </w:rPr>
              <w:t>Significant cost savings</w:t>
            </w:r>
            <w:r w:rsidR="00A24B1F">
              <w:rPr>
                <w:noProof/>
              </w:rPr>
              <w:t xml:space="preserve"> to industry and g</w:t>
            </w:r>
            <w:r w:rsidR="00452FB3">
              <w:rPr>
                <w:noProof/>
              </w:rPr>
              <w:t>overnment</w:t>
            </w:r>
            <w:r>
              <w:rPr>
                <w:noProof/>
              </w:rPr>
              <w:t xml:space="preserve"> by no longer having to submit bulk milk </w:t>
            </w:r>
            <w:r w:rsidR="00A24B1F">
              <w:rPr>
                <w:noProof/>
              </w:rPr>
              <w:t xml:space="preserve">tank </w:t>
            </w:r>
            <w:r>
              <w:rPr>
                <w:noProof/>
              </w:rPr>
              <w:t>samples and test them</w:t>
            </w:r>
            <w:r w:rsidR="0001694B">
              <w:rPr>
                <w:noProof/>
              </w:rPr>
              <w:t xml:space="preserve"> on a monthly basis</w:t>
            </w:r>
            <w:r>
              <w:rPr>
                <w:noProof/>
              </w:rPr>
              <w:t xml:space="preserve"> for </w:t>
            </w:r>
            <w:r w:rsidRPr="00F83017">
              <w:rPr>
                <w:i/>
                <w:noProof/>
              </w:rPr>
              <w:t>Brucella</w:t>
            </w:r>
            <w:r w:rsidR="00452FB3" w:rsidRPr="00F83017">
              <w:rPr>
                <w:i/>
                <w:noProof/>
              </w:rPr>
              <w:t xml:space="preserve"> </w:t>
            </w:r>
            <w:r w:rsidR="00F83017" w:rsidRPr="00F83017">
              <w:rPr>
                <w:i/>
                <w:noProof/>
              </w:rPr>
              <w:t>a</w:t>
            </w:r>
            <w:r w:rsidR="00452FB3" w:rsidRPr="00F83017">
              <w:rPr>
                <w:i/>
                <w:noProof/>
              </w:rPr>
              <w:t>bortus</w:t>
            </w:r>
            <w:r>
              <w:rPr>
                <w:noProof/>
              </w:rPr>
              <w:t>.</w:t>
            </w:r>
          </w:p>
        </w:tc>
      </w:tr>
      <w:tr w:rsidR="00367E3E" w:rsidRPr="00826F71" w:rsidTr="00490F71">
        <w:trPr>
          <w:trHeight w:hRule="exact" w:val="1701"/>
        </w:trPr>
        <w:tc>
          <w:tcPr>
            <w:tcW w:w="10235" w:type="dxa"/>
            <w:gridSpan w:val="6"/>
            <w:shd w:val="clear" w:color="auto" w:fill="auto"/>
          </w:tcPr>
          <w:p w:rsidR="00367E3E" w:rsidRPr="00490F71" w:rsidRDefault="00367E3E" w:rsidP="00367E3E">
            <w:pPr>
              <w:pStyle w:val="IAPOQ4"/>
              <w:rPr>
                <w:szCs w:val="22"/>
              </w:rPr>
            </w:pPr>
            <w:r w:rsidRPr="00544292">
              <w:t>Other</w:t>
            </w:r>
            <w:r w:rsidRPr="00826F71">
              <w:t xml:space="preserve"> key non-monetised </w:t>
            </w:r>
            <w:r>
              <w:t>benefits</w:t>
            </w:r>
            <w:r w:rsidRPr="00544292">
              <w:t xml:space="preserve"> by ‘main affected groups’ </w:t>
            </w:r>
          </w:p>
          <w:p w:rsidR="00367E3E" w:rsidRPr="00826F71" w:rsidRDefault="00217CB7" w:rsidP="00367E3E">
            <w:pPr>
              <w:pStyle w:val="IAPOA4"/>
            </w:pPr>
            <w:r>
              <w:t>-</w:t>
            </w:r>
          </w:p>
        </w:tc>
      </w:tr>
      <w:tr w:rsidR="00367E3E" w:rsidRPr="00826F71" w:rsidTr="00490F71">
        <w:trPr>
          <w:trHeight w:hRule="exact" w:val="346"/>
        </w:trPr>
        <w:tc>
          <w:tcPr>
            <w:tcW w:w="9375" w:type="dxa"/>
            <w:gridSpan w:val="5"/>
            <w:tcBorders>
              <w:top w:val="single" w:sz="6" w:space="0" w:color="auto"/>
              <w:bottom w:val="nil"/>
            </w:tcBorders>
            <w:shd w:val="clear" w:color="auto" w:fill="auto"/>
          </w:tcPr>
          <w:p w:rsidR="00367E3E" w:rsidRDefault="00367E3E" w:rsidP="00490F71">
            <w:pPr>
              <w:pStyle w:val="IATableLabel"/>
              <w:tabs>
                <w:tab w:val="left" w:pos="7655"/>
              </w:tabs>
            </w:pPr>
            <w:r w:rsidRPr="00F1653E">
              <w:rPr>
                <w:rStyle w:val="IAPOQ5Char"/>
              </w:rPr>
              <w:t>Key assumptions/sensitivities/risks</w:t>
            </w:r>
            <w:r>
              <w:tab/>
              <w:t>Discount rate (%)</w:t>
            </w:r>
          </w:p>
          <w:p w:rsidR="00367E3E" w:rsidRPr="00455895" w:rsidRDefault="00367E3E" w:rsidP="00367E3E">
            <w:pPr>
              <w:pStyle w:val="IATableLabel"/>
            </w:pPr>
          </w:p>
        </w:tc>
        <w:tc>
          <w:tcPr>
            <w:tcW w:w="860" w:type="dxa"/>
            <w:tcBorders>
              <w:top w:val="single" w:sz="6" w:space="0" w:color="auto"/>
              <w:bottom w:val="single" w:sz="4" w:space="0" w:color="auto"/>
            </w:tcBorders>
            <w:shd w:val="clear" w:color="auto" w:fill="auto"/>
          </w:tcPr>
          <w:p w:rsidR="00367E3E" w:rsidRPr="007E6CF8" w:rsidRDefault="00A14195" w:rsidP="00367E3E">
            <w:pPr>
              <w:pStyle w:val="IAPODisRate"/>
            </w:pPr>
            <w:r>
              <w:t>3.5</w:t>
            </w:r>
          </w:p>
        </w:tc>
      </w:tr>
      <w:tr w:rsidR="00367E3E" w:rsidRPr="00490F71" w:rsidTr="00490F71">
        <w:trPr>
          <w:trHeight w:hRule="exact" w:val="1375"/>
        </w:trPr>
        <w:tc>
          <w:tcPr>
            <w:tcW w:w="10235" w:type="dxa"/>
            <w:gridSpan w:val="6"/>
            <w:tcBorders>
              <w:top w:val="nil"/>
              <w:bottom w:val="single" w:sz="12" w:space="0" w:color="auto"/>
            </w:tcBorders>
            <w:shd w:val="clear" w:color="auto" w:fill="auto"/>
          </w:tcPr>
          <w:p w:rsidR="00367E3E" w:rsidRDefault="008671C2" w:rsidP="00217CB7">
            <w:pPr>
              <w:pStyle w:val="IAPOA5"/>
            </w:pPr>
            <w:r>
              <w:t>In addition to those detailed under Option 1, t</w:t>
            </w:r>
            <w:r w:rsidR="0039311B">
              <w:t>h</w:t>
            </w:r>
            <w:r w:rsidR="00983B4B">
              <w:t xml:space="preserve">e assumption is that bulk </w:t>
            </w:r>
            <w:r w:rsidR="0039311B">
              <w:t xml:space="preserve">milk </w:t>
            </w:r>
            <w:r w:rsidR="00983B4B">
              <w:t xml:space="preserve">tank </w:t>
            </w:r>
            <w:r w:rsidR="0039311B">
              <w:t xml:space="preserve">testing for Enzootic Bovine Leukosis (EBL) would </w:t>
            </w:r>
            <w:r w:rsidR="003468E9">
              <w:t xml:space="preserve">continue - </w:t>
            </w:r>
            <w:r w:rsidR="0039311B">
              <w:t xml:space="preserve">this is currently done </w:t>
            </w:r>
            <w:r w:rsidR="00217CB7">
              <w:t>using</w:t>
            </w:r>
            <w:r w:rsidR="0039311B">
              <w:t xml:space="preserve"> the same milk sample</w:t>
            </w:r>
            <w:r w:rsidR="003468E9">
              <w:t xml:space="preserve"> collected for </w:t>
            </w:r>
            <w:r w:rsidR="003468E9" w:rsidRPr="00983B4B">
              <w:rPr>
                <w:i/>
              </w:rPr>
              <w:t xml:space="preserve">Brucella </w:t>
            </w:r>
            <w:r w:rsidR="00983B4B" w:rsidRPr="00983B4B">
              <w:rPr>
                <w:i/>
              </w:rPr>
              <w:t>abortus</w:t>
            </w:r>
            <w:r w:rsidR="00983B4B">
              <w:t xml:space="preserve"> </w:t>
            </w:r>
            <w:r w:rsidR="003468E9">
              <w:t>testing</w:t>
            </w:r>
            <w:r w:rsidR="0039311B">
              <w:t xml:space="preserve">. </w:t>
            </w:r>
          </w:p>
          <w:p w:rsidR="007A01AF" w:rsidRPr="00544292" w:rsidRDefault="007A01AF" w:rsidP="00217CB7">
            <w:pPr>
              <w:pStyle w:val="IAPOA5"/>
            </w:pPr>
          </w:p>
        </w:tc>
      </w:tr>
    </w:tbl>
    <w:p w:rsidR="00367E3E" w:rsidRDefault="00367E3E" w:rsidP="00367E3E">
      <w:pPr>
        <w:pStyle w:val="IASpacer"/>
      </w:pPr>
    </w:p>
    <w:p w:rsidR="00367E3E" w:rsidRDefault="00367E3E" w:rsidP="00367E3E">
      <w:pPr>
        <w:pStyle w:val="IAHeadLabel"/>
        <w:spacing w:before="50"/>
      </w:pPr>
      <w:r>
        <w:t xml:space="preserve">BUSINESS ASSESSMENT (Option </w:t>
      </w:r>
      <w:r w:rsidR="00403E13">
        <w:fldChar w:fldCharType="begin"/>
      </w:r>
      <w:r w:rsidR="00403E13">
        <w:instrText xml:space="preserve"> SEQ BA </w:instrText>
      </w:r>
      <w:r w:rsidR="00403E13">
        <w:fldChar w:fldCharType="separate"/>
      </w:r>
      <w:r w:rsidR="004B5B4E">
        <w:rPr>
          <w:noProof/>
        </w:rPr>
        <w:t>2</w:t>
      </w:r>
      <w:r w:rsidR="00403E13">
        <w:rPr>
          <w:noProof/>
        </w:rPr>
        <w:fldChar w:fldCharType="end"/>
      </w:r>
      <w: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367E3E" w:rsidRPr="000E02BE" w:rsidTr="00367E3E">
        <w:trPr>
          <w:trHeight w:hRule="exact" w:val="312"/>
        </w:trPr>
        <w:tc>
          <w:tcPr>
            <w:tcW w:w="6125" w:type="dxa"/>
            <w:gridSpan w:val="3"/>
            <w:tcBorders>
              <w:top w:val="single" w:sz="4" w:space="0" w:color="auto"/>
              <w:bottom w:val="nil"/>
              <w:right w:val="single" w:sz="4" w:space="0" w:color="auto"/>
            </w:tcBorders>
          </w:tcPr>
          <w:p w:rsidR="00367E3E" w:rsidRPr="000E02BE" w:rsidRDefault="00367E3E" w:rsidP="00367E3E">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rsidR="00367E3E" w:rsidRPr="000E02BE" w:rsidRDefault="00367E3E" w:rsidP="00367E3E">
            <w:pPr>
              <w:pStyle w:val="IATableLabel"/>
            </w:pPr>
            <w:r w:rsidRPr="000E02BE">
              <w:t>In scope o</w:t>
            </w:r>
            <w:r w:rsidR="00BE22F4">
              <w:t>f OIT</w:t>
            </w:r>
            <w:r w:rsidRPr="000E02BE">
              <w:t>O?</w:t>
            </w:r>
          </w:p>
        </w:tc>
        <w:tc>
          <w:tcPr>
            <w:tcW w:w="2110" w:type="dxa"/>
            <w:tcBorders>
              <w:top w:val="single" w:sz="4" w:space="0" w:color="auto"/>
              <w:left w:val="nil"/>
              <w:bottom w:val="nil"/>
              <w:right w:val="single" w:sz="4" w:space="0" w:color="auto"/>
            </w:tcBorders>
            <w:shd w:val="clear" w:color="auto" w:fill="auto"/>
          </w:tcPr>
          <w:p w:rsidR="00367E3E" w:rsidRPr="000E02BE" w:rsidRDefault="00367E3E" w:rsidP="00367E3E">
            <w:pPr>
              <w:pStyle w:val="IATableLabel"/>
              <w:ind w:left="0"/>
            </w:pPr>
            <w:r w:rsidRPr="000E02BE">
              <w:t xml:space="preserve">  Measure qualifies as</w:t>
            </w:r>
          </w:p>
        </w:tc>
      </w:tr>
      <w:tr w:rsidR="00367E3E" w:rsidRPr="00E75380" w:rsidTr="00367E3E">
        <w:trPr>
          <w:trHeight w:hRule="exact" w:val="340"/>
        </w:trPr>
        <w:tc>
          <w:tcPr>
            <w:tcW w:w="1990" w:type="dxa"/>
            <w:tcBorders>
              <w:top w:val="nil"/>
              <w:bottom w:val="single" w:sz="4" w:space="0" w:color="auto"/>
              <w:right w:val="single" w:sz="4" w:space="0" w:color="auto"/>
            </w:tcBorders>
            <w:shd w:val="clear" w:color="auto" w:fill="FFFFFF"/>
          </w:tcPr>
          <w:p w:rsidR="00367E3E" w:rsidRPr="00F63895" w:rsidRDefault="00367E3E" w:rsidP="00AB1258">
            <w:pPr>
              <w:pStyle w:val="IATableLabel"/>
            </w:pPr>
            <w:r w:rsidRPr="00F63895">
              <w:t>Costs:</w:t>
            </w:r>
            <w:bookmarkStart w:id="30" w:name="Text67"/>
            <w:r w:rsidR="007F03BC">
              <w:t xml:space="preserve"> </w:t>
            </w:r>
            <w:r w:rsidR="007A01AF">
              <w:t>0</w:t>
            </w:r>
            <w:r w:rsidR="003D023A" w:rsidRPr="00F63895">
              <w:rPr>
                <w:rStyle w:val="IAPODICostChar"/>
              </w:rPr>
              <w:fldChar w:fldCharType="begin">
                <w:ffData>
                  <w:name w:val="Text67"/>
                  <w:enabled/>
                  <w:calcOnExit w:val="0"/>
                  <w:textInput>
                    <w:maxLength w:val="9"/>
                  </w:textInput>
                </w:ffData>
              </w:fldChar>
            </w:r>
            <w:r w:rsidRPr="00F63895">
              <w:rPr>
                <w:rStyle w:val="IAPODICostChar"/>
              </w:rPr>
              <w:instrText xml:space="preserve"> FORMTEXT </w:instrText>
            </w:r>
            <w:r w:rsidR="003D023A" w:rsidRPr="00F63895">
              <w:rPr>
                <w:rStyle w:val="IAPODICostChar"/>
              </w:rPr>
            </w:r>
            <w:r w:rsidR="003D023A" w:rsidRPr="00F63895">
              <w:rPr>
                <w:rStyle w:val="IAPODICostChar"/>
              </w:rPr>
              <w:fldChar w:fldCharType="separate"/>
            </w:r>
            <w:r>
              <w:rPr>
                <w:rStyle w:val="IAPODICostChar"/>
                <w:noProof/>
              </w:rPr>
              <w:t> </w:t>
            </w:r>
            <w:r>
              <w:rPr>
                <w:rStyle w:val="IAPODICostChar"/>
                <w:noProof/>
              </w:rPr>
              <w:t> </w:t>
            </w:r>
            <w:r>
              <w:rPr>
                <w:rStyle w:val="IAPODICostChar"/>
                <w:noProof/>
              </w:rPr>
              <w:t> </w:t>
            </w:r>
            <w:r>
              <w:rPr>
                <w:rStyle w:val="IAPODICostChar"/>
                <w:noProof/>
              </w:rPr>
              <w:t> </w:t>
            </w:r>
            <w:r>
              <w:rPr>
                <w:rStyle w:val="IAPODICostChar"/>
                <w:noProof/>
              </w:rPr>
              <w:t> </w:t>
            </w:r>
            <w:r w:rsidR="003D023A" w:rsidRPr="00F63895">
              <w:rPr>
                <w:rStyle w:val="IAPODICostChar"/>
              </w:rPr>
              <w:fldChar w:fldCharType="end"/>
            </w:r>
            <w:bookmarkEnd w:id="30"/>
          </w:p>
        </w:tc>
        <w:tc>
          <w:tcPr>
            <w:tcW w:w="2155" w:type="dxa"/>
            <w:tcBorders>
              <w:top w:val="nil"/>
              <w:bottom w:val="single" w:sz="4" w:space="0" w:color="auto"/>
              <w:right w:val="single" w:sz="4" w:space="0" w:color="auto"/>
            </w:tcBorders>
            <w:shd w:val="clear" w:color="auto" w:fill="FFFFFF"/>
          </w:tcPr>
          <w:p w:rsidR="00EF16E4" w:rsidRDefault="00367E3E" w:rsidP="00F83017">
            <w:pPr>
              <w:pStyle w:val="IATableLabel"/>
            </w:pPr>
            <w:r w:rsidRPr="00F63895">
              <w:t>Benefits:</w:t>
            </w:r>
            <w:r w:rsidR="007A01AF">
              <w:t xml:space="preserve"> </w:t>
            </w:r>
            <w:r w:rsidR="001B2528">
              <w:t>0.</w:t>
            </w:r>
            <w:r w:rsidR="003468E9">
              <w:t>125</w:t>
            </w:r>
          </w:p>
        </w:tc>
        <w:tc>
          <w:tcPr>
            <w:tcW w:w="1980" w:type="dxa"/>
            <w:tcBorders>
              <w:top w:val="nil"/>
              <w:bottom w:val="single" w:sz="4" w:space="0" w:color="auto"/>
              <w:right w:val="single" w:sz="4" w:space="0" w:color="auto"/>
            </w:tcBorders>
            <w:shd w:val="clear" w:color="auto" w:fill="FFFFFF"/>
          </w:tcPr>
          <w:p w:rsidR="00367E3E" w:rsidRPr="00F63895" w:rsidRDefault="00367E3E" w:rsidP="00993140">
            <w:pPr>
              <w:pStyle w:val="IATableLabel"/>
            </w:pPr>
            <w:r w:rsidRPr="00F63895">
              <w:t>Net:</w:t>
            </w:r>
            <w:r w:rsidR="007A01AF">
              <w:t xml:space="preserve"> </w:t>
            </w:r>
            <w:r w:rsidR="001B2528">
              <w:t>0.</w:t>
            </w:r>
            <w:r w:rsidR="00993140">
              <w:t>125</w:t>
            </w:r>
          </w:p>
        </w:tc>
        <w:tc>
          <w:tcPr>
            <w:tcW w:w="1980" w:type="dxa"/>
            <w:tcBorders>
              <w:top w:val="nil"/>
              <w:left w:val="single" w:sz="4" w:space="0" w:color="auto"/>
              <w:bottom w:val="single" w:sz="4" w:space="0" w:color="auto"/>
              <w:right w:val="single" w:sz="4" w:space="0" w:color="auto"/>
            </w:tcBorders>
            <w:shd w:val="clear" w:color="auto" w:fill="FFFFFF"/>
          </w:tcPr>
          <w:p w:rsidR="00367E3E" w:rsidRPr="00F63895" w:rsidRDefault="00F701F8" w:rsidP="00367E3E">
            <w:pPr>
              <w:pStyle w:val="IAPODIOIOO"/>
              <w:rPr>
                <w:sz w:val="20"/>
                <w:szCs w:val="20"/>
              </w:rPr>
            </w:pPr>
            <w:r>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rsidR="00367E3E" w:rsidRPr="00F63895" w:rsidRDefault="00F701F8" w:rsidP="00367E3E">
            <w:pPr>
              <w:pStyle w:val="IAPODIMQ"/>
            </w:pPr>
            <w:r>
              <w:t>Out</w:t>
            </w:r>
          </w:p>
        </w:tc>
      </w:tr>
    </w:tbl>
    <w:p w:rsidR="00367E3E" w:rsidRDefault="00367E3E" w:rsidP="00367E3E">
      <w:pPr>
        <w:sectPr w:rsidR="00367E3E" w:rsidSect="00367E3E">
          <w:footnotePr>
            <w:numRestart w:val="eachSect"/>
          </w:footnotePr>
          <w:pgSz w:w="11907" w:h="16840" w:code="9"/>
          <w:pgMar w:top="680" w:right="851" w:bottom="680" w:left="851" w:header="284" w:footer="284" w:gutter="0"/>
          <w:cols w:space="708"/>
          <w:docGrid w:linePitch="360"/>
        </w:sectPr>
      </w:pPr>
    </w:p>
    <w:p w:rsidR="00F70A77" w:rsidRDefault="00F70A77">
      <w:pPr>
        <w:pStyle w:val="Heading1"/>
        <w:spacing w:before="0"/>
      </w:pPr>
      <w:r>
        <w:lastRenderedPageBreak/>
        <w:t xml:space="preserve">Evidence Base </w:t>
      </w:r>
      <w:bookmarkStart w:id="31" w:name="EvidenceBase"/>
      <w:bookmarkEnd w:id="31"/>
      <w:r>
        <w:t>(for summary sheets)</w:t>
      </w:r>
    </w:p>
    <w:p w:rsidR="00367E3E" w:rsidRDefault="00367E3E" w:rsidP="00A27908">
      <w:pPr>
        <w:pStyle w:val="EBBullet"/>
        <w:keepNext/>
        <w:numPr>
          <w:ilvl w:val="0"/>
          <w:numId w:val="0"/>
        </w:numPr>
        <w:ind w:left="284" w:hanging="284"/>
        <w:rPr>
          <w:b/>
          <w:sz w:val="24"/>
          <w:szCs w:val="24"/>
        </w:rPr>
      </w:pPr>
    </w:p>
    <w:p w:rsidR="00A27908" w:rsidRPr="00B332DF" w:rsidRDefault="00A27908" w:rsidP="00A27908">
      <w:pPr>
        <w:pStyle w:val="EBBullet"/>
        <w:keepNext/>
        <w:numPr>
          <w:ilvl w:val="0"/>
          <w:numId w:val="0"/>
        </w:numPr>
        <w:ind w:left="284" w:hanging="284"/>
        <w:rPr>
          <w:b/>
          <w:sz w:val="24"/>
          <w:szCs w:val="24"/>
        </w:rPr>
      </w:pPr>
      <w:r w:rsidRPr="00B332DF">
        <w:rPr>
          <w:b/>
          <w:sz w:val="24"/>
          <w:szCs w:val="24"/>
        </w:rPr>
        <w:t>Problem under consideration</w:t>
      </w:r>
    </w:p>
    <w:p w:rsidR="00AD65F8" w:rsidRDefault="007F03BC" w:rsidP="00A27908">
      <w:pPr>
        <w:pStyle w:val="EBBullet"/>
        <w:keepNext/>
        <w:numPr>
          <w:ilvl w:val="0"/>
          <w:numId w:val="22"/>
        </w:numPr>
      </w:pPr>
      <w:r>
        <w:t>There are d</w:t>
      </w:r>
      <w:r w:rsidR="00AD65F8">
        <w:t xml:space="preserve">isproportionate costs </w:t>
      </w:r>
      <w:r w:rsidR="00C517D8">
        <w:t xml:space="preserve">to industry and </w:t>
      </w:r>
      <w:r w:rsidR="000F7B3C">
        <w:t>g</w:t>
      </w:r>
      <w:r w:rsidR="00FC20F4">
        <w:t xml:space="preserve">overnment </w:t>
      </w:r>
      <w:r w:rsidR="00C517D8">
        <w:t xml:space="preserve">associated with </w:t>
      </w:r>
      <w:r w:rsidR="00FC20F4">
        <w:t xml:space="preserve">monthly bulk milk </w:t>
      </w:r>
      <w:r w:rsidR="00A24B1F">
        <w:t xml:space="preserve">tank </w:t>
      </w:r>
      <w:r w:rsidR="00FC20F4">
        <w:t>sampl</w:t>
      </w:r>
      <w:r w:rsidR="00C517D8">
        <w:t>ing</w:t>
      </w:r>
      <w:r w:rsidR="00BE5F3B">
        <w:t>/testing</w:t>
      </w:r>
      <w:r w:rsidR="00A24B1F">
        <w:t xml:space="preserve"> of the national dairy herd</w:t>
      </w:r>
      <w:r w:rsidR="00FC20F4">
        <w:t xml:space="preserve"> for </w:t>
      </w:r>
      <w:r w:rsidR="00B6113D">
        <w:t>b</w:t>
      </w:r>
      <w:r w:rsidR="00FC20F4">
        <w:t xml:space="preserve">rucellosis and </w:t>
      </w:r>
      <w:r w:rsidR="00BE5F3B">
        <w:t xml:space="preserve">the </w:t>
      </w:r>
      <w:r w:rsidR="00A24B1F">
        <w:t>A</w:t>
      </w:r>
      <w:r w:rsidR="00BE5F3B">
        <w:t xml:space="preserve">nimal </w:t>
      </w:r>
      <w:r w:rsidR="00A24B1F">
        <w:t>H</w:t>
      </w:r>
      <w:r w:rsidR="00BE5F3B">
        <w:t xml:space="preserve">ealth and </w:t>
      </w:r>
      <w:r w:rsidR="00A24B1F">
        <w:t>V</w:t>
      </w:r>
      <w:r w:rsidR="00BE5F3B">
        <w:t xml:space="preserve">eterinary </w:t>
      </w:r>
      <w:r w:rsidR="00A24B1F">
        <w:t>L</w:t>
      </w:r>
      <w:r w:rsidR="00BE5F3B">
        <w:t xml:space="preserve">aboratories </w:t>
      </w:r>
      <w:r w:rsidR="00A24B1F">
        <w:t>A</w:t>
      </w:r>
      <w:r w:rsidR="00BE5F3B">
        <w:t>gency (AHVLA)</w:t>
      </w:r>
      <w:r w:rsidR="00A24B1F">
        <w:t xml:space="preserve"> </w:t>
      </w:r>
      <w:r w:rsidR="00AD65F8">
        <w:t xml:space="preserve">collecting bulk milk </w:t>
      </w:r>
      <w:r w:rsidR="00A24B1F">
        <w:t xml:space="preserve">tank </w:t>
      </w:r>
      <w:r w:rsidR="00AD65F8">
        <w:t>samples from producer</w:t>
      </w:r>
      <w:r w:rsidR="00586BBC">
        <w:t xml:space="preserve"> </w:t>
      </w:r>
      <w:r w:rsidR="00AD65F8">
        <w:t>retailers</w:t>
      </w:r>
      <w:r w:rsidR="00FC20F4">
        <w:rPr>
          <w:rStyle w:val="FootnoteReference"/>
        </w:rPr>
        <w:footnoteReference w:id="1"/>
      </w:r>
      <w:r w:rsidR="00AD65F8">
        <w:t xml:space="preserve">, when compared to the current risks of disease incursion. </w:t>
      </w:r>
    </w:p>
    <w:p w:rsidR="007F03BC" w:rsidRDefault="007F03BC" w:rsidP="00A27908">
      <w:pPr>
        <w:pStyle w:val="EBBullet"/>
        <w:keepNext/>
        <w:numPr>
          <w:ilvl w:val="0"/>
          <w:numId w:val="0"/>
        </w:numPr>
        <w:ind w:left="284" w:hanging="284"/>
        <w:rPr>
          <w:b/>
          <w:sz w:val="24"/>
          <w:szCs w:val="24"/>
        </w:rPr>
      </w:pPr>
    </w:p>
    <w:p w:rsidR="00A27908" w:rsidRPr="00B332DF" w:rsidRDefault="00A27908" w:rsidP="00A27908">
      <w:pPr>
        <w:pStyle w:val="EBBullet"/>
        <w:keepNext/>
        <w:numPr>
          <w:ilvl w:val="0"/>
          <w:numId w:val="0"/>
        </w:numPr>
        <w:ind w:left="284" w:hanging="284"/>
        <w:rPr>
          <w:b/>
          <w:sz w:val="24"/>
          <w:szCs w:val="24"/>
        </w:rPr>
      </w:pPr>
      <w:r w:rsidRPr="00B332DF">
        <w:rPr>
          <w:b/>
          <w:sz w:val="24"/>
          <w:szCs w:val="24"/>
        </w:rPr>
        <w:t>Rationale for intervention</w:t>
      </w:r>
    </w:p>
    <w:p w:rsidR="006E3E2F" w:rsidRDefault="00454686" w:rsidP="00A27908">
      <w:pPr>
        <w:pStyle w:val="EBBullet"/>
        <w:keepNext/>
        <w:numPr>
          <w:ilvl w:val="0"/>
          <w:numId w:val="22"/>
        </w:numPr>
      </w:pPr>
      <w:r>
        <w:t>Bovine brucellosis is a notifiable zoonotic</w:t>
      </w:r>
      <w:r w:rsidR="00C56F82">
        <w:rPr>
          <w:rStyle w:val="FootnoteReference"/>
        </w:rPr>
        <w:footnoteReference w:id="2"/>
      </w:r>
      <w:r>
        <w:t xml:space="preserve"> disease which causes abortion or premature calving and can lead to infertility in cattle</w:t>
      </w:r>
      <w:r w:rsidR="00BE5F3B">
        <w:t xml:space="preserve"> and </w:t>
      </w:r>
      <w:r w:rsidR="00C35AA5">
        <w:t xml:space="preserve">a </w:t>
      </w:r>
      <w:r w:rsidR="00BE5F3B">
        <w:t xml:space="preserve">‘flu’ like disease </w:t>
      </w:r>
      <w:r w:rsidR="00C35AA5">
        <w:t xml:space="preserve">known as </w:t>
      </w:r>
      <w:r w:rsidR="00BE5F3B">
        <w:t>‘undulant fever’ in humans</w:t>
      </w:r>
      <w:r>
        <w:t>. The spread of infectious disease is a negative externality</w:t>
      </w:r>
      <w:r w:rsidR="00C35AA5">
        <w:t xml:space="preserve"> </w:t>
      </w:r>
      <w:r w:rsidR="00BF4F20">
        <w:t xml:space="preserve">in </w:t>
      </w:r>
      <w:r w:rsidR="00C35AA5">
        <w:t>that</w:t>
      </w:r>
      <w:r w:rsidR="00BF4F20">
        <w:t xml:space="preserve"> it</w:t>
      </w:r>
      <w:r>
        <w:t xml:space="preserve"> can impose costs </w:t>
      </w:r>
      <w:r w:rsidR="00C35AA5">
        <w:t xml:space="preserve">and physical suffering </w:t>
      </w:r>
      <w:r>
        <w:t>on unwitting third parties. For instance, t</w:t>
      </w:r>
      <w:r w:rsidR="004720F3">
        <w:t>he c</w:t>
      </w:r>
      <w:r w:rsidR="006E3E2F">
        <w:t xml:space="preserve">onsumption of </w:t>
      </w:r>
      <w:r w:rsidR="00A24B1F">
        <w:t>unpasteurised milk</w:t>
      </w:r>
      <w:r>
        <w:t>/</w:t>
      </w:r>
      <w:r w:rsidR="006E3E2F">
        <w:t>dairy produce containing the Brucell</w:t>
      </w:r>
      <w:r w:rsidR="004720F3">
        <w:t>a</w:t>
      </w:r>
      <w:r w:rsidR="006E3E2F">
        <w:t xml:space="preserve"> bacteria</w:t>
      </w:r>
      <w:r w:rsidR="00A24B1F">
        <w:t xml:space="preserve"> or occupational exposure (farmers, vets etc</w:t>
      </w:r>
      <w:r>
        <w:t>.</w:t>
      </w:r>
      <w:r w:rsidR="00A24B1F">
        <w:t>)</w:t>
      </w:r>
      <w:r w:rsidR="006E3E2F">
        <w:t xml:space="preserve"> can result in human illness</w:t>
      </w:r>
      <w:r>
        <w:t>, which can become chronic and in a small number of cases can result in death</w:t>
      </w:r>
      <w:r w:rsidR="006E3E2F">
        <w:t xml:space="preserve">. </w:t>
      </w:r>
    </w:p>
    <w:p w:rsidR="00454686" w:rsidRDefault="00454686" w:rsidP="00A27908">
      <w:pPr>
        <w:pStyle w:val="EBBullet"/>
        <w:keepNext/>
        <w:numPr>
          <w:ilvl w:val="0"/>
          <w:numId w:val="22"/>
        </w:numPr>
      </w:pPr>
      <w:r>
        <w:t>Great Britain has been officially brucellosis free since the 1980’s. Disease freedom is a public good (non-excludable and non-rival</w:t>
      </w:r>
      <w:r w:rsidR="003625DA">
        <w:rPr>
          <w:rStyle w:val="FootnoteReference"/>
        </w:rPr>
        <w:footnoteReference w:id="3"/>
      </w:r>
      <w:r>
        <w:t>)</w:t>
      </w:r>
      <w:r w:rsidR="00C35AA5">
        <w:t>,</w:t>
      </w:r>
      <w:r>
        <w:t xml:space="preserve"> which requires government intervention to maintain. To guard against the </w:t>
      </w:r>
      <w:r w:rsidR="00C35AA5">
        <w:t>establish</w:t>
      </w:r>
      <w:r w:rsidR="003625DA">
        <w:t>ment</w:t>
      </w:r>
      <w:r w:rsidR="00C35AA5">
        <w:t xml:space="preserve"> of this disease after </w:t>
      </w:r>
      <w:r>
        <w:t>re-introduction there is a national surveillance programme</w:t>
      </w:r>
      <w:r w:rsidR="00BE5F3B">
        <w:t>,</w:t>
      </w:r>
      <w:r>
        <w:t xml:space="preserve"> which seeks to </w:t>
      </w:r>
      <w:r w:rsidR="00C73225">
        <w:t xml:space="preserve">detect </w:t>
      </w:r>
      <w:r>
        <w:t xml:space="preserve">disease </w:t>
      </w:r>
      <w:r w:rsidR="00C73225">
        <w:t xml:space="preserve">early should it be introduced </w:t>
      </w:r>
      <w:r>
        <w:t xml:space="preserve">in the national </w:t>
      </w:r>
      <w:r w:rsidR="00B6113D">
        <w:t xml:space="preserve">beef and dairy </w:t>
      </w:r>
      <w:r>
        <w:t>herd</w:t>
      </w:r>
      <w:r w:rsidR="00B6113D">
        <w:t>s</w:t>
      </w:r>
      <w:r>
        <w:t xml:space="preserve">. The main surveillance measures include </w:t>
      </w:r>
      <w:r w:rsidR="003B3840">
        <w:t xml:space="preserve">a reporting requirement for, and </w:t>
      </w:r>
      <w:r>
        <w:t>investigation of</w:t>
      </w:r>
      <w:r w:rsidR="003B3840">
        <w:t>,</w:t>
      </w:r>
      <w:r>
        <w:t xml:space="preserve"> </w:t>
      </w:r>
      <w:r w:rsidR="003B3840">
        <w:t>certain</w:t>
      </w:r>
      <w:r>
        <w:t xml:space="preserve"> abortions in cattle, post import inspections </w:t>
      </w:r>
      <w:r w:rsidR="00C73225">
        <w:t xml:space="preserve">and testing </w:t>
      </w:r>
      <w:r>
        <w:t>of live cattle</w:t>
      </w:r>
      <w:r w:rsidR="00586BBC">
        <w:t>,</w:t>
      </w:r>
      <w:r>
        <w:t xml:space="preserve"> and bulk milk tank testing.</w:t>
      </w:r>
    </w:p>
    <w:p w:rsidR="00367E3E" w:rsidRPr="00CC5393" w:rsidRDefault="00A27908" w:rsidP="00A27908">
      <w:pPr>
        <w:pStyle w:val="EBBullet"/>
        <w:keepNext/>
        <w:numPr>
          <w:ilvl w:val="0"/>
          <w:numId w:val="22"/>
        </w:numPr>
      </w:pPr>
      <w:r w:rsidRPr="00CC5393">
        <w:t xml:space="preserve">A review of the </w:t>
      </w:r>
      <w:r w:rsidR="00B6113D">
        <w:t>b</w:t>
      </w:r>
      <w:r w:rsidRPr="00CC5393">
        <w:t>rucellosis surveillance programme</w:t>
      </w:r>
      <w:r w:rsidR="00B964C4">
        <w:t xml:space="preserve"> in </w:t>
      </w:r>
      <w:r w:rsidR="00216810">
        <w:t>Great Britain</w:t>
      </w:r>
      <w:r w:rsidR="00216810" w:rsidRPr="00CC5393">
        <w:t xml:space="preserve"> </w:t>
      </w:r>
      <w:r w:rsidRPr="00CC5393">
        <w:t xml:space="preserve">concluded that </w:t>
      </w:r>
      <w:r w:rsidR="00454686">
        <w:t>there are disproportionate costs to industry and government associated with monthly bulk milk tank testing of the dairy herd</w:t>
      </w:r>
      <w:r w:rsidR="00C56F82">
        <w:t xml:space="preserve">. </w:t>
      </w:r>
      <w:r w:rsidR="00454686">
        <w:t>Q</w:t>
      </w:r>
      <w:r w:rsidRPr="00CC5393">
        <w:t xml:space="preserve">uarterly testing would still enable </w:t>
      </w:r>
      <w:r w:rsidR="004A2DCB">
        <w:t>effective</w:t>
      </w:r>
      <w:r w:rsidR="0082092B">
        <w:t xml:space="preserve"> and sufficiently early</w:t>
      </w:r>
      <w:r w:rsidR="004A2DCB">
        <w:t xml:space="preserve"> </w:t>
      </w:r>
      <w:r w:rsidRPr="00CC5393">
        <w:t>controls to be put in place to prevent wide scale spread of infection</w:t>
      </w:r>
      <w:r w:rsidR="00367E3E" w:rsidRPr="00CC5393">
        <w:t xml:space="preserve"> in the event of an incursion of disease</w:t>
      </w:r>
      <w:r w:rsidRPr="00CC5393">
        <w:t xml:space="preserve">. In the background, a substantial decline in </w:t>
      </w:r>
      <w:r w:rsidR="00B6113D">
        <w:t>b</w:t>
      </w:r>
      <w:r w:rsidRPr="00CC5393">
        <w:t>rucellosis in Northern Ireland (NI) and the granting of “Officially Brucellosis Free” (OBF) status to the Republic of Ireland (RoI) in 2009 significantly reduces the risk of importing disease</w:t>
      </w:r>
      <w:r w:rsidR="003625DA">
        <w:t>,</w:t>
      </w:r>
      <w:r w:rsidRPr="00CC5393">
        <w:t xml:space="preserve"> </w:t>
      </w:r>
      <w:r w:rsidR="00C73225">
        <w:t xml:space="preserve">as </w:t>
      </w:r>
      <w:r w:rsidRPr="00CC5393">
        <w:t xml:space="preserve">NI and RoI are the origin of the vast majority of cattle </w:t>
      </w:r>
      <w:r w:rsidR="003B3840">
        <w:t>imported</w:t>
      </w:r>
      <w:r w:rsidRPr="00CC5393">
        <w:t xml:space="preserve"> into GB. </w:t>
      </w:r>
      <w:r w:rsidR="00367E3E" w:rsidRPr="00CC5393">
        <w:t xml:space="preserve">As such, a reduction in frequency of testing will improve the cost effectiveness of the surveillance programme and is considered to be a more proportionate measure for disease control. </w:t>
      </w:r>
    </w:p>
    <w:p w:rsidR="00A27908" w:rsidRDefault="00A27908" w:rsidP="00A27908">
      <w:pPr>
        <w:pStyle w:val="EBBullet"/>
        <w:keepNext/>
        <w:numPr>
          <w:ilvl w:val="0"/>
          <w:numId w:val="22"/>
        </w:numPr>
      </w:pPr>
      <w:r>
        <w:t>The same review flagged the disproportionately high cost and resource associated with</w:t>
      </w:r>
      <w:r w:rsidR="00C56F82">
        <w:t xml:space="preserve"> the</w:t>
      </w:r>
      <w:r>
        <w:t xml:space="preserve"> AHVLA </w:t>
      </w:r>
      <w:r w:rsidR="00216810">
        <w:t>visit</w:t>
      </w:r>
      <w:r w:rsidR="00C56F82">
        <w:t xml:space="preserve">ing farms </w:t>
      </w:r>
      <w:r w:rsidR="00216810">
        <w:t xml:space="preserve">to </w:t>
      </w:r>
      <w:r>
        <w:t xml:space="preserve">collect bulk milk </w:t>
      </w:r>
      <w:r w:rsidR="00C56F82">
        <w:t xml:space="preserve">tank </w:t>
      </w:r>
      <w:r>
        <w:t>samples from producer</w:t>
      </w:r>
      <w:r w:rsidR="00586BBC">
        <w:t xml:space="preserve"> </w:t>
      </w:r>
      <w:r>
        <w:t xml:space="preserve">retailers. This </w:t>
      </w:r>
      <w:r w:rsidR="00C56F82">
        <w:t xml:space="preserve">also </w:t>
      </w:r>
      <w:r w:rsidR="0082092B">
        <w:t xml:space="preserve">represents an </w:t>
      </w:r>
      <w:r>
        <w:t>inconsisten</w:t>
      </w:r>
      <w:r w:rsidR="0082092B">
        <w:t>cy</w:t>
      </w:r>
      <w:r>
        <w:t xml:space="preserve"> with the arrangements for the rest of industry</w:t>
      </w:r>
      <w:r w:rsidR="0082092B">
        <w:t>,</w:t>
      </w:r>
      <w:r>
        <w:t xml:space="preserve"> where sampling is undertaken </w:t>
      </w:r>
      <w:r w:rsidR="0082092B">
        <w:t xml:space="preserve">by </w:t>
      </w:r>
      <w:r>
        <w:t>the primary milk purchasers</w:t>
      </w:r>
      <w:r w:rsidR="0082092B">
        <w:t xml:space="preserve"> and the costs associated with this are met by industry</w:t>
      </w:r>
      <w:r>
        <w:t xml:space="preserve">. There are </w:t>
      </w:r>
      <w:r w:rsidR="00C56F82">
        <w:t>p</w:t>
      </w:r>
      <w:r>
        <w:t xml:space="preserve">otentially some benefits to </w:t>
      </w:r>
      <w:r w:rsidR="00B964C4">
        <w:t>producer</w:t>
      </w:r>
      <w:r w:rsidR="00586BBC">
        <w:t xml:space="preserve"> </w:t>
      </w:r>
      <w:r w:rsidR="003D41C5">
        <w:t xml:space="preserve">retailers </w:t>
      </w:r>
      <w:r w:rsidR="00C73225">
        <w:t xml:space="preserve">themselves </w:t>
      </w:r>
      <w:r w:rsidR="003D41C5">
        <w:t xml:space="preserve">in submitting their own samples. </w:t>
      </w:r>
    </w:p>
    <w:p w:rsidR="00A27908" w:rsidRDefault="00A27908" w:rsidP="00A27908">
      <w:pPr>
        <w:pStyle w:val="EBBullet"/>
        <w:keepNext/>
        <w:numPr>
          <w:ilvl w:val="0"/>
          <w:numId w:val="22"/>
        </w:numPr>
      </w:pPr>
      <w:r>
        <w:t xml:space="preserve">This impact assessment looks at the options for implementing both recommendations, including the need to amend the </w:t>
      </w:r>
      <w:r w:rsidR="008021FC">
        <w:t>related legislation</w:t>
      </w:r>
      <w:r w:rsidR="00274558">
        <w:t xml:space="preserve"> in England and Wales</w:t>
      </w:r>
      <w:r w:rsidR="000B7F9E">
        <w:rPr>
          <w:rStyle w:val="FootnoteReference"/>
        </w:rPr>
        <w:footnoteReference w:id="4"/>
      </w:r>
      <w:r w:rsidR="000B7F9E">
        <w:t xml:space="preserve">. </w:t>
      </w:r>
      <w:r w:rsidR="008021FC">
        <w:t xml:space="preserve"> </w:t>
      </w:r>
    </w:p>
    <w:p w:rsidR="000500D5" w:rsidRDefault="000500D5" w:rsidP="00A27908">
      <w:pPr>
        <w:pStyle w:val="EBBullet"/>
        <w:keepNext/>
        <w:numPr>
          <w:ilvl w:val="0"/>
          <w:numId w:val="0"/>
        </w:numPr>
        <w:ind w:left="284" w:hanging="284"/>
        <w:rPr>
          <w:b/>
          <w:sz w:val="24"/>
          <w:szCs w:val="24"/>
        </w:rPr>
      </w:pPr>
    </w:p>
    <w:p w:rsidR="00A27908" w:rsidRPr="002378A1" w:rsidRDefault="00A27908" w:rsidP="00A27908">
      <w:pPr>
        <w:pStyle w:val="EBBullet"/>
        <w:keepNext/>
        <w:numPr>
          <w:ilvl w:val="0"/>
          <w:numId w:val="0"/>
        </w:numPr>
        <w:ind w:left="284" w:hanging="284"/>
        <w:rPr>
          <w:b/>
          <w:sz w:val="24"/>
          <w:szCs w:val="24"/>
        </w:rPr>
      </w:pPr>
      <w:r w:rsidRPr="002378A1">
        <w:rPr>
          <w:b/>
          <w:sz w:val="24"/>
          <w:szCs w:val="24"/>
        </w:rPr>
        <w:t>Background</w:t>
      </w:r>
    </w:p>
    <w:p w:rsidR="00673799" w:rsidRPr="00673799" w:rsidRDefault="00A27908" w:rsidP="00A27908">
      <w:pPr>
        <w:pStyle w:val="EBBullet"/>
        <w:keepNext/>
        <w:numPr>
          <w:ilvl w:val="0"/>
          <w:numId w:val="22"/>
        </w:numPr>
        <w:rPr>
          <w:szCs w:val="24"/>
        </w:rPr>
      </w:pPr>
      <w:r w:rsidRPr="00B13B35">
        <w:rPr>
          <w:szCs w:val="24"/>
        </w:rPr>
        <w:t>EU Directive 64/432/EEC</w:t>
      </w:r>
      <w:r w:rsidR="00C56F82">
        <w:rPr>
          <w:rStyle w:val="FootnoteReference"/>
          <w:szCs w:val="24"/>
        </w:rPr>
        <w:footnoteReference w:id="5"/>
      </w:r>
      <w:r w:rsidRPr="00B13B35">
        <w:rPr>
          <w:szCs w:val="24"/>
        </w:rPr>
        <w:t xml:space="preserve"> requires the operation of a monitoring and testing programme to achieve and maintain </w:t>
      </w:r>
      <w:r w:rsidR="000B7F9E">
        <w:rPr>
          <w:szCs w:val="24"/>
        </w:rPr>
        <w:t>OBF</w:t>
      </w:r>
      <w:r w:rsidR="00C56F82">
        <w:rPr>
          <w:szCs w:val="24"/>
        </w:rPr>
        <w:t xml:space="preserve"> </w:t>
      </w:r>
      <w:r>
        <w:rPr>
          <w:szCs w:val="24"/>
        </w:rPr>
        <w:t xml:space="preserve">status. </w:t>
      </w:r>
      <w:r w:rsidRPr="00B13B35">
        <w:rPr>
          <w:szCs w:val="24"/>
        </w:rPr>
        <w:t xml:space="preserve">The current national surveillance and control programme for </w:t>
      </w:r>
      <w:r w:rsidR="00586BBC">
        <w:rPr>
          <w:szCs w:val="24"/>
        </w:rPr>
        <w:t>b</w:t>
      </w:r>
      <w:r w:rsidRPr="00B13B35">
        <w:rPr>
          <w:szCs w:val="24"/>
        </w:rPr>
        <w:t xml:space="preserve">ovine </w:t>
      </w:r>
      <w:r w:rsidR="00586BBC">
        <w:rPr>
          <w:szCs w:val="24"/>
        </w:rPr>
        <w:t>b</w:t>
      </w:r>
      <w:r w:rsidRPr="00B13B35">
        <w:rPr>
          <w:szCs w:val="24"/>
        </w:rPr>
        <w:t xml:space="preserve">rucellosis </w:t>
      </w:r>
      <w:r w:rsidR="00C73225">
        <w:rPr>
          <w:szCs w:val="24"/>
        </w:rPr>
        <w:t>originated</w:t>
      </w:r>
      <w:r w:rsidRPr="00B13B35">
        <w:rPr>
          <w:szCs w:val="24"/>
        </w:rPr>
        <w:t xml:space="preserve"> in the 1980s</w:t>
      </w:r>
      <w:r>
        <w:rPr>
          <w:szCs w:val="24"/>
        </w:rPr>
        <w:t xml:space="preserve"> – the main measures</w:t>
      </w:r>
      <w:r w:rsidR="00BA76E8">
        <w:rPr>
          <w:szCs w:val="24"/>
        </w:rPr>
        <w:t xml:space="preserve"> (from 2007)</w:t>
      </w:r>
      <w:r>
        <w:rPr>
          <w:szCs w:val="24"/>
        </w:rPr>
        <w:t xml:space="preserve"> being </w:t>
      </w:r>
      <w:r w:rsidR="003B3840">
        <w:rPr>
          <w:szCs w:val="24"/>
        </w:rPr>
        <w:t xml:space="preserve">required reporting of, and </w:t>
      </w:r>
      <w:r w:rsidR="00BA76E8" w:rsidRPr="00692AA4">
        <w:t xml:space="preserve">investigation of </w:t>
      </w:r>
      <w:r w:rsidR="003B3840">
        <w:t xml:space="preserve"> high risk </w:t>
      </w:r>
      <w:r w:rsidR="00BA76E8" w:rsidRPr="00692AA4">
        <w:t>reported abortions in cattle</w:t>
      </w:r>
      <w:r w:rsidR="00BA76E8">
        <w:t xml:space="preserve">, </w:t>
      </w:r>
      <w:r w:rsidR="00BA76E8" w:rsidRPr="00692AA4">
        <w:t>post import inspections</w:t>
      </w:r>
      <w:r w:rsidR="00586BBC">
        <w:t>,</w:t>
      </w:r>
      <w:r w:rsidR="00BA76E8" w:rsidRPr="00692AA4">
        <w:t xml:space="preserve"> </w:t>
      </w:r>
      <w:r w:rsidR="00BA76E8">
        <w:t xml:space="preserve">and </w:t>
      </w:r>
      <w:r w:rsidRPr="00692AA4">
        <w:t xml:space="preserve">bulk milk </w:t>
      </w:r>
      <w:r w:rsidR="00C56F82">
        <w:t>tank t</w:t>
      </w:r>
      <w:r w:rsidRPr="00692AA4">
        <w:t>esting</w:t>
      </w:r>
      <w:r w:rsidR="00BA76E8">
        <w:t xml:space="preserve">. </w:t>
      </w:r>
      <w:r w:rsidR="00673799">
        <w:t xml:space="preserve">Whilst the latter measure is not required by the EU legislation to maintain OBF status, it has </w:t>
      </w:r>
      <w:r w:rsidR="00673799">
        <w:lastRenderedPageBreak/>
        <w:t>been maintained for the benefit of the cattle industry</w:t>
      </w:r>
      <w:r w:rsidR="00C73225">
        <w:t xml:space="preserve"> and to make allowance for the estimation that not all abortions in cattle that should be investigated, are reported and investigated</w:t>
      </w:r>
      <w:r w:rsidR="00673799">
        <w:t xml:space="preserve">. It has been assessed as a cost-effective measure </w:t>
      </w:r>
      <w:r w:rsidR="00C73225">
        <w:t xml:space="preserve">that </w:t>
      </w:r>
      <w:r w:rsidR="00673799">
        <w:t>provides comprehensive coverage of the dairy herd for purposes of surveillance for disease.</w:t>
      </w:r>
      <w:r w:rsidR="00825D7B" w:rsidRPr="00825D7B">
        <w:t xml:space="preserve"> </w:t>
      </w:r>
      <w:r w:rsidR="00825D7B">
        <w:t xml:space="preserve">It will therefore mean that disease incursion will be detected in sufficient time to prevent wide scale spread, which would have significant cost implications for industry and government. </w:t>
      </w:r>
      <w:r w:rsidR="00673799">
        <w:t xml:space="preserve"> In the absence of bulk milk </w:t>
      </w:r>
      <w:r w:rsidR="00C56F82">
        <w:t xml:space="preserve">tank </w:t>
      </w:r>
      <w:r w:rsidR="00673799">
        <w:t>testing there would need to be an increase in follow up investigation of abortion reports. This would likely be more onerous and costly to dairy farmers</w:t>
      </w:r>
      <w:r w:rsidR="003B3840">
        <w:t xml:space="preserve"> and government</w:t>
      </w:r>
      <w:r w:rsidR="00673799">
        <w:t>, as it would involve farm visits and testing.</w:t>
      </w:r>
    </w:p>
    <w:p w:rsidR="00A27908" w:rsidRDefault="00A27908" w:rsidP="00A27908">
      <w:pPr>
        <w:pStyle w:val="EBBullet"/>
        <w:keepNext/>
        <w:numPr>
          <w:ilvl w:val="0"/>
          <w:numId w:val="22"/>
        </w:numPr>
        <w:rPr>
          <w:szCs w:val="24"/>
        </w:rPr>
      </w:pPr>
      <w:r w:rsidRPr="00B13B35">
        <w:rPr>
          <w:szCs w:val="24"/>
        </w:rPr>
        <w:t xml:space="preserve">The Brucellosis (England) Order 2000 </w:t>
      </w:r>
      <w:r>
        <w:rPr>
          <w:szCs w:val="24"/>
        </w:rPr>
        <w:t>(</w:t>
      </w:r>
      <w:r w:rsidRPr="00B13B35">
        <w:rPr>
          <w:szCs w:val="24"/>
        </w:rPr>
        <w:t xml:space="preserve">and equivalent legislation in </w:t>
      </w:r>
      <w:r w:rsidR="00D72310">
        <w:rPr>
          <w:szCs w:val="24"/>
        </w:rPr>
        <w:t xml:space="preserve">Scotland and </w:t>
      </w:r>
      <w:r w:rsidRPr="00B13B35">
        <w:rPr>
          <w:szCs w:val="24"/>
        </w:rPr>
        <w:t>Wales</w:t>
      </w:r>
      <w:r>
        <w:rPr>
          <w:szCs w:val="24"/>
        </w:rPr>
        <w:t>)</w:t>
      </w:r>
      <w:r w:rsidRPr="00B13B35">
        <w:rPr>
          <w:szCs w:val="24"/>
        </w:rPr>
        <w:t xml:space="preserve"> implements the provisions of Council Directive 64/432/EEC</w:t>
      </w:r>
      <w:r>
        <w:rPr>
          <w:szCs w:val="24"/>
        </w:rPr>
        <w:t xml:space="preserve"> and details the requirements for the national surveillance programme</w:t>
      </w:r>
      <w:r w:rsidRPr="00B13B35">
        <w:rPr>
          <w:szCs w:val="24"/>
        </w:rPr>
        <w:t xml:space="preserve">. </w:t>
      </w:r>
    </w:p>
    <w:p w:rsidR="00A27908" w:rsidRDefault="00A27908" w:rsidP="00A27908">
      <w:pPr>
        <w:pStyle w:val="EBBullet"/>
        <w:keepNext/>
        <w:numPr>
          <w:ilvl w:val="0"/>
          <w:numId w:val="22"/>
        </w:numPr>
      </w:pPr>
      <w:r>
        <w:t xml:space="preserve">Since 1991, </w:t>
      </w:r>
      <w:r w:rsidR="003B05B2">
        <w:t>b</w:t>
      </w:r>
      <w:r>
        <w:t xml:space="preserve">rucellosis has been identified in cattle in </w:t>
      </w:r>
      <w:r w:rsidR="00BA76E8">
        <w:t>GB</w:t>
      </w:r>
      <w:r w:rsidR="00B964C4">
        <w:t xml:space="preserve"> on three occasions. </w:t>
      </w:r>
      <w:r w:rsidR="00B964C4" w:rsidRPr="00216810">
        <w:rPr>
          <w:i/>
        </w:rPr>
        <w:t xml:space="preserve">Brucella </w:t>
      </w:r>
      <w:r w:rsidR="00216810" w:rsidRPr="00216810">
        <w:rPr>
          <w:i/>
        </w:rPr>
        <w:t>a</w:t>
      </w:r>
      <w:r w:rsidRPr="00216810">
        <w:rPr>
          <w:i/>
        </w:rPr>
        <w:t>bortus</w:t>
      </w:r>
      <w:r>
        <w:t xml:space="preserve"> was confirmed in 1993 in a dairy herd in Anglesey</w:t>
      </w:r>
      <w:r w:rsidR="00C73225">
        <w:t>;</w:t>
      </w:r>
      <w:r>
        <w:t xml:space="preserve"> </w:t>
      </w:r>
      <w:r w:rsidR="00C73225">
        <w:t xml:space="preserve">disease </w:t>
      </w:r>
      <w:r>
        <w:t xml:space="preserve">had been imported in cattle from France. The infection was detected by a positive bulk milk </w:t>
      </w:r>
      <w:r w:rsidR="001301F5">
        <w:t xml:space="preserve">tank </w:t>
      </w:r>
      <w:r>
        <w:t>sample and subsequent abortion enquiry. In 2003, it was confirmed in four cattle herds in Scotlan</w:t>
      </w:r>
      <w:r w:rsidRPr="00CC5393">
        <w:t>d</w:t>
      </w:r>
      <w:r>
        <w:t>, each of which had been infected by heifers imported from the Republic of Ireland. The cost to</w:t>
      </w:r>
      <w:r w:rsidR="00325013">
        <w:t xml:space="preserve"> government to</w:t>
      </w:r>
      <w:r>
        <w:t xml:space="preserve"> control</w:t>
      </w:r>
      <w:r w:rsidR="0082092B">
        <w:t xml:space="preserve"> even</w:t>
      </w:r>
      <w:r>
        <w:t xml:space="preserve"> this limited outbreak was estimated at £500,000. The last reported infection occurred in March 2004 in a beef breeding herd in Cornwall following an abortion investigation, although the origin of infection was never identified. </w:t>
      </w:r>
    </w:p>
    <w:p w:rsidR="00D72310" w:rsidRDefault="00BA76E8" w:rsidP="00D72310">
      <w:pPr>
        <w:pStyle w:val="EBBullet"/>
        <w:keepNext/>
        <w:numPr>
          <w:ilvl w:val="0"/>
          <w:numId w:val="22"/>
        </w:numPr>
      </w:pPr>
      <w:r>
        <w:t xml:space="preserve">The </w:t>
      </w:r>
      <w:r w:rsidR="00216810">
        <w:t xml:space="preserve">UK </w:t>
      </w:r>
      <w:r>
        <w:t>Zoonoses Report 201</w:t>
      </w:r>
      <w:r w:rsidR="00D72310">
        <w:t>2</w:t>
      </w:r>
      <w:r>
        <w:t xml:space="preserve">, a joint publication by the Health Protection Agency and Defra, reported that there were </w:t>
      </w:r>
      <w:r w:rsidR="00656E3F">
        <w:t>t</w:t>
      </w:r>
      <w:r w:rsidR="00D72310">
        <w:t>wo</w:t>
      </w:r>
      <w:r w:rsidR="003B05B2">
        <w:t xml:space="preserve"> cases of human b</w:t>
      </w:r>
      <w:r>
        <w:t xml:space="preserve">rucellosis caused by </w:t>
      </w:r>
      <w:r w:rsidRPr="00216810">
        <w:rPr>
          <w:i/>
        </w:rPr>
        <w:t xml:space="preserve">Brucella </w:t>
      </w:r>
      <w:r w:rsidR="00216810" w:rsidRPr="00216810">
        <w:rPr>
          <w:i/>
        </w:rPr>
        <w:t>a</w:t>
      </w:r>
      <w:r w:rsidRPr="00216810">
        <w:rPr>
          <w:i/>
        </w:rPr>
        <w:t>bortus</w:t>
      </w:r>
      <w:r>
        <w:t xml:space="preserve"> in</w:t>
      </w:r>
      <w:r w:rsidR="00656E3F">
        <w:t xml:space="preserve"> the UK in</w:t>
      </w:r>
      <w:r>
        <w:t xml:space="preserve"> 20</w:t>
      </w:r>
      <w:r w:rsidR="005A6E17">
        <w:t>1</w:t>
      </w:r>
      <w:r w:rsidR="00656E3F">
        <w:t>1</w:t>
      </w:r>
      <w:r>
        <w:t xml:space="preserve">. Further information can be found at </w:t>
      </w:r>
      <w:hyperlink r:id="rId11" w:history="1">
        <w:r w:rsidR="00D72310" w:rsidRPr="00D72310">
          <w:rPr>
            <w:rStyle w:val="Hyperlink"/>
          </w:rPr>
          <w:t>https://www.gov.uk/government/uploads/system/uploads/attachment_data/file/236983/pb13987-zoonoses-report-2012.pdf</w:t>
        </w:r>
        <w:r w:rsidR="00A9627B" w:rsidRPr="00D72310">
          <w:rPr>
            <w:rStyle w:val="Hyperlink"/>
          </w:rPr>
          <w:t>.</w:t>
        </w:r>
      </w:hyperlink>
    </w:p>
    <w:p w:rsidR="00A27908" w:rsidRPr="002621A6" w:rsidRDefault="00A27908" w:rsidP="00A27908">
      <w:pPr>
        <w:pStyle w:val="EBBullet"/>
        <w:keepNext/>
        <w:numPr>
          <w:ilvl w:val="0"/>
          <w:numId w:val="0"/>
        </w:numPr>
        <w:rPr>
          <w:u w:val="single"/>
        </w:rPr>
      </w:pPr>
      <w:r w:rsidRPr="002621A6">
        <w:rPr>
          <w:u w:val="single"/>
        </w:rPr>
        <w:t>Competent Authority</w:t>
      </w:r>
    </w:p>
    <w:p w:rsidR="00A27908" w:rsidRDefault="00A27908" w:rsidP="00A27908">
      <w:pPr>
        <w:pStyle w:val="EBBullet"/>
        <w:keepNext/>
        <w:numPr>
          <w:ilvl w:val="0"/>
          <w:numId w:val="22"/>
        </w:numPr>
      </w:pPr>
      <w:r>
        <w:t>UK pol</w:t>
      </w:r>
      <w:r w:rsidR="003B05B2">
        <w:t>icy relating to the control of b</w:t>
      </w:r>
      <w:r>
        <w:t>rucellosis is devolved to UK government departments. For England, the policy lead is the Department for Environment Food and Rural Affairs (Defra); for Wales, the Welsh Government (WG); for Scotland, the Scottish Government (SG); and for Northern Ireland, the Department for Agriculture in Northern Ireland (DARDNI). Defra is the competent authority on behalf of the UK for all related EU matters.</w:t>
      </w:r>
    </w:p>
    <w:p w:rsidR="00A27908" w:rsidRDefault="00A27908" w:rsidP="00A27908">
      <w:pPr>
        <w:pStyle w:val="EBBullet"/>
        <w:keepNext/>
        <w:numPr>
          <w:ilvl w:val="0"/>
          <w:numId w:val="22"/>
        </w:numPr>
      </w:pPr>
      <w:r>
        <w:t>The Animal Health and Veterinary Laboratories Agency (AHVLA) is an executive agency of Defra, formed on the 1 April 2011. It merged the existing Animal Health Agency (AH) and the Veterinary Laboratories Agency (VLA). AHVLA is responsible</w:t>
      </w:r>
      <w:r w:rsidR="00A9627B">
        <w:t xml:space="preserve"> </w:t>
      </w:r>
      <w:r>
        <w:t xml:space="preserve">for inspections, testing and follow up examinations for </w:t>
      </w:r>
      <w:r w:rsidR="00C40536">
        <w:t xml:space="preserve">reported or suspected </w:t>
      </w:r>
      <w:r>
        <w:t>cases of disease. Defra</w:t>
      </w:r>
      <w:r w:rsidR="00A9627B">
        <w:t xml:space="preserve"> and the </w:t>
      </w:r>
      <w:r w:rsidR="00C40536">
        <w:t xml:space="preserve">UK national </w:t>
      </w:r>
      <w:r w:rsidR="00A9627B">
        <w:t>Governments</w:t>
      </w:r>
      <w:r>
        <w:t xml:space="preserve"> ha</w:t>
      </w:r>
      <w:r w:rsidR="00A9627B">
        <w:t>ve</w:t>
      </w:r>
      <w:r>
        <w:t xml:space="preserve"> </w:t>
      </w:r>
      <w:r w:rsidR="00B964C4">
        <w:t xml:space="preserve">surveillance </w:t>
      </w:r>
      <w:r>
        <w:t>contract</w:t>
      </w:r>
      <w:r w:rsidR="00A9627B">
        <w:t>s</w:t>
      </w:r>
      <w:r w:rsidR="00727F07">
        <w:t xml:space="preserve"> and S</w:t>
      </w:r>
      <w:r>
        <w:t xml:space="preserve">ervice </w:t>
      </w:r>
      <w:r w:rsidR="00727F07">
        <w:t>Level A</w:t>
      </w:r>
      <w:r>
        <w:t>greement</w:t>
      </w:r>
      <w:r w:rsidR="00A9627B">
        <w:t>s</w:t>
      </w:r>
      <w:r>
        <w:t xml:space="preserve"> with AHVLA, which includes activities related to testing for </w:t>
      </w:r>
      <w:r w:rsidR="00727F07">
        <w:t>brucellosis</w:t>
      </w:r>
      <w:r>
        <w:t xml:space="preserve"> and the collection of bulk milk </w:t>
      </w:r>
      <w:r w:rsidR="001301F5">
        <w:t xml:space="preserve">tank </w:t>
      </w:r>
      <w:r>
        <w:t>samples from producer</w:t>
      </w:r>
      <w:r w:rsidR="00586BBC">
        <w:t xml:space="preserve"> </w:t>
      </w:r>
      <w:r>
        <w:t>retailers.</w:t>
      </w:r>
    </w:p>
    <w:p w:rsidR="00A27908" w:rsidRDefault="00A27908" w:rsidP="00A27908">
      <w:pPr>
        <w:pStyle w:val="EBBullet"/>
        <w:keepNext/>
        <w:numPr>
          <w:ilvl w:val="0"/>
          <w:numId w:val="0"/>
        </w:numPr>
      </w:pPr>
      <w:r w:rsidRPr="00333F3E">
        <w:rPr>
          <w:u w:val="single"/>
        </w:rPr>
        <w:t>Arrangements for bulk milk</w:t>
      </w:r>
      <w:r w:rsidR="003B05B2">
        <w:rPr>
          <w:u w:val="single"/>
        </w:rPr>
        <w:t xml:space="preserve"> tank</w:t>
      </w:r>
      <w:r w:rsidRPr="00333F3E">
        <w:rPr>
          <w:u w:val="single"/>
        </w:rPr>
        <w:t xml:space="preserve"> </w:t>
      </w:r>
      <w:r>
        <w:rPr>
          <w:u w:val="single"/>
        </w:rPr>
        <w:t>testing</w:t>
      </w:r>
    </w:p>
    <w:p w:rsidR="00A27908" w:rsidRDefault="00A27908" w:rsidP="00A27908">
      <w:pPr>
        <w:pStyle w:val="EBBullet"/>
        <w:keepNext/>
        <w:numPr>
          <w:ilvl w:val="0"/>
          <w:numId w:val="22"/>
        </w:numPr>
      </w:pPr>
      <w:r w:rsidRPr="005B3F77">
        <w:t>Prior to 1 April 2011, Defra had contracts with two private laboratories (National Milk Laboratories (NML) and Eclipse Laboratories</w:t>
      </w:r>
      <w:r>
        <w:rPr>
          <w:rStyle w:val="FootnoteReference"/>
        </w:rPr>
        <w:footnoteReference w:id="6"/>
      </w:r>
      <w:r w:rsidRPr="005B3F77">
        <w:t xml:space="preserve">) to </w:t>
      </w:r>
      <w:r>
        <w:t>conduct</w:t>
      </w:r>
      <w:r w:rsidRPr="005B3F77">
        <w:t xml:space="preserve"> bulk milk </w:t>
      </w:r>
      <w:r w:rsidR="001301F5">
        <w:t xml:space="preserve">tank </w:t>
      </w:r>
      <w:r w:rsidRPr="005B3F77">
        <w:t>testing</w:t>
      </w:r>
      <w:r>
        <w:t xml:space="preserve"> for </w:t>
      </w:r>
      <w:r w:rsidR="000334C7">
        <w:t>b</w:t>
      </w:r>
      <w:r w:rsidR="003B05B2">
        <w:t>rucell</w:t>
      </w:r>
      <w:r w:rsidR="000334C7">
        <w:t>osis,</w:t>
      </w:r>
      <w:r w:rsidR="00BA76E8">
        <w:t xml:space="preserve"> covering the whole of GB</w:t>
      </w:r>
      <w:r w:rsidRPr="005B3F77">
        <w:t>. When a positive or inconclusive result was detected, Defra had to be notified and the sample sent to VLA for confirmation. After careful consideration of the unit costs,</w:t>
      </w:r>
      <w:r>
        <w:t xml:space="preserve"> procurement rules,</w:t>
      </w:r>
      <w:r w:rsidRPr="005B3F77">
        <w:t xml:space="preserve"> </w:t>
      </w:r>
      <w:r w:rsidR="00C40536">
        <w:t xml:space="preserve">need for </w:t>
      </w:r>
      <w:r w:rsidRPr="005B3F77">
        <w:t>continued investment and the desire to optimise utilisation of AHVLA facilities’</w:t>
      </w:r>
      <w:r>
        <w:t xml:space="preserve"> and expertise</w:t>
      </w:r>
      <w:r w:rsidRPr="005B3F77">
        <w:t xml:space="preserve">, a decision was taken to bring bulk milk </w:t>
      </w:r>
      <w:r w:rsidR="001301F5">
        <w:t xml:space="preserve">tank </w:t>
      </w:r>
      <w:r w:rsidRPr="005B3F77">
        <w:t>testing in house to AHVLA</w:t>
      </w:r>
      <w:r w:rsidR="00BA76E8">
        <w:t xml:space="preserve"> for England and Wales. Scotland decided to continue using NML Scotland for this service</w:t>
      </w:r>
      <w:r w:rsidR="00216810">
        <w:t>, although confirmation testing remains with the Reference Laboratory at AHVLA Weybridge</w:t>
      </w:r>
      <w:r w:rsidRPr="005B3F77">
        <w:t>.</w:t>
      </w:r>
    </w:p>
    <w:p w:rsidR="00A27908" w:rsidRPr="005B3F77" w:rsidRDefault="00A27908" w:rsidP="00A27908">
      <w:pPr>
        <w:pStyle w:val="EBBullet"/>
        <w:keepNext/>
        <w:numPr>
          <w:ilvl w:val="0"/>
          <w:numId w:val="22"/>
        </w:numPr>
      </w:pPr>
      <w:r>
        <w:t xml:space="preserve">One of the major benefits of this course of action was that it provided an opportunity to support the </w:t>
      </w:r>
      <w:r w:rsidR="00C40536">
        <w:t xml:space="preserve">government agency </w:t>
      </w:r>
      <w:r>
        <w:t xml:space="preserve">laboratories responsible for outbreak </w:t>
      </w:r>
      <w:r w:rsidR="00C40536">
        <w:t xml:space="preserve">sample testing </w:t>
      </w:r>
      <w:r>
        <w:t xml:space="preserve">and </w:t>
      </w:r>
      <w:r w:rsidR="00C40536">
        <w:t xml:space="preserve">expert </w:t>
      </w:r>
      <w:r>
        <w:t>advice</w:t>
      </w:r>
      <w:r w:rsidR="000334C7">
        <w:t>,</w:t>
      </w:r>
      <w:r>
        <w:t xml:space="preserve"> which otherwise </w:t>
      </w:r>
      <w:r w:rsidR="00C40536">
        <w:t xml:space="preserve">would have </w:t>
      </w:r>
      <w:r>
        <w:t>require</w:t>
      </w:r>
      <w:r w:rsidR="000334C7">
        <w:t>d</w:t>
      </w:r>
      <w:r>
        <w:t xml:space="preserve"> additional resource in the form of a direct payment to retain </w:t>
      </w:r>
      <w:r w:rsidR="000334C7">
        <w:t xml:space="preserve">these </w:t>
      </w:r>
      <w:r>
        <w:t>services. AHVLA already played a part in the existing milk testing regime through preparing and issuing the sampling kits</w:t>
      </w:r>
      <w:r w:rsidR="0018397C">
        <w:t xml:space="preserve">, </w:t>
      </w:r>
      <w:r w:rsidR="0097527A">
        <w:t xml:space="preserve">quality control testing of participating </w:t>
      </w:r>
      <w:r w:rsidR="00C40536">
        <w:t xml:space="preserve">commercial </w:t>
      </w:r>
      <w:r w:rsidR="0097527A">
        <w:t>labs</w:t>
      </w:r>
      <w:r w:rsidR="0018397C">
        <w:t xml:space="preserve"> and confirming positive and inconclusive tests</w:t>
      </w:r>
      <w:r w:rsidR="0097527A">
        <w:t xml:space="preserve">, </w:t>
      </w:r>
      <w:r>
        <w:t xml:space="preserve">and therefore already had significant knowledge of the requirements that could be harnessed. </w:t>
      </w:r>
      <w:r w:rsidRPr="00131639">
        <w:rPr>
          <w:u w:val="single"/>
        </w:rPr>
        <w:t xml:space="preserve">The testing itself continues to be paid for by </w:t>
      </w:r>
      <w:r w:rsidR="00C40536">
        <w:rPr>
          <w:u w:val="single"/>
        </w:rPr>
        <w:t xml:space="preserve">UK </w:t>
      </w:r>
      <w:r w:rsidRPr="00131639">
        <w:rPr>
          <w:u w:val="single"/>
        </w:rPr>
        <w:t>Government</w:t>
      </w:r>
      <w:r w:rsidR="00C40536">
        <w:rPr>
          <w:u w:val="single"/>
        </w:rPr>
        <w:t>s</w:t>
      </w:r>
      <w:r w:rsidRPr="00131639">
        <w:rPr>
          <w:u w:val="single"/>
        </w:rPr>
        <w:t>.</w:t>
      </w:r>
      <w:r>
        <w:t xml:space="preserve"> </w:t>
      </w:r>
    </w:p>
    <w:p w:rsidR="0018397C" w:rsidRPr="0018397C" w:rsidRDefault="00A27908" w:rsidP="00AB2503">
      <w:pPr>
        <w:pStyle w:val="EBBullet"/>
        <w:keepNext/>
        <w:numPr>
          <w:ilvl w:val="0"/>
          <w:numId w:val="22"/>
        </w:numPr>
        <w:rPr>
          <w:u w:val="single"/>
        </w:rPr>
      </w:pPr>
      <w:r w:rsidRPr="005B3F77">
        <w:t xml:space="preserve">Following discussion with industry representatives and private laboratories, it was agreed that NML/Eclipse would continue to assist with </w:t>
      </w:r>
      <w:r w:rsidR="00216810">
        <w:t xml:space="preserve">the </w:t>
      </w:r>
      <w:r w:rsidR="000359A7">
        <w:t xml:space="preserve">submission </w:t>
      </w:r>
      <w:r w:rsidR="00216810">
        <w:t xml:space="preserve">of </w:t>
      </w:r>
      <w:r w:rsidRPr="005B3F77">
        <w:t>bulk milk</w:t>
      </w:r>
      <w:r w:rsidR="001301F5">
        <w:t xml:space="preserve"> tank</w:t>
      </w:r>
      <w:r w:rsidRPr="005B3F77">
        <w:t xml:space="preserve"> sampl</w:t>
      </w:r>
      <w:r w:rsidR="00216810">
        <w:t>es</w:t>
      </w:r>
      <w:r>
        <w:t>,</w:t>
      </w:r>
      <w:r w:rsidRPr="005B3F77">
        <w:t xml:space="preserve"> by utilising the</w:t>
      </w:r>
      <w:r>
        <w:t>ir</w:t>
      </w:r>
      <w:r w:rsidRPr="005B3F77">
        <w:t xml:space="preserve"> existing sample collection arrangements</w:t>
      </w:r>
      <w:r>
        <w:t xml:space="preserve"> (</w:t>
      </w:r>
      <w:r w:rsidR="00C7183B">
        <w:t xml:space="preserve">these labs continue to test milk </w:t>
      </w:r>
      <w:r>
        <w:t xml:space="preserve">for </w:t>
      </w:r>
      <w:r w:rsidR="00216810">
        <w:t>quality</w:t>
      </w:r>
      <w:r>
        <w:t xml:space="preserve"> purposes)</w:t>
      </w:r>
      <w:r w:rsidRPr="005B3F77">
        <w:t xml:space="preserve"> from </w:t>
      </w:r>
      <w:r w:rsidRPr="005B3F77">
        <w:lastRenderedPageBreak/>
        <w:t>every active depot in England and Wales. The costs associated with this co-ordination (approx. 90p per sample</w:t>
      </w:r>
      <w:r w:rsidR="001301F5">
        <w:rPr>
          <w:rStyle w:val="FootnoteReference"/>
        </w:rPr>
        <w:footnoteReference w:id="7"/>
      </w:r>
      <w:r w:rsidR="00AB2503">
        <w:t xml:space="preserve"> to transfer milk into an appropriate sample pot, label it and transport to AHVLA</w:t>
      </w:r>
      <w:r w:rsidRPr="005B3F77">
        <w:t xml:space="preserve">) would be met by the milk purchasers. </w:t>
      </w:r>
      <w:r>
        <w:t xml:space="preserve">The benefits of this approach being to ease the process of submission of samples, </w:t>
      </w:r>
      <w:r w:rsidR="00216810">
        <w:t xml:space="preserve">which </w:t>
      </w:r>
      <w:r>
        <w:t>avoid</w:t>
      </w:r>
      <w:r w:rsidR="00216810">
        <w:t>s</w:t>
      </w:r>
      <w:r>
        <w:t xml:space="preserve"> the costs associated with each purchaser making their own sample deliveries direct to AHVLA. Dairy herd owners were also offered the option to submit milk samples directly to AHVLA, if this was their preferred approach</w:t>
      </w:r>
      <w:r w:rsidR="00586BBC">
        <w:t>,</w:t>
      </w:r>
      <w:r w:rsidR="0018397C">
        <w:t xml:space="preserve"> although this would probably be more costly to them</w:t>
      </w:r>
      <w:r>
        <w:t>.</w:t>
      </w:r>
    </w:p>
    <w:p w:rsidR="00AB2503" w:rsidRPr="000359A7" w:rsidRDefault="00AB2503" w:rsidP="009A1835">
      <w:pPr>
        <w:pStyle w:val="EBBullet"/>
        <w:keepNext/>
        <w:numPr>
          <w:ilvl w:val="0"/>
          <w:numId w:val="22"/>
        </w:numPr>
      </w:pPr>
      <w:r>
        <w:t xml:space="preserve">It is recognised that the impact of this decision resulted in a small new cost to industry (i.e. the 90p per sample). </w:t>
      </w:r>
      <w:r w:rsidRPr="009A1835">
        <w:t>Prior to this there w</w:t>
      </w:r>
      <w:r w:rsidR="000359A7" w:rsidRPr="009A1835">
        <w:t>ere</w:t>
      </w:r>
      <w:r w:rsidRPr="009A1835">
        <w:t xml:space="preserve"> no cost</w:t>
      </w:r>
      <w:r w:rsidR="000359A7" w:rsidRPr="009A1835">
        <w:t>s</w:t>
      </w:r>
      <w:r w:rsidRPr="009A1835">
        <w:t xml:space="preserve"> to industry for the submission of these samples</w:t>
      </w:r>
      <w:r w:rsidR="000359A7" w:rsidRPr="009A1835">
        <w:t>,</w:t>
      </w:r>
      <w:r w:rsidRPr="009A1835">
        <w:t xml:space="preserve"> since NML were under contract to conduct the Brucellosis </w:t>
      </w:r>
      <w:r w:rsidR="009A1835" w:rsidRPr="009A1835">
        <w:t xml:space="preserve">milk </w:t>
      </w:r>
      <w:r w:rsidRPr="009A1835">
        <w:t>testing, meaning there was no need to package and transport milk elsewhere.</w:t>
      </w:r>
      <w:r w:rsidR="000359A7" w:rsidRPr="009A1835">
        <w:t xml:space="preserve"> </w:t>
      </w:r>
      <w:r w:rsidR="000359A7" w:rsidRPr="000359A7">
        <w:t xml:space="preserve">This Impact Assessment considers the costs and benefits of </w:t>
      </w:r>
      <w:r w:rsidR="000359A7" w:rsidRPr="009A1835">
        <w:rPr>
          <w:u w:val="single"/>
        </w:rPr>
        <w:t>regulatory</w:t>
      </w:r>
      <w:r w:rsidR="000359A7" w:rsidRPr="000359A7">
        <w:t xml:space="preserve"> changes only. The decision to bring testing in-house to AHVLA was a matter of procurement</w:t>
      </w:r>
      <w:r w:rsidR="0018397C">
        <w:t xml:space="preserve"> policy</w:t>
      </w:r>
      <w:r w:rsidR="000359A7" w:rsidRPr="000359A7">
        <w:t xml:space="preserve"> and did not result in regulatory change. As such, the baseline we have set to </w:t>
      </w:r>
      <w:r w:rsidR="0018397C">
        <w:t>estimate</w:t>
      </w:r>
      <w:r w:rsidR="000359A7" w:rsidRPr="000359A7">
        <w:t xml:space="preserve"> costs and benefits of a reduction in frequency of testing and for producer</w:t>
      </w:r>
      <w:r w:rsidR="00586BBC">
        <w:t xml:space="preserve"> </w:t>
      </w:r>
      <w:r w:rsidR="000359A7" w:rsidRPr="000359A7">
        <w:t>retailers to submit their own samples in future assumes that</w:t>
      </w:r>
      <w:r w:rsidR="000359A7">
        <w:t xml:space="preserve"> the samples are being sent to AHVLA.</w:t>
      </w:r>
      <w:r w:rsidR="000359A7" w:rsidRPr="000359A7">
        <w:t xml:space="preserve">     </w:t>
      </w:r>
      <w:r w:rsidRPr="000359A7">
        <w:t xml:space="preserve">   </w:t>
      </w:r>
    </w:p>
    <w:p w:rsidR="002E6FE7" w:rsidRPr="00810FC8" w:rsidRDefault="00C7183B" w:rsidP="002E6FE7">
      <w:pPr>
        <w:pStyle w:val="EBBullet"/>
        <w:keepNext/>
        <w:numPr>
          <w:ilvl w:val="0"/>
          <w:numId w:val="22"/>
        </w:numPr>
        <w:rPr>
          <w:u w:val="single"/>
        </w:rPr>
      </w:pPr>
      <w:r>
        <w:t>The milk sample taken for the b</w:t>
      </w:r>
      <w:r w:rsidR="00FE0DE9">
        <w:t xml:space="preserve">rucellosis surveillance programme is also tested for </w:t>
      </w:r>
      <w:r w:rsidR="002E6FE7">
        <w:t>Enzootic Bovine Leukosis</w:t>
      </w:r>
      <w:r w:rsidR="002E6FE7">
        <w:rPr>
          <w:rStyle w:val="FootnoteReference"/>
        </w:rPr>
        <w:footnoteReference w:id="8"/>
      </w:r>
      <w:r w:rsidR="00FE0DE9">
        <w:t xml:space="preserve">. A </w:t>
      </w:r>
      <w:r w:rsidR="00541EB7">
        <w:t xml:space="preserve">fifth of the </w:t>
      </w:r>
      <w:r w:rsidR="00C40536">
        <w:t xml:space="preserve">dairy </w:t>
      </w:r>
      <w:r w:rsidR="00541EB7">
        <w:t>herd are selected each year in England and Wales</w:t>
      </w:r>
      <w:r w:rsidR="003625DA">
        <w:t>,</w:t>
      </w:r>
      <w:r w:rsidR="00C40536">
        <w:t xml:space="preserve"> so that each dairy herd is subject to a test every 5 years</w:t>
      </w:r>
      <w:r w:rsidR="00541EB7">
        <w:t xml:space="preserve">. Two milk samples </w:t>
      </w:r>
      <w:r w:rsidR="003625DA">
        <w:t xml:space="preserve">from these selected </w:t>
      </w:r>
      <w:r w:rsidR="00491BC1">
        <w:t xml:space="preserve">cattle </w:t>
      </w:r>
      <w:r w:rsidR="003B3840">
        <w:t xml:space="preserve">herds </w:t>
      </w:r>
      <w:r w:rsidR="00541EB7">
        <w:t>are tested a year, at 6 monthly intervals</w:t>
      </w:r>
      <w:r w:rsidR="00FE0DE9">
        <w:t>.</w:t>
      </w:r>
    </w:p>
    <w:p w:rsidR="00BA76E8" w:rsidRPr="00BA76E8" w:rsidRDefault="00A27908" w:rsidP="00BA76E8">
      <w:pPr>
        <w:pStyle w:val="EBBullet"/>
        <w:keepNext/>
        <w:numPr>
          <w:ilvl w:val="0"/>
          <w:numId w:val="0"/>
        </w:numPr>
        <w:ind w:left="284" w:hanging="284"/>
        <w:rPr>
          <w:u w:val="single"/>
        </w:rPr>
      </w:pPr>
      <w:r w:rsidRPr="00787038">
        <w:rPr>
          <w:u w:val="single"/>
        </w:rPr>
        <w:t>Industry</w:t>
      </w:r>
    </w:p>
    <w:p w:rsidR="00A27908" w:rsidRPr="00B03F47" w:rsidRDefault="00A27908" w:rsidP="00A27908">
      <w:pPr>
        <w:pStyle w:val="EBBullet"/>
        <w:keepNext/>
        <w:numPr>
          <w:ilvl w:val="0"/>
          <w:numId w:val="22"/>
        </w:numPr>
        <w:rPr>
          <w:b/>
          <w:sz w:val="24"/>
          <w:szCs w:val="24"/>
        </w:rPr>
      </w:pPr>
      <w:r>
        <w:t>We understand that there are approximately</w:t>
      </w:r>
      <w:r w:rsidR="001301F5">
        <w:t xml:space="preserve"> </w:t>
      </w:r>
      <w:r w:rsidR="00701693">
        <w:t>100</w:t>
      </w:r>
      <w:r>
        <w:t xml:space="preserve"> producer retailers in England and Wales</w:t>
      </w:r>
      <w:r w:rsidR="00097CC8">
        <w:t xml:space="preserve"> (</w:t>
      </w:r>
      <w:r w:rsidR="0048578A">
        <w:t>8</w:t>
      </w:r>
      <w:r w:rsidR="00097CC8">
        <w:t>0</w:t>
      </w:r>
      <w:r w:rsidR="00701693">
        <w:t>%</w:t>
      </w:r>
      <w:r w:rsidR="00097CC8">
        <w:t xml:space="preserve"> in England and </w:t>
      </w:r>
      <w:r w:rsidR="00701693">
        <w:t>20%</w:t>
      </w:r>
      <w:r w:rsidR="00097CC8">
        <w:t xml:space="preserve"> in Wales)</w:t>
      </w:r>
      <w:r w:rsidR="00633EDF">
        <w:t xml:space="preserve">. </w:t>
      </w:r>
      <w:r>
        <w:t xml:space="preserve">Most, if not all, are made up of </w:t>
      </w:r>
      <w:r w:rsidR="00216810">
        <w:t xml:space="preserve">fewer </w:t>
      </w:r>
      <w:r w:rsidR="003D41C5">
        <w:t xml:space="preserve">than </w:t>
      </w:r>
      <w:r>
        <w:t xml:space="preserve">10 employees, meaning they are classified as micro businesses. </w:t>
      </w:r>
    </w:p>
    <w:p w:rsidR="002E6FE7" w:rsidRDefault="002E6FE7" w:rsidP="00A27908">
      <w:pPr>
        <w:pStyle w:val="EBBullet"/>
        <w:keepNext/>
        <w:numPr>
          <w:ilvl w:val="0"/>
          <w:numId w:val="0"/>
        </w:numPr>
        <w:ind w:left="284" w:hanging="284"/>
        <w:rPr>
          <w:b/>
          <w:sz w:val="24"/>
          <w:szCs w:val="24"/>
        </w:rPr>
      </w:pPr>
    </w:p>
    <w:p w:rsidR="00A27908" w:rsidRDefault="00A27908" w:rsidP="00A27908">
      <w:pPr>
        <w:pStyle w:val="EBBullet"/>
        <w:keepNext/>
        <w:numPr>
          <w:ilvl w:val="0"/>
          <w:numId w:val="0"/>
        </w:numPr>
        <w:ind w:left="284" w:hanging="284"/>
        <w:rPr>
          <w:b/>
          <w:sz w:val="24"/>
          <w:szCs w:val="24"/>
        </w:rPr>
      </w:pPr>
      <w:r w:rsidRPr="009A2475">
        <w:rPr>
          <w:b/>
          <w:sz w:val="24"/>
          <w:szCs w:val="24"/>
        </w:rPr>
        <w:t>Policy objective</w:t>
      </w:r>
    </w:p>
    <w:p w:rsidR="00A27908" w:rsidRDefault="00A27908" w:rsidP="00A27908">
      <w:pPr>
        <w:pStyle w:val="EBBullet"/>
        <w:keepNext/>
        <w:numPr>
          <w:ilvl w:val="0"/>
          <w:numId w:val="22"/>
        </w:numPr>
      </w:pPr>
      <w:r w:rsidRPr="00B91711">
        <w:t xml:space="preserve">The policy objective is a </w:t>
      </w:r>
      <w:r w:rsidR="00DC41C3">
        <w:t xml:space="preserve">more cost-effective and proportionate </w:t>
      </w:r>
      <w:r w:rsidR="001301F5">
        <w:t>surveillance programme for b</w:t>
      </w:r>
      <w:r w:rsidRPr="00B91711">
        <w:t xml:space="preserve">rucellosis that remains </w:t>
      </w:r>
      <w:r w:rsidR="00DC41C3">
        <w:t>robust</w:t>
      </w:r>
      <w:r w:rsidRPr="00B91711">
        <w:t xml:space="preserve"> enough to detect and </w:t>
      </w:r>
      <w:r w:rsidR="00216810">
        <w:t xml:space="preserve">assist in the </w:t>
      </w:r>
      <w:r w:rsidRPr="00B91711">
        <w:t xml:space="preserve">control </w:t>
      </w:r>
      <w:r w:rsidR="00216810">
        <w:t xml:space="preserve">of </w:t>
      </w:r>
      <w:r w:rsidRPr="00B91711">
        <w:t>any re-emergence of the disease</w:t>
      </w:r>
      <w:r w:rsidR="00E63783">
        <w:t>,</w:t>
      </w:r>
      <w:r w:rsidR="0082092B">
        <w:t xml:space="preserve"> in an acceptable timescale</w:t>
      </w:r>
      <w:r w:rsidRPr="00B91711">
        <w:t xml:space="preserve">. </w:t>
      </w:r>
      <w:r w:rsidR="003625DA">
        <w:t xml:space="preserve">This </w:t>
      </w:r>
      <w:r w:rsidR="00D87118">
        <w:t>program</w:t>
      </w:r>
      <w:r w:rsidR="003625DA">
        <w:t xml:space="preserve">me will still continue to support the maintenance of </w:t>
      </w:r>
      <w:r w:rsidR="00D87118">
        <w:t xml:space="preserve">government agency laboratory expertise as contingency for any animal disease outbreak that may require large scale blood or milk sample testing.  </w:t>
      </w:r>
      <w:r w:rsidR="00DC41C3">
        <w:t>Specifically, this will result in reductions in costs to government and affected businesses</w:t>
      </w:r>
      <w:r w:rsidR="007F03BC">
        <w:t>. It will ensure a more appropriate level of cost and responsibility sharing in line with government policy</w:t>
      </w:r>
      <w:r w:rsidR="00C517D8">
        <w:t>,</w:t>
      </w:r>
      <w:r w:rsidR="007F03BC">
        <w:t xml:space="preserve"> and create a more level playing field across industry for the submission of bulk milk </w:t>
      </w:r>
      <w:r w:rsidR="001301F5">
        <w:t xml:space="preserve">tank </w:t>
      </w:r>
      <w:r w:rsidR="007F03BC">
        <w:t>samples</w:t>
      </w:r>
      <w:r w:rsidR="00DC41C3">
        <w:t xml:space="preserve">. </w:t>
      </w:r>
      <w:r>
        <w:t>Bulk milk</w:t>
      </w:r>
      <w:r w:rsidR="001301F5">
        <w:t xml:space="preserve"> tank</w:t>
      </w:r>
      <w:r>
        <w:t xml:space="preserve"> testing provides surveillance of the entire </w:t>
      </w:r>
      <w:r w:rsidR="00BA76E8">
        <w:t xml:space="preserve">dairy </w:t>
      </w:r>
      <w:r>
        <w:t xml:space="preserve">herd and </w:t>
      </w:r>
      <w:r w:rsidR="00DC41C3">
        <w:t xml:space="preserve">will </w:t>
      </w:r>
      <w:r>
        <w:t xml:space="preserve">therefore </w:t>
      </w:r>
      <w:r w:rsidR="00DC41C3">
        <w:t xml:space="preserve">continue to </w:t>
      </w:r>
      <w:r>
        <w:t xml:space="preserve">complement </w:t>
      </w:r>
      <w:r w:rsidRPr="00B91711">
        <w:t>post import inspections and investigations of reported abortions in cattle.</w:t>
      </w:r>
    </w:p>
    <w:p w:rsidR="00A27908" w:rsidRDefault="00E63783" w:rsidP="00A27908">
      <w:pPr>
        <w:pStyle w:val="EBBullet"/>
        <w:keepNext/>
        <w:numPr>
          <w:ilvl w:val="0"/>
          <w:numId w:val="22"/>
        </w:numPr>
      </w:pPr>
      <w:r>
        <w:t xml:space="preserve">This impact assessment considers the impact of proposals to amend </w:t>
      </w:r>
      <w:r w:rsidR="00392AAE">
        <w:t>brucellosis</w:t>
      </w:r>
      <w:r>
        <w:t xml:space="preserve"> bulk milk </w:t>
      </w:r>
      <w:r w:rsidR="001301F5">
        <w:t xml:space="preserve">tank </w:t>
      </w:r>
      <w:r>
        <w:t xml:space="preserve">sampling arrangements in England and Wales. </w:t>
      </w:r>
      <w:r w:rsidR="00A27908">
        <w:t xml:space="preserve">The Scottish Government has already amended their Order in respect of the reduction in frequency of bulk milk </w:t>
      </w:r>
      <w:r w:rsidR="001301F5">
        <w:t xml:space="preserve">tank </w:t>
      </w:r>
      <w:r w:rsidR="00A27908">
        <w:t>testing</w:t>
      </w:r>
      <w:r w:rsidR="00392AAE">
        <w:t xml:space="preserve"> and </w:t>
      </w:r>
      <w:r w:rsidR="00A27908">
        <w:t xml:space="preserve">to reflect </w:t>
      </w:r>
      <w:r w:rsidR="00E7609C">
        <w:t>a</w:t>
      </w:r>
      <w:r w:rsidR="00A27908">
        <w:t xml:space="preserve"> change in the approach to sampling producer</w:t>
      </w:r>
      <w:r w:rsidR="004C7055">
        <w:t xml:space="preserve"> </w:t>
      </w:r>
      <w:r w:rsidR="00A27908">
        <w:t>retailers. This will ensure a consistent and enforceable approach to surveillance across Great Britain.</w:t>
      </w:r>
    </w:p>
    <w:p w:rsidR="00A27908" w:rsidRDefault="00A27908" w:rsidP="00A27908">
      <w:pPr>
        <w:pStyle w:val="EBBullet"/>
        <w:keepNext/>
        <w:numPr>
          <w:ilvl w:val="0"/>
          <w:numId w:val="0"/>
        </w:numPr>
        <w:ind w:left="360"/>
      </w:pPr>
    </w:p>
    <w:p w:rsidR="00A27908" w:rsidRPr="009A2475" w:rsidRDefault="00A27908" w:rsidP="00A27908">
      <w:pPr>
        <w:pStyle w:val="EBBullet"/>
        <w:keepNext/>
        <w:numPr>
          <w:ilvl w:val="0"/>
          <w:numId w:val="0"/>
        </w:numPr>
        <w:ind w:left="284" w:hanging="284"/>
        <w:rPr>
          <w:b/>
          <w:sz w:val="24"/>
          <w:szCs w:val="24"/>
        </w:rPr>
      </w:pPr>
      <w:r>
        <w:rPr>
          <w:b/>
          <w:sz w:val="24"/>
          <w:szCs w:val="24"/>
        </w:rPr>
        <w:t>Options considered</w:t>
      </w:r>
    </w:p>
    <w:p w:rsidR="00A27908" w:rsidRDefault="00A27908" w:rsidP="00A27908">
      <w:pPr>
        <w:pStyle w:val="EBBullet"/>
        <w:keepNext/>
        <w:numPr>
          <w:ilvl w:val="0"/>
          <w:numId w:val="22"/>
        </w:numPr>
      </w:pPr>
      <w:r>
        <w:t xml:space="preserve">Our </w:t>
      </w:r>
      <w:r w:rsidRPr="00155F83">
        <w:rPr>
          <w:b/>
        </w:rPr>
        <w:t>baseline option (do nothing)</w:t>
      </w:r>
      <w:r>
        <w:t xml:space="preserve"> is the option against which all others have been appraised. This means </w:t>
      </w:r>
      <w:r w:rsidR="00783BE4">
        <w:t xml:space="preserve">the continuation of </w:t>
      </w:r>
      <w:r>
        <w:t>monthly bulk milk</w:t>
      </w:r>
      <w:r w:rsidR="001301F5">
        <w:t xml:space="preserve"> tank</w:t>
      </w:r>
      <w:r>
        <w:t xml:space="preserve"> testing</w:t>
      </w:r>
      <w:r w:rsidR="006F7E43">
        <w:t xml:space="preserve"> for brucellosis</w:t>
      </w:r>
      <w:r w:rsidR="00AC3156">
        <w:t xml:space="preserve"> and </w:t>
      </w:r>
      <w:r w:rsidR="00D87118">
        <w:t xml:space="preserve">the </w:t>
      </w:r>
      <w:r>
        <w:t>AHVLA collect</w:t>
      </w:r>
      <w:r w:rsidR="00AC3156">
        <w:t>ing</w:t>
      </w:r>
      <w:r>
        <w:t xml:space="preserve"> </w:t>
      </w:r>
      <w:r w:rsidR="00D87118">
        <w:t xml:space="preserve">monthly </w:t>
      </w:r>
      <w:r>
        <w:t xml:space="preserve">bulk milk </w:t>
      </w:r>
      <w:r w:rsidR="001301F5">
        <w:t xml:space="preserve">tank </w:t>
      </w:r>
      <w:r>
        <w:t>samples from producer</w:t>
      </w:r>
      <w:r w:rsidR="004C7055">
        <w:t xml:space="preserve"> </w:t>
      </w:r>
      <w:r>
        <w:t>retailers.</w:t>
      </w:r>
      <w:r w:rsidR="00FE371F">
        <w:t xml:space="preserve"> (It should be noted that quarterly bulk milk tank sampling/testing was implemented administratively in April 2011. However, the related legislation still reflects a statutory requirement for monthly sampling/testing. Hence, monthly testing has been established as the baseline, as this IA </w:t>
      </w:r>
      <w:r w:rsidR="004C7055">
        <w:t>relates to</w:t>
      </w:r>
      <w:r w:rsidR="00FE371F">
        <w:t xml:space="preserve"> amending the statutory requirement).   </w:t>
      </w:r>
    </w:p>
    <w:p w:rsidR="00A27908" w:rsidRPr="009216C8" w:rsidRDefault="00A27908" w:rsidP="00A27908">
      <w:pPr>
        <w:pStyle w:val="EBBullet"/>
        <w:keepNext/>
        <w:numPr>
          <w:ilvl w:val="0"/>
          <w:numId w:val="22"/>
        </w:numPr>
      </w:pPr>
      <w:r w:rsidRPr="009216C8">
        <w:rPr>
          <w:b/>
        </w:rPr>
        <w:t>Option 1</w:t>
      </w:r>
      <w:r>
        <w:t xml:space="preserve"> </w:t>
      </w:r>
      <w:r w:rsidR="00474C4C">
        <w:t>results</w:t>
      </w:r>
      <w:r w:rsidR="003D41C5">
        <w:t xml:space="preserve"> in the Brucellosis Order</w:t>
      </w:r>
      <w:r w:rsidR="00474C4C">
        <w:t>s</w:t>
      </w:r>
      <w:r w:rsidR="003D41C5">
        <w:t xml:space="preserve"> being revised to reflect the reduction in frequency of testing</w:t>
      </w:r>
      <w:r w:rsidR="001301F5">
        <w:t xml:space="preserve"> (from monthly to quarterly)</w:t>
      </w:r>
      <w:r w:rsidR="00F649B7">
        <w:t xml:space="preserve"> for the whole industry</w:t>
      </w:r>
      <w:r w:rsidR="003D41C5">
        <w:t xml:space="preserve">. </w:t>
      </w:r>
      <w:r w:rsidR="001301F5">
        <w:t>Producer</w:t>
      </w:r>
      <w:r w:rsidR="004C7055">
        <w:t xml:space="preserve"> </w:t>
      </w:r>
      <w:r w:rsidR="001301F5">
        <w:t xml:space="preserve">retailers are currently subject to AHVLA visits to collect samples from their bulk milk tanks. </w:t>
      </w:r>
      <w:r w:rsidR="003D41C5">
        <w:t>A new obligation would be introduced</w:t>
      </w:r>
      <w:r w:rsidR="00634D87">
        <w:t>,</w:t>
      </w:r>
      <w:r w:rsidR="003D41C5">
        <w:t xml:space="preserve"> </w:t>
      </w:r>
      <w:r w:rsidR="004C7055">
        <w:lastRenderedPageBreak/>
        <w:t xml:space="preserve">requiring producer </w:t>
      </w:r>
      <w:r w:rsidR="003D41C5">
        <w:t xml:space="preserve">retailers to submit </w:t>
      </w:r>
      <w:r w:rsidR="00634D87">
        <w:t xml:space="preserve">three </w:t>
      </w:r>
      <w:r w:rsidR="003D41C5">
        <w:t xml:space="preserve">bulk milk </w:t>
      </w:r>
      <w:r w:rsidR="001301F5">
        <w:t xml:space="preserve">tank </w:t>
      </w:r>
      <w:r w:rsidR="003D41C5">
        <w:t>samples</w:t>
      </w:r>
      <w:r w:rsidR="00634D87">
        <w:t xml:space="preserve"> a year</w:t>
      </w:r>
      <w:r w:rsidR="003D41C5">
        <w:t xml:space="preserve"> for testing</w:t>
      </w:r>
      <w:r w:rsidR="001301F5">
        <w:t xml:space="preserve">. We would also seek to extend the existing provision in legislation that enables a veterinary inspector to take action to obtain </w:t>
      </w:r>
      <w:r w:rsidR="00D87118">
        <w:t xml:space="preserve">a </w:t>
      </w:r>
      <w:r w:rsidR="001301F5">
        <w:t xml:space="preserve">milk tank sample and recover reasonable costs incurred, </w:t>
      </w:r>
      <w:r w:rsidR="003D41C5">
        <w:t xml:space="preserve">in the event of non-compliance. </w:t>
      </w:r>
      <w:r w:rsidR="00634D87">
        <w:t xml:space="preserve">A fourth bulk milk </w:t>
      </w:r>
      <w:r w:rsidR="001301F5">
        <w:t xml:space="preserve">tank </w:t>
      </w:r>
      <w:r w:rsidR="00634D87">
        <w:t>sample would continue to be collected</w:t>
      </w:r>
      <w:r w:rsidR="00F649B7">
        <w:t xml:space="preserve"> from producer</w:t>
      </w:r>
      <w:r w:rsidR="004C7055">
        <w:t xml:space="preserve"> </w:t>
      </w:r>
      <w:r w:rsidR="00F649B7">
        <w:t>retailers</w:t>
      </w:r>
      <w:r w:rsidR="00634D87">
        <w:t xml:space="preserve"> by AHVLA for audit purposes</w:t>
      </w:r>
      <w:r w:rsidR="003B3840">
        <w:t xml:space="preserve"> and</w:t>
      </w:r>
      <w:r w:rsidR="00634D87">
        <w:t xml:space="preserve"> in light of the higher risks to public health associated with raw milk/milk products.</w:t>
      </w:r>
    </w:p>
    <w:p w:rsidR="00A27908" w:rsidRDefault="00A27908" w:rsidP="00A27908">
      <w:pPr>
        <w:pStyle w:val="EBBullet"/>
        <w:keepNext/>
        <w:numPr>
          <w:ilvl w:val="0"/>
          <w:numId w:val="22"/>
        </w:numPr>
      </w:pPr>
      <w:r w:rsidRPr="00280353">
        <w:rPr>
          <w:b/>
        </w:rPr>
        <w:t>Option 2</w:t>
      </w:r>
      <w:r>
        <w:t xml:space="preserve"> results in bulk milk </w:t>
      </w:r>
      <w:r w:rsidR="009C2A0C">
        <w:t xml:space="preserve">tank </w:t>
      </w:r>
      <w:r>
        <w:t xml:space="preserve">testing </w:t>
      </w:r>
      <w:r w:rsidR="004B258B">
        <w:t xml:space="preserve">for </w:t>
      </w:r>
      <w:r w:rsidR="001301F5">
        <w:t>br</w:t>
      </w:r>
      <w:r w:rsidR="004B258B">
        <w:t xml:space="preserve">ucellosis </w:t>
      </w:r>
      <w:r>
        <w:t>stop</w:t>
      </w:r>
      <w:r w:rsidR="004B258B">
        <w:t>ping</w:t>
      </w:r>
      <w:r w:rsidR="009C2A0C">
        <w:t xml:space="preserve">. </w:t>
      </w:r>
      <w:r w:rsidR="003D41C5">
        <w:t>Again, the Brucellosis Order</w:t>
      </w:r>
      <w:r w:rsidR="00474C4C">
        <w:t>s</w:t>
      </w:r>
      <w:r w:rsidR="003D41C5">
        <w:t xml:space="preserve"> would need to be amended to reflect this</w:t>
      </w:r>
      <w:r w:rsidR="004B258B">
        <w:t xml:space="preserve"> change</w:t>
      </w:r>
      <w:r w:rsidR="003D41C5">
        <w:t xml:space="preserve">. </w:t>
      </w:r>
      <w:r w:rsidR="001301F5">
        <w:t xml:space="preserve">This would save industry and government </w:t>
      </w:r>
      <w:r w:rsidR="009C2A0C">
        <w:t xml:space="preserve">the </w:t>
      </w:r>
      <w:r w:rsidR="001301F5">
        <w:t xml:space="preserve">costs currently associated with this testing. It would however result in unacceptable risks associated with the undetected reintroduction, spread and re-establishment of the disease in </w:t>
      </w:r>
      <w:r w:rsidR="009C2A0C">
        <w:t>GB</w:t>
      </w:r>
      <w:r w:rsidR="001301F5">
        <w:t xml:space="preserve"> and has therefore been rejected. </w:t>
      </w:r>
      <w:r w:rsidRPr="009216C8">
        <w:t xml:space="preserve"> </w:t>
      </w:r>
    </w:p>
    <w:p w:rsidR="00A27908" w:rsidRDefault="00634D87" w:rsidP="0082092B">
      <w:pPr>
        <w:pStyle w:val="EBBullet"/>
        <w:keepNext/>
        <w:numPr>
          <w:ilvl w:val="0"/>
          <w:numId w:val="22"/>
        </w:numPr>
        <w:rPr>
          <w:b/>
          <w:sz w:val="24"/>
          <w:szCs w:val="24"/>
        </w:rPr>
      </w:pPr>
      <w:r>
        <w:t xml:space="preserve">We also considered </w:t>
      </w:r>
      <w:r w:rsidR="001301F5">
        <w:t xml:space="preserve">a non-regulatory approach, namely striking voluntary agreements with industry to supply bulk milk tank samples. </w:t>
      </w:r>
      <w:r>
        <w:t xml:space="preserve">This </w:t>
      </w:r>
      <w:r w:rsidR="00CE4C60">
        <w:t xml:space="preserve">option </w:t>
      </w:r>
      <w:r>
        <w:t>was discounted at an early stage in the policy development process</w:t>
      </w:r>
      <w:r w:rsidR="009C2A0C">
        <w:t>,</w:t>
      </w:r>
      <w:r w:rsidR="001301F5">
        <w:t xml:space="preserve"> because we would lack enforcement capability in the event that samples were not forthcoming</w:t>
      </w:r>
      <w:r w:rsidR="00CE4C60">
        <w:t xml:space="preserve">. </w:t>
      </w:r>
      <w:r w:rsidR="001301F5">
        <w:t>H</w:t>
      </w:r>
      <w:r w:rsidR="00CE4C60">
        <w:t xml:space="preserve">aving </w:t>
      </w:r>
      <w:r w:rsidR="004B7981">
        <w:t xml:space="preserve">appropriate </w:t>
      </w:r>
      <w:r w:rsidR="00CE4C60">
        <w:t xml:space="preserve">tools for enforcement </w:t>
      </w:r>
      <w:r w:rsidR="004B7981">
        <w:t>is</w:t>
      </w:r>
      <w:r w:rsidR="00CE4C60">
        <w:t xml:space="preserve"> considered particularly important where there is a higher risk to public health associated with raw milk/milk products.</w:t>
      </w:r>
      <w:r>
        <w:t xml:space="preserve"> </w:t>
      </w:r>
      <w:r w:rsidR="001301F5">
        <w:t xml:space="preserve">Inconsistency between the legislation and the policy for bulk milk tank testing could also be cause for confusion. </w:t>
      </w:r>
      <w:r>
        <w:t xml:space="preserve">    </w:t>
      </w:r>
      <w:r w:rsidR="0082092B">
        <w:t xml:space="preserve">  </w:t>
      </w:r>
    </w:p>
    <w:p w:rsidR="00FE371F" w:rsidRDefault="00FE371F" w:rsidP="00A27908">
      <w:pPr>
        <w:pStyle w:val="EBBullet"/>
        <w:keepNext/>
        <w:numPr>
          <w:ilvl w:val="0"/>
          <w:numId w:val="0"/>
        </w:numPr>
        <w:ind w:left="284" w:hanging="284"/>
        <w:rPr>
          <w:b/>
          <w:sz w:val="24"/>
          <w:szCs w:val="24"/>
        </w:rPr>
      </w:pPr>
    </w:p>
    <w:p w:rsidR="00A27908" w:rsidRDefault="00A27908" w:rsidP="00A27908">
      <w:pPr>
        <w:pStyle w:val="EBBullet"/>
        <w:keepNext/>
        <w:numPr>
          <w:ilvl w:val="0"/>
          <w:numId w:val="0"/>
        </w:numPr>
        <w:ind w:left="284" w:hanging="284"/>
        <w:rPr>
          <w:b/>
          <w:sz w:val="24"/>
          <w:szCs w:val="24"/>
        </w:rPr>
      </w:pPr>
      <w:r w:rsidRPr="00171365">
        <w:rPr>
          <w:b/>
          <w:sz w:val="24"/>
          <w:szCs w:val="24"/>
        </w:rPr>
        <w:t>Costs</w:t>
      </w:r>
    </w:p>
    <w:p w:rsidR="00A27908" w:rsidRPr="006A1C34" w:rsidRDefault="00A27908" w:rsidP="00A27908">
      <w:pPr>
        <w:pStyle w:val="EBBullet"/>
        <w:keepNext/>
        <w:numPr>
          <w:ilvl w:val="0"/>
          <w:numId w:val="0"/>
        </w:numPr>
        <w:rPr>
          <w:u w:val="single"/>
        </w:rPr>
      </w:pPr>
      <w:r w:rsidRPr="006A1C34">
        <w:rPr>
          <w:u w:val="single"/>
        </w:rPr>
        <w:t>Option 1</w:t>
      </w:r>
    </w:p>
    <w:p w:rsidR="00C97A4B" w:rsidRDefault="00C97A4B" w:rsidP="00A27908">
      <w:pPr>
        <w:pStyle w:val="EBBullet"/>
        <w:keepNext/>
        <w:numPr>
          <w:ilvl w:val="0"/>
          <w:numId w:val="22"/>
        </w:numPr>
      </w:pPr>
      <w:r>
        <w:t>T</w:t>
      </w:r>
      <w:r w:rsidR="00F57106">
        <w:t xml:space="preserve">he cost to producer </w:t>
      </w:r>
      <w:r w:rsidR="00A27908">
        <w:t xml:space="preserve">retailers of submitting </w:t>
      </w:r>
      <w:r w:rsidR="009039F6">
        <w:t>three</w:t>
      </w:r>
      <w:r w:rsidR="00A27908">
        <w:t xml:space="preserve"> bulk milk </w:t>
      </w:r>
      <w:r w:rsidR="00BB7076">
        <w:t xml:space="preserve">tank </w:t>
      </w:r>
      <w:r w:rsidR="00A27908">
        <w:t xml:space="preserve">samples is estimated to be </w:t>
      </w:r>
      <w:r w:rsidR="00A27908" w:rsidRPr="005854FF">
        <w:rPr>
          <w:b/>
        </w:rPr>
        <w:t>£</w:t>
      </w:r>
      <w:r w:rsidR="009222BD">
        <w:rPr>
          <w:b/>
        </w:rPr>
        <w:t>1.</w:t>
      </w:r>
      <w:r w:rsidR="008B3FA3">
        <w:rPr>
          <w:b/>
        </w:rPr>
        <w:t>6</w:t>
      </w:r>
      <w:r w:rsidR="00B50F58">
        <w:rPr>
          <w:b/>
        </w:rPr>
        <w:t>k</w:t>
      </w:r>
      <w:r w:rsidR="00B50F58">
        <w:t xml:space="preserve"> </w:t>
      </w:r>
      <w:r w:rsidR="00A27908" w:rsidRPr="009222BD">
        <w:t>per annum</w:t>
      </w:r>
      <w:r w:rsidR="00A27908" w:rsidRPr="005854FF">
        <w:rPr>
          <w:b/>
        </w:rPr>
        <w:t xml:space="preserve"> </w:t>
      </w:r>
      <w:r w:rsidR="00A27908" w:rsidRPr="009222BD">
        <w:t>(</w:t>
      </w:r>
      <w:r w:rsidR="009222BD">
        <w:t xml:space="preserve">around </w:t>
      </w:r>
      <w:r w:rsidR="00A27908" w:rsidRPr="00AF1AF5">
        <w:rPr>
          <w:b/>
        </w:rPr>
        <w:t>£</w:t>
      </w:r>
      <w:r w:rsidR="00B50F58" w:rsidRPr="00AF1AF5">
        <w:rPr>
          <w:b/>
        </w:rPr>
        <w:t>1</w:t>
      </w:r>
      <w:r w:rsidR="009039F6" w:rsidRPr="00AF1AF5">
        <w:rPr>
          <w:b/>
        </w:rPr>
        <w:t>6</w:t>
      </w:r>
      <w:r w:rsidR="00BB7076" w:rsidRPr="00AF1AF5">
        <w:rPr>
          <w:b/>
        </w:rPr>
        <w:t>.50</w:t>
      </w:r>
      <w:r w:rsidR="00B50F58" w:rsidRPr="00AF1AF5">
        <w:rPr>
          <w:b/>
        </w:rPr>
        <w:t xml:space="preserve"> </w:t>
      </w:r>
      <w:r w:rsidR="00A27908" w:rsidRPr="00AF1AF5">
        <w:rPr>
          <w:b/>
        </w:rPr>
        <w:t>per business</w:t>
      </w:r>
      <w:r w:rsidR="005040CF">
        <w:t>,</w:t>
      </w:r>
      <w:r w:rsidR="00783BE4">
        <w:t xml:space="preserve"> per annum</w:t>
      </w:r>
      <w:r w:rsidR="00A27908" w:rsidRPr="009222BD">
        <w:t>)</w:t>
      </w:r>
      <w:r w:rsidR="00A27908">
        <w:t xml:space="preserve">. This is based on the assumption that </w:t>
      </w:r>
      <w:r w:rsidR="003B05B2">
        <w:t xml:space="preserve">all </w:t>
      </w:r>
      <w:r w:rsidR="00A861F3">
        <w:t xml:space="preserve">samples are submitted </w:t>
      </w:r>
      <w:r w:rsidR="009222BD">
        <w:t xml:space="preserve">to AHVLA </w:t>
      </w:r>
      <w:r w:rsidR="00A861F3">
        <w:t xml:space="preserve">directly and </w:t>
      </w:r>
      <w:r w:rsidR="00D87118">
        <w:t xml:space="preserve">that </w:t>
      </w:r>
      <w:r w:rsidR="00A27908">
        <w:t>a Safebox™</w:t>
      </w:r>
      <w:r w:rsidR="00A27908">
        <w:rPr>
          <w:rStyle w:val="FootnoteReference"/>
        </w:rPr>
        <w:footnoteReference w:id="9"/>
      </w:r>
      <w:r w:rsidR="00A27908">
        <w:t xml:space="preserve"> is used to transport the sample</w:t>
      </w:r>
      <w:r w:rsidR="009222BD">
        <w:t xml:space="preserve">. </w:t>
      </w:r>
      <w:r w:rsidR="00A27908" w:rsidRPr="00C97A4B">
        <w:t xml:space="preserve">It </w:t>
      </w:r>
      <w:r w:rsidR="002F0490">
        <w:t xml:space="preserve">does not </w:t>
      </w:r>
      <w:r w:rsidR="00A27908" w:rsidRPr="00C97A4B">
        <w:t xml:space="preserve">include </w:t>
      </w:r>
      <w:r w:rsidRPr="00C97A4B">
        <w:t>the time to collect the sample itself</w:t>
      </w:r>
      <w:r w:rsidR="00D87118">
        <w:t>,</w:t>
      </w:r>
      <w:r>
        <w:t xml:space="preserve"> which is considered to be minimal </w:t>
      </w:r>
      <w:r w:rsidR="0097527A">
        <w:t xml:space="preserve">and </w:t>
      </w:r>
      <w:r>
        <w:t>can be done at the</w:t>
      </w:r>
      <w:r w:rsidR="0097527A">
        <w:t xml:space="preserve"> farmers’ own convenience at any</w:t>
      </w:r>
      <w:r>
        <w:t xml:space="preserve"> time </w:t>
      </w:r>
      <w:r w:rsidR="0097527A">
        <w:t>up to</w:t>
      </w:r>
      <w:r>
        <w:t xml:space="preserve"> emptying </w:t>
      </w:r>
      <w:r w:rsidR="00D87118">
        <w:t xml:space="preserve">of </w:t>
      </w:r>
      <w:r>
        <w:t>the bulk milk tanks</w:t>
      </w:r>
      <w:r w:rsidR="00BB7076">
        <w:rPr>
          <w:rStyle w:val="FootnoteReference"/>
        </w:rPr>
        <w:footnoteReference w:id="10"/>
      </w:r>
      <w:r>
        <w:t xml:space="preserve">. </w:t>
      </w:r>
    </w:p>
    <w:p w:rsidR="00A27908" w:rsidRDefault="00A27908" w:rsidP="00A27908">
      <w:pPr>
        <w:pStyle w:val="EBBullet"/>
        <w:keepNext/>
        <w:numPr>
          <w:ilvl w:val="0"/>
          <w:numId w:val="22"/>
        </w:numPr>
      </w:pPr>
      <w:r>
        <w:t>There may be opport</w:t>
      </w:r>
      <w:r w:rsidR="00A861F3">
        <w:t xml:space="preserve">unities </w:t>
      </w:r>
      <w:r w:rsidR="00F57106">
        <w:t xml:space="preserve">to reduce the costs to producer </w:t>
      </w:r>
      <w:r w:rsidR="00A861F3">
        <w:t>retailers</w:t>
      </w:r>
      <w:r>
        <w:t xml:space="preserve"> by </w:t>
      </w:r>
      <w:r w:rsidR="001B5765">
        <w:t xml:space="preserve">them </w:t>
      </w:r>
      <w:r>
        <w:t xml:space="preserve">submitting samples through the private laboratories that collect milk for </w:t>
      </w:r>
      <w:r w:rsidR="00875263">
        <w:t xml:space="preserve">other purposes (e.g. </w:t>
      </w:r>
      <w:r>
        <w:t>microbiological</w:t>
      </w:r>
      <w:r w:rsidR="00875263">
        <w:t>/quality</w:t>
      </w:r>
      <w:r>
        <w:t xml:space="preserve"> </w:t>
      </w:r>
      <w:r w:rsidR="00BB7076">
        <w:t>testing</w:t>
      </w:r>
      <w:r w:rsidR="00875263">
        <w:t>).</w:t>
      </w:r>
      <w:r>
        <w:t xml:space="preserve"> Some milk purchasers are using private laboratories to submit bulk milk </w:t>
      </w:r>
      <w:r w:rsidR="00BB7076">
        <w:t xml:space="preserve">tank </w:t>
      </w:r>
      <w:r>
        <w:t xml:space="preserve">samples </w:t>
      </w:r>
      <w:r w:rsidR="00CC00F1">
        <w:t xml:space="preserve">to AHVLA </w:t>
      </w:r>
      <w:r>
        <w:t xml:space="preserve">for </w:t>
      </w:r>
      <w:r w:rsidR="00BB7076">
        <w:t>b</w:t>
      </w:r>
      <w:r>
        <w:t>rucellosis testing, at a charge of approximately 90p per sample</w:t>
      </w:r>
      <w:r w:rsidR="00BB7076">
        <w:rPr>
          <w:rStyle w:val="FootnoteReference"/>
        </w:rPr>
        <w:footnoteReference w:id="11"/>
      </w:r>
      <w:r>
        <w:t>. We will be seeking further views on this during consultation.</w:t>
      </w:r>
    </w:p>
    <w:p w:rsidR="001F317F" w:rsidRDefault="00E11645" w:rsidP="00EB583A">
      <w:pPr>
        <w:pStyle w:val="EBBullet"/>
        <w:keepNext/>
        <w:numPr>
          <w:ilvl w:val="0"/>
          <w:numId w:val="22"/>
        </w:numPr>
      </w:pPr>
      <w:r>
        <w:t xml:space="preserve">The cost </w:t>
      </w:r>
      <w:r w:rsidR="00633EDF">
        <w:t xml:space="preserve">to AHVLA </w:t>
      </w:r>
      <w:r>
        <w:t xml:space="preserve">of </w:t>
      </w:r>
      <w:r w:rsidR="0035790C">
        <w:t>posting</w:t>
      </w:r>
      <w:r>
        <w:t xml:space="preserve"> sample pots to producer</w:t>
      </w:r>
      <w:r w:rsidR="00F57106">
        <w:t xml:space="preserve"> </w:t>
      </w:r>
      <w:r>
        <w:t>retailers</w:t>
      </w:r>
      <w:r w:rsidR="00BA2C46">
        <w:t xml:space="preserve"> and issuing a reminder just prior to the sample due date</w:t>
      </w:r>
      <w:r w:rsidR="00327061">
        <w:t xml:space="preserve"> </w:t>
      </w:r>
      <w:r w:rsidR="00BB7076">
        <w:t>i</w:t>
      </w:r>
      <w:r>
        <w:t xml:space="preserve">s estimated at </w:t>
      </w:r>
      <w:r w:rsidRPr="004D50D0">
        <w:rPr>
          <w:b/>
        </w:rPr>
        <w:t>£</w:t>
      </w:r>
      <w:r w:rsidR="008B3FA3">
        <w:rPr>
          <w:b/>
        </w:rPr>
        <w:t>4.1</w:t>
      </w:r>
      <w:r w:rsidRPr="004D50D0">
        <w:rPr>
          <w:b/>
        </w:rPr>
        <w:t>k</w:t>
      </w:r>
      <w:r>
        <w:t xml:space="preserve"> per annum</w:t>
      </w:r>
      <w:r w:rsidR="00BA2C46">
        <w:t xml:space="preserve">. This is based on an estimate of the cost of consumables (i.e. the sample pots, address labels, envelopes and postage) and </w:t>
      </w:r>
      <w:r w:rsidR="009562D0">
        <w:t xml:space="preserve">AHVLA </w:t>
      </w:r>
      <w:r w:rsidR="00BA2C46">
        <w:t>staff time</w:t>
      </w:r>
      <w:r w:rsidR="009562D0">
        <w:t xml:space="preserve">. </w:t>
      </w:r>
      <w:r w:rsidR="00BA2C46">
        <w:t xml:space="preserve"> </w:t>
      </w:r>
      <w:r>
        <w:t xml:space="preserve"> </w:t>
      </w:r>
    </w:p>
    <w:p w:rsidR="00A27908" w:rsidRPr="00F10D9E" w:rsidRDefault="00A27908" w:rsidP="00A27908">
      <w:pPr>
        <w:pStyle w:val="EBBullet"/>
        <w:keepNext/>
        <w:numPr>
          <w:ilvl w:val="0"/>
          <w:numId w:val="0"/>
        </w:numPr>
        <w:rPr>
          <w:u w:val="single"/>
        </w:rPr>
      </w:pPr>
      <w:r w:rsidRPr="00F10D9E">
        <w:rPr>
          <w:u w:val="single"/>
        </w:rPr>
        <w:t>Option 2</w:t>
      </w:r>
    </w:p>
    <w:p w:rsidR="00A27908" w:rsidRDefault="00A27908" w:rsidP="00A27908">
      <w:pPr>
        <w:pStyle w:val="EBBullet"/>
        <w:keepNext/>
        <w:numPr>
          <w:ilvl w:val="0"/>
          <w:numId w:val="22"/>
        </w:numPr>
      </w:pPr>
      <w:r w:rsidRPr="004D1F41">
        <w:t>Costs associated with ceasing bulk milk</w:t>
      </w:r>
      <w:r w:rsidR="004118C7">
        <w:t xml:space="preserve"> tank</w:t>
      </w:r>
      <w:r w:rsidRPr="004D1F41">
        <w:t xml:space="preserve"> testing for </w:t>
      </w:r>
      <w:r w:rsidR="004118C7">
        <w:t>b</w:t>
      </w:r>
      <w:r w:rsidRPr="004D1F41">
        <w:t xml:space="preserve">rucellosis includes </w:t>
      </w:r>
      <w:r w:rsidR="00783BE4">
        <w:t xml:space="preserve">those incurred to </w:t>
      </w:r>
      <w:r w:rsidR="00875263">
        <w:t xml:space="preserve">buy in expertise </w:t>
      </w:r>
      <w:r w:rsidRPr="004D1F41">
        <w:t>and laboratory capacity to deal with an outbreak</w:t>
      </w:r>
      <w:r w:rsidR="004B7981">
        <w:t>,</w:t>
      </w:r>
      <w:r w:rsidR="00875263">
        <w:t xml:space="preserve"> or </w:t>
      </w:r>
      <w:r w:rsidR="007671FA">
        <w:t xml:space="preserve">expertise </w:t>
      </w:r>
      <w:r w:rsidR="00875263">
        <w:t xml:space="preserve">required for other purposes (e.g. </w:t>
      </w:r>
      <w:r w:rsidR="007671FA">
        <w:t xml:space="preserve">to consider the impacts of </w:t>
      </w:r>
      <w:r w:rsidR="00474C4C">
        <w:t xml:space="preserve">a </w:t>
      </w:r>
      <w:r w:rsidR="00304966">
        <w:t>change in b</w:t>
      </w:r>
      <w:r w:rsidR="007671FA">
        <w:t>rucella status in other countries on national surveillance measures required</w:t>
      </w:r>
      <w:r w:rsidR="00875263">
        <w:t>)</w:t>
      </w:r>
      <w:r w:rsidRPr="004D1F41">
        <w:t xml:space="preserve">. </w:t>
      </w:r>
      <w:r w:rsidR="007671FA">
        <w:t>L</w:t>
      </w:r>
      <w:r w:rsidR="004B7981">
        <w:t>oss of</w:t>
      </w:r>
      <w:r w:rsidR="005F58E2">
        <w:t xml:space="preserve"> </w:t>
      </w:r>
      <w:r w:rsidR="004B7981">
        <w:t>e</w:t>
      </w:r>
      <w:r w:rsidR="005F58E2">
        <w:t xml:space="preserve">xpertise and laboratory capacity cannot be looked at in isolation for </w:t>
      </w:r>
      <w:r w:rsidR="004118C7">
        <w:t>b</w:t>
      </w:r>
      <w:r w:rsidR="005F58E2">
        <w:t xml:space="preserve">rucellosis as both </w:t>
      </w:r>
      <w:r w:rsidR="0032212A">
        <w:t xml:space="preserve">form </w:t>
      </w:r>
      <w:r w:rsidR="005F58E2">
        <w:t xml:space="preserve">part of </w:t>
      </w:r>
      <w:r w:rsidR="0032212A">
        <w:t xml:space="preserve">the wider </w:t>
      </w:r>
      <w:r w:rsidR="0097527A">
        <w:t xml:space="preserve">testing </w:t>
      </w:r>
      <w:r w:rsidR="0032212A">
        <w:t>capability maintained by AHVLA for surveillance and for dealing with animal disease outbreaks.</w:t>
      </w:r>
      <w:r w:rsidR="007671FA">
        <w:t xml:space="preserve"> As such, a decision to cease bulk milk </w:t>
      </w:r>
      <w:r w:rsidR="004118C7">
        <w:t xml:space="preserve">tank </w:t>
      </w:r>
      <w:r w:rsidR="007671FA">
        <w:t>testing could have knock on impacts to other work areas.</w:t>
      </w:r>
      <w:r w:rsidR="00712B3B">
        <w:t xml:space="preserve"> </w:t>
      </w:r>
      <w:r w:rsidR="005530CD">
        <w:t xml:space="preserve">The costs of </w:t>
      </w:r>
      <w:r w:rsidR="00FE371F">
        <w:t xml:space="preserve">again </w:t>
      </w:r>
      <w:r w:rsidR="005530CD">
        <w:t xml:space="preserve">having to set up </w:t>
      </w:r>
      <w:r w:rsidR="0097527A">
        <w:t xml:space="preserve">larger scale </w:t>
      </w:r>
      <w:r w:rsidR="005530CD">
        <w:t xml:space="preserve">testing </w:t>
      </w:r>
      <w:r w:rsidR="003B3840">
        <w:t xml:space="preserve">capability </w:t>
      </w:r>
      <w:r w:rsidR="0097527A">
        <w:t>in the face of</w:t>
      </w:r>
      <w:r w:rsidR="005530CD">
        <w:t>, or as a result of, an outbreak</w:t>
      </w:r>
      <w:r w:rsidR="003B3840">
        <w:t>,</w:t>
      </w:r>
      <w:r w:rsidR="005530CD">
        <w:t xml:space="preserve"> would be considerable</w:t>
      </w:r>
      <w:r w:rsidR="009013AC">
        <w:t xml:space="preserve"> (somewhere in the region of £100k</w:t>
      </w:r>
      <w:r w:rsidR="009013AC">
        <w:rPr>
          <w:rStyle w:val="FootnoteReference"/>
        </w:rPr>
        <w:footnoteReference w:id="12"/>
      </w:r>
      <w:r w:rsidR="009013AC">
        <w:t xml:space="preserve"> minimum)</w:t>
      </w:r>
      <w:r w:rsidR="005530CD">
        <w:t xml:space="preserve">. </w:t>
      </w:r>
      <w:r w:rsidR="00875263">
        <w:t>There would also be a time delay in our ability to take action, in that expertise would need to be developed, during which time disease may spread making it even more costly to control.</w:t>
      </w:r>
      <w:r w:rsidR="00633EDF">
        <w:rPr>
          <w:rStyle w:val="FootnoteReference"/>
        </w:rPr>
        <w:footnoteReference w:id="13"/>
      </w:r>
    </w:p>
    <w:p w:rsidR="00F83C2B" w:rsidRDefault="00637997" w:rsidP="00E26E98">
      <w:pPr>
        <w:pStyle w:val="EBBullet"/>
        <w:keepNext/>
        <w:numPr>
          <w:ilvl w:val="0"/>
          <w:numId w:val="22"/>
        </w:numPr>
      </w:pPr>
      <w:r>
        <w:t xml:space="preserve">Ceasing bulk milk </w:t>
      </w:r>
      <w:r w:rsidR="004118C7">
        <w:t xml:space="preserve">tank </w:t>
      </w:r>
      <w:r>
        <w:t xml:space="preserve">testing is not considered to be a </w:t>
      </w:r>
      <w:r w:rsidR="00875263">
        <w:t xml:space="preserve">prudent </w:t>
      </w:r>
      <w:r>
        <w:t>option as it would increase the risk of a disease incursion spreading widely before being detected. It would be necessary to rely on import controls</w:t>
      </w:r>
      <w:r w:rsidR="00917B4D">
        <w:t>, t</w:t>
      </w:r>
      <w:r>
        <w:t xml:space="preserve">he reporting of clinical signs and testing of </w:t>
      </w:r>
      <w:r w:rsidR="000A0A67">
        <w:t xml:space="preserve">material from reported </w:t>
      </w:r>
      <w:r>
        <w:t xml:space="preserve">abortions for detection. </w:t>
      </w:r>
      <w:r w:rsidR="00875263">
        <w:lastRenderedPageBreak/>
        <w:t xml:space="preserve">Despite </w:t>
      </w:r>
      <w:r w:rsidR="00CC00F1">
        <w:t xml:space="preserve">it being </w:t>
      </w:r>
      <w:r w:rsidR="00875263">
        <w:t xml:space="preserve">a legal requirement, </w:t>
      </w:r>
      <w:r w:rsidRPr="00B13B35">
        <w:t xml:space="preserve">only an estimated 5.3% of </w:t>
      </w:r>
      <w:r w:rsidR="00CC00F1">
        <w:t xml:space="preserve">all </w:t>
      </w:r>
      <w:r w:rsidRPr="00B13B35">
        <w:t xml:space="preserve">bovine abortions are reported. </w:t>
      </w:r>
      <w:r>
        <w:t>I</w:t>
      </w:r>
      <w:r w:rsidRPr="00B13B35">
        <w:t>n 2010</w:t>
      </w:r>
      <w:r>
        <w:t>, f</w:t>
      </w:r>
      <w:r w:rsidRPr="00B13B35">
        <w:t xml:space="preserve">ewer than 8% of all holdings with cattle in England and Wales and approximately 11% of holdings in </w:t>
      </w:r>
      <w:r w:rsidR="00FE371F" w:rsidRPr="00B13B35">
        <w:t>Scotland</w:t>
      </w:r>
      <w:r w:rsidRPr="00B13B35">
        <w:t xml:space="preserve"> reported at least one abortion</w:t>
      </w:r>
      <w:r>
        <w:t xml:space="preserve"> and the trend in reporting abortions continues downwards</w:t>
      </w:r>
      <w:r w:rsidR="00FE371F">
        <w:rPr>
          <w:rStyle w:val="FootnoteReference"/>
        </w:rPr>
        <w:footnoteReference w:id="14"/>
      </w:r>
      <w:r>
        <w:t>.</w:t>
      </w:r>
      <w:r w:rsidRPr="00B13B35">
        <w:t xml:space="preserve"> This low and declining level of reporting is recognised as a weakness in the surveillance system for </w:t>
      </w:r>
      <w:r w:rsidR="00F57106">
        <w:t>b</w:t>
      </w:r>
      <w:r w:rsidRPr="00B13B35">
        <w:t>rucell</w:t>
      </w:r>
      <w:r w:rsidR="00CC00F1">
        <w:t>osis</w:t>
      </w:r>
      <w:r>
        <w:t>.</w:t>
      </w:r>
      <w:r w:rsidR="005040CF">
        <w:t xml:space="preserve"> </w:t>
      </w:r>
    </w:p>
    <w:p w:rsidR="00E26E98" w:rsidRDefault="005040CF" w:rsidP="00E26E98">
      <w:pPr>
        <w:pStyle w:val="EBBullet"/>
        <w:keepNext/>
        <w:numPr>
          <w:ilvl w:val="0"/>
          <w:numId w:val="22"/>
        </w:numPr>
      </w:pPr>
      <w:r>
        <w:t>Awareness raising campaigns have been implemented to try and address this.</w:t>
      </w:r>
      <w:r w:rsidR="00637997">
        <w:t xml:space="preserve"> </w:t>
      </w:r>
      <w:r w:rsidR="00E26E98">
        <w:t xml:space="preserve">As such, if </w:t>
      </w:r>
      <w:r>
        <w:t xml:space="preserve">bulk </w:t>
      </w:r>
      <w:r w:rsidR="00E26E98">
        <w:t xml:space="preserve">milk </w:t>
      </w:r>
      <w:r w:rsidR="004118C7">
        <w:t xml:space="preserve">tank </w:t>
      </w:r>
      <w:r w:rsidR="00E26E98">
        <w:t xml:space="preserve">testing ceased, more money would need to be spent on abortion awareness campaigns and the level of enforcement would need to be increased. This would in turn impose increased </w:t>
      </w:r>
      <w:r w:rsidR="00CC00F1">
        <w:t xml:space="preserve">costs </w:t>
      </w:r>
      <w:r w:rsidR="00E26E98">
        <w:t xml:space="preserve">on </w:t>
      </w:r>
      <w:r w:rsidR="00917B4D">
        <w:t>government</w:t>
      </w:r>
      <w:r w:rsidR="00E26E98">
        <w:t xml:space="preserve">, for instance through </w:t>
      </w:r>
      <w:r w:rsidR="00875263">
        <w:t xml:space="preserve">an increase in </w:t>
      </w:r>
      <w:r w:rsidR="00E26E98">
        <w:t xml:space="preserve">the number of </w:t>
      </w:r>
      <w:r w:rsidR="00875263">
        <w:t xml:space="preserve">reported </w:t>
      </w:r>
      <w:r w:rsidR="00E26E98">
        <w:t xml:space="preserve">abortions being </w:t>
      </w:r>
      <w:r w:rsidR="00875263">
        <w:t>visited</w:t>
      </w:r>
      <w:r w:rsidR="00E26E98">
        <w:t xml:space="preserve"> and tested.</w:t>
      </w:r>
      <w:r w:rsidR="00917B4D">
        <w:t xml:space="preserve"> It would also be more onerous and costly to farmers</w:t>
      </w:r>
      <w:r w:rsidR="00F83C2B">
        <w:t>,</w:t>
      </w:r>
      <w:r w:rsidR="00917B4D">
        <w:t xml:space="preserve"> as this involves farm visits and testing. </w:t>
      </w:r>
    </w:p>
    <w:p w:rsidR="00637997" w:rsidRDefault="00693A56" w:rsidP="00637997">
      <w:pPr>
        <w:pStyle w:val="EBBullet"/>
        <w:keepNext/>
        <w:numPr>
          <w:ilvl w:val="0"/>
          <w:numId w:val="22"/>
        </w:numPr>
      </w:pPr>
      <w:r>
        <w:t>C</w:t>
      </w:r>
      <w:r w:rsidR="00637997">
        <w:t xml:space="preserve">linical signs </w:t>
      </w:r>
      <w:r w:rsidR="005040CF">
        <w:t xml:space="preserve">associated with </w:t>
      </w:r>
      <w:r w:rsidR="005040CF" w:rsidRPr="005040CF">
        <w:rPr>
          <w:i/>
        </w:rPr>
        <w:t>Brucella abortus</w:t>
      </w:r>
      <w:r w:rsidR="005040CF">
        <w:t xml:space="preserve"> </w:t>
      </w:r>
      <w:r w:rsidR="00637997">
        <w:t xml:space="preserve">can often take months to appear. </w:t>
      </w:r>
      <w:r w:rsidR="00917B4D">
        <w:t>T</w:t>
      </w:r>
      <w:r w:rsidR="00637997">
        <w:t xml:space="preserve">his may increase the risk of humans becoming infected by consuming </w:t>
      </w:r>
      <w:r w:rsidR="00917B4D">
        <w:t>unpasteurised milk/</w:t>
      </w:r>
      <w:r w:rsidR="00637997">
        <w:t>dairy produce containing the bacteria,</w:t>
      </w:r>
      <w:r w:rsidR="00852012">
        <w:t xml:space="preserve"> or</w:t>
      </w:r>
      <w:r w:rsidR="00637997">
        <w:t xml:space="preserve"> through direct contact with infected material such as the placenta</w:t>
      </w:r>
      <w:r w:rsidR="00852012">
        <w:t xml:space="preserve"> </w:t>
      </w:r>
      <w:r w:rsidR="00637997">
        <w:t xml:space="preserve">or discharges </w:t>
      </w:r>
      <w:r w:rsidR="00852012">
        <w:t>from</w:t>
      </w:r>
      <w:r w:rsidR="00637997">
        <w:t xml:space="preserve"> infected cattle. </w:t>
      </w:r>
      <w:r>
        <w:t xml:space="preserve">This would have an impact on costs of treatment. </w:t>
      </w:r>
      <w:r w:rsidR="00637997">
        <w:t xml:space="preserve">Human illness can last for months and may become chronic; a small proportion of patients may die. In Great Britain, cases of human brucellosis are now rare and </w:t>
      </w:r>
      <w:r w:rsidR="00852012">
        <w:t xml:space="preserve">in </w:t>
      </w:r>
      <w:r w:rsidR="00CC00F1">
        <w:t xml:space="preserve">almost </w:t>
      </w:r>
      <w:r w:rsidR="00852012">
        <w:t>all cases</w:t>
      </w:r>
      <w:r w:rsidR="00B34523">
        <w:t xml:space="preserve"> </w:t>
      </w:r>
      <w:r w:rsidR="00852012">
        <w:t xml:space="preserve">are </w:t>
      </w:r>
      <w:r w:rsidR="00637997">
        <w:t xml:space="preserve">acquired overseas. Infected milk can be made safe by effective heat treatment (pasteurisation). </w:t>
      </w:r>
    </w:p>
    <w:p w:rsidR="00637997" w:rsidRDefault="00637997" w:rsidP="00637997">
      <w:pPr>
        <w:pStyle w:val="EBBullet"/>
        <w:keepNext/>
        <w:numPr>
          <w:ilvl w:val="0"/>
          <w:numId w:val="22"/>
        </w:numPr>
      </w:pPr>
      <w:r>
        <w:t>There are also significant costs associated with the loss of OBF status</w:t>
      </w:r>
      <w:r w:rsidR="00852012">
        <w:t xml:space="preserve">. These include the </w:t>
      </w:r>
      <w:r>
        <w:t>loss of trade</w:t>
      </w:r>
      <w:r w:rsidR="004118C7">
        <w:t>;</w:t>
      </w:r>
      <w:r>
        <w:t xml:space="preserve"> </w:t>
      </w:r>
      <w:r w:rsidR="00852012">
        <w:t xml:space="preserve">the need to </w:t>
      </w:r>
      <w:r>
        <w:t>eradicat</w:t>
      </w:r>
      <w:r w:rsidR="00852012">
        <w:t>e</w:t>
      </w:r>
      <w:r>
        <w:t xml:space="preserve"> disease</w:t>
      </w:r>
      <w:r w:rsidR="00852012">
        <w:t xml:space="preserve"> for both publ</w:t>
      </w:r>
      <w:r w:rsidR="00917B4D">
        <w:t>ic and animal health protection</w:t>
      </w:r>
      <w:r w:rsidR="004118C7">
        <w:t>;</w:t>
      </w:r>
      <w:r>
        <w:t xml:space="preserve"> and re-negotiation of health certificates with veterinary authorities in third counties</w:t>
      </w:r>
      <w:r w:rsidR="00852012">
        <w:t xml:space="preserve"> during the period when OBF status is lost</w:t>
      </w:r>
      <w:r>
        <w:t xml:space="preserve">. </w:t>
      </w:r>
      <w:r w:rsidR="004B7981">
        <w:t xml:space="preserve">There would also be costs </w:t>
      </w:r>
      <w:r w:rsidR="00F50A11">
        <w:t xml:space="preserve">to businesses </w:t>
      </w:r>
      <w:r w:rsidR="004B7981">
        <w:t xml:space="preserve">associated with </w:t>
      </w:r>
      <w:r w:rsidR="00852012">
        <w:t>production losses in the national herd</w:t>
      </w:r>
      <w:r w:rsidR="00F50A11">
        <w:t>, time to purchase and rear new stock</w:t>
      </w:r>
      <w:r w:rsidR="00F83C2B">
        <w:t>,</w:t>
      </w:r>
      <w:r w:rsidR="00F50A11">
        <w:t xml:space="preserve"> and loss of genetic merit in </w:t>
      </w:r>
      <w:r w:rsidR="00B34523">
        <w:t xml:space="preserve">a </w:t>
      </w:r>
      <w:r w:rsidR="00F50A11">
        <w:t>herd in the event that cattle were slaughter</w:t>
      </w:r>
      <w:r w:rsidR="00917B4D">
        <w:t>ed</w:t>
      </w:r>
      <w:r w:rsidR="00F50A11">
        <w:t xml:space="preserve"> for disease control purposes</w:t>
      </w:r>
      <w:r w:rsidR="00474C4C">
        <w:t>.</w:t>
      </w:r>
      <w:r w:rsidR="00852012">
        <w:t xml:space="preserve"> </w:t>
      </w:r>
      <w:r>
        <w:t xml:space="preserve">Dependent on the scale of the outbreak costs could be significant (as detailed in paragraph </w:t>
      </w:r>
      <w:r w:rsidR="004B7981">
        <w:t>9</w:t>
      </w:r>
      <w:r>
        <w:t xml:space="preserve">, dealing with a limited outbreak in four cattle herds cost </w:t>
      </w:r>
      <w:r w:rsidR="00687E32">
        <w:t xml:space="preserve">government </w:t>
      </w:r>
      <w:r>
        <w:t>approx. £500k in 2003/4). The consequences of a disease outbreak could potentially remain with communities for many months</w:t>
      </w:r>
      <w:r w:rsidR="00852012">
        <w:t xml:space="preserve"> or </w:t>
      </w:r>
      <w:r>
        <w:t>years.</w:t>
      </w:r>
      <w:r w:rsidRPr="00637997">
        <w:t xml:space="preserve"> </w:t>
      </w:r>
    </w:p>
    <w:p w:rsidR="009254DE" w:rsidRDefault="00404828" w:rsidP="00637997">
      <w:pPr>
        <w:pStyle w:val="EBBullet"/>
        <w:keepNext/>
        <w:numPr>
          <w:ilvl w:val="0"/>
          <w:numId w:val="22"/>
        </w:numPr>
      </w:pPr>
      <w:r>
        <w:t xml:space="preserve">We anticipate </w:t>
      </w:r>
      <w:r w:rsidR="00894873">
        <w:t xml:space="preserve">the costs for ceasing milk testing for </w:t>
      </w:r>
      <w:r w:rsidR="004118C7">
        <w:t>b</w:t>
      </w:r>
      <w:r w:rsidR="00894873">
        <w:t xml:space="preserve">rucellosis would also apply in </w:t>
      </w:r>
      <w:r w:rsidR="003B3840">
        <w:t xml:space="preserve">the consequential </w:t>
      </w:r>
      <w:r w:rsidR="00894873">
        <w:t>ceasing</w:t>
      </w:r>
      <w:r w:rsidR="003B3840">
        <w:t xml:space="preserve"> of</w:t>
      </w:r>
      <w:r w:rsidR="00894873">
        <w:t xml:space="preserve"> </w:t>
      </w:r>
      <w:r w:rsidR="009254DE">
        <w:t>milk testing for Enzootic Bovine Leukosis (EBL)</w:t>
      </w:r>
      <w:r>
        <w:t xml:space="preserve">. </w:t>
      </w:r>
      <w:r w:rsidR="00894873">
        <w:t xml:space="preserve">However, the scale of costs could be greater. This is because the clinical signs of EBL (e.g. tumours) are likely to take longer to detect than those for </w:t>
      </w:r>
      <w:r w:rsidR="00F83C2B">
        <w:t>b</w:t>
      </w:r>
      <w:r w:rsidR="00894873">
        <w:t xml:space="preserve">rucellosis. This increased time for detection of disease could result in more widespread disease in the event of disease incursion. </w:t>
      </w:r>
      <w:r>
        <w:t xml:space="preserve"> </w:t>
      </w:r>
      <w:r w:rsidR="009254DE">
        <w:t xml:space="preserve"> </w:t>
      </w:r>
    </w:p>
    <w:p w:rsidR="00A27908" w:rsidRDefault="00A27908" w:rsidP="00637997">
      <w:pPr>
        <w:pStyle w:val="EBBullet"/>
        <w:keepNext/>
        <w:numPr>
          <w:ilvl w:val="0"/>
          <w:numId w:val="0"/>
        </w:numPr>
        <w:ind w:left="360"/>
      </w:pPr>
    </w:p>
    <w:p w:rsidR="00A27908" w:rsidRDefault="00A27908" w:rsidP="00A27908">
      <w:pPr>
        <w:pStyle w:val="EBBullet"/>
        <w:keepNext/>
        <w:numPr>
          <w:ilvl w:val="0"/>
          <w:numId w:val="0"/>
        </w:numPr>
        <w:ind w:left="284" w:hanging="284"/>
        <w:rPr>
          <w:b/>
          <w:sz w:val="24"/>
          <w:szCs w:val="24"/>
        </w:rPr>
      </w:pPr>
      <w:r w:rsidRPr="00603B96">
        <w:rPr>
          <w:b/>
          <w:sz w:val="24"/>
          <w:szCs w:val="24"/>
        </w:rPr>
        <w:t>Benefits</w:t>
      </w:r>
    </w:p>
    <w:p w:rsidR="00A27908" w:rsidRPr="00FA74EA" w:rsidRDefault="00A27908" w:rsidP="00A27908">
      <w:pPr>
        <w:pStyle w:val="EBBullet"/>
        <w:keepNext/>
        <w:numPr>
          <w:ilvl w:val="0"/>
          <w:numId w:val="0"/>
        </w:numPr>
        <w:ind w:left="284" w:hanging="284"/>
        <w:rPr>
          <w:u w:val="single"/>
        </w:rPr>
      </w:pPr>
      <w:r w:rsidRPr="00FA74EA">
        <w:rPr>
          <w:u w:val="single"/>
        </w:rPr>
        <w:t>Option</w:t>
      </w:r>
      <w:r>
        <w:rPr>
          <w:u w:val="single"/>
        </w:rPr>
        <w:t>s</w:t>
      </w:r>
      <w:r w:rsidRPr="00FA74EA">
        <w:rPr>
          <w:u w:val="single"/>
        </w:rPr>
        <w:t xml:space="preserve"> 1</w:t>
      </w:r>
    </w:p>
    <w:p w:rsidR="00D76068" w:rsidRDefault="00A27908" w:rsidP="00A27908">
      <w:pPr>
        <w:pStyle w:val="EBBullet"/>
        <w:keepNext/>
        <w:numPr>
          <w:ilvl w:val="0"/>
          <w:numId w:val="22"/>
        </w:numPr>
      </w:pPr>
      <w:r>
        <w:t>Reducing the testing frequency</w:t>
      </w:r>
      <w:r w:rsidR="0096516B">
        <w:t xml:space="preserve"> for the whole industry</w:t>
      </w:r>
      <w:r>
        <w:t xml:space="preserve"> and transferring responsibility for sampling to producer</w:t>
      </w:r>
      <w:r w:rsidR="00F57106">
        <w:t xml:space="preserve"> </w:t>
      </w:r>
      <w:r>
        <w:t xml:space="preserve">retailers lessens the </w:t>
      </w:r>
      <w:r w:rsidR="00B34523">
        <w:t xml:space="preserve">overall </w:t>
      </w:r>
      <w:r>
        <w:t xml:space="preserve">burden on industry, </w:t>
      </w:r>
      <w:r w:rsidR="00FF2D4A">
        <w:t>g</w:t>
      </w:r>
      <w:r>
        <w:t>overnment and ultimately the</w:t>
      </w:r>
      <w:r w:rsidR="00D76068">
        <w:t xml:space="preserve"> taxpayer. It is estimated that </w:t>
      </w:r>
      <w:r w:rsidRPr="006E60D9">
        <w:t>cost savings</w:t>
      </w:r>
      <w:r>
        <w:t xml:space="preserve"> for government are in the region of approximately </w:t>
      </w:r>
      <w:r w:rsidRPr="0081331E">
        <w:rPr>
          <w:b/>
        </w:rPr>
        <w:t>£</w:t>
      </w:r>
      <w:r w:rsidR="00D76068">
        <w:rPr>
          <w:b/>
        </w:rPr>
        <w:t>445k</w:t>
      </w:r>
      <w:r w:rsidR="00327061" w:rsidRPr="0081331E">
        <w:rPr>
          <w:b/>
        </w:rPr>
        <w:t xml:space="preserve"> </w:t>
      </w:r>
      <w:r w:rsidRPr="00EA2588">
        <w:t>per annum</w:t>
      </w:r>
      <w:r>
        <w:t>.</w:t>
      </w:r>
      <w:r w:rsidR="00327061">
        <w:t xml:space="preserve"> This saving is generated by reducing the number of tests and visits by AHVLA staff to collect samples from producer</w:t>
      </w:r>
      <w:r w:rsidR="00F57106">
        <w:t xml:space="preserve"> </w:t>
      </w:r>
      <w:r w:rsidR="00327061">
        <w:t>retailers.</w:t>
      </w:r>
      <w:r>
        <w:t xml:space="preserve"> Industry cost savings are estimated at approximately </w:t>
      </w:r>
      <w:r w:rsidRPr="0081331E">
        <w:rPr>
          <w:b/>
        </w:rPr>
        <w:t>£</w:t>
      </w:r>
      <w:r w:rsidR="00CF44C9">
        <w:rPr>
          <w:b/>
        </w:rPr>
        <w:t>88</w:t>
      </w:r>
      <w:r w:rsidR="00B50F58">
        <w:rPr>
          <w:b/>
        </w:rPr>
        <w:t>k</w:t>
      </w:r>
      <w:r w:rsidR="00B50F58">
        <w:t xml:space="preserve"> </w:t>
      </w:r>
      <w:r>
        <w:t>per annum.</w:t>
      </w:r>
      <w:r w:rsidR="00327061">
        <w:t xml:space="preserve"> These savings are </w:t>
      </w:r>
      <w:r w:rsidR="00D76068">
        <w:t xml:space="preserve">principally </w:t>
      </w:r>
      <w:r w:rsidR="00327061">
        <w:t>to larger producers</w:t>
      </w:r>
      <w:r w:rsidR="00AB59B1">
        <w:t>,</w:t>
      </w:r>
      <w:r w:rsidR="00327061">
        <w:t xml:space="preserve"> as a result of having to supply bulk milk </w:t>
      </w:r>
      <w:r w:rsidR="00CF44C9">
        <w:t xml:space="preserve">tank </w:t>
      </w:r>
      <w:r w:rsidR="00327061">
        <w:t>samples less often</w:t>
      </w:r>
      <w:r w:rsidR="002B79B6">
        <w:rPr>
          <w:rStyle w:val="FootnoteReference"/>
        </w:rPr>
        <w:footnoteReference w:id="15"/>
      </w:r>
      <w:r w:rsidR="00F57106">
        <w:t xml:space="preserve">. Producer </w:t>
      </w:r>
      <w:r w:rsidR="00327061">
        <w:t>retailers save on staff time required to arrange and accompany AHVLA visits</w:t>
      </w:r>
      <w:r w:rsidR="002B79B6">
        <w:rPr>
          <w:rStyle w:val="FootnoteReference"/>
        </w:rPr>
        <w:footnoteReference w:id="16"/>
      </w:r>
      <w:r w:rsidR="00327061">
        <w:t>.</w:t>
      </w:r>
      <w:r>
        <w:t xml:space="preserve"> </w:t>
      </w:r>
    </w:p>
    <w:p w:rsidR="00A27908" w:rsidRDefault="00A27908" w:rsidP="00A27908">
      <w:pPr>
        <w:pStyle w:val="EBBullet"/>
        <w:keepNext/>
        <w:numPr>
          <w:ilvl w:val="0"/>
          <w:numId w:val="22"/>
        </w:numPr>
      </w:pPr>
      <w:r>
        <w:t>In turn, this improves the ove</w:t>
      </w:r>
      <w:r w:rsidR="00CF44C9">
        <w:t>rall cost-effectiveness of the b</w:t>
      </w:r>
      <w:r>
        <w:t>rucellosis surveillance programme</w:t>
      </w:r>
      <w:r w:rsidR="003B3840">
        <w:t xml:space="preserve"> whilst remaining balanced against risks</w:t>
      </w:r>
      <w:r>
        <w:t xml:space="preserve">. Whilst the reduction in frequency will increase the possible time to detect a disease incursion, it will </w:t>
      </w:r>
      <w:r w:rsidR="000A0A67">
        <w:t xml:space="preserve">generally </w:t>
      </w:r>
      <w:r>
        <w:t>still be within a timeframe to enable controls to be put in place sufficiently promptly to prevent wide scale spread of infection.</w:t>
      </w:r>
    </w:p>
    <w:p w:rsidR="00A27908" w:rsidRDefault="00A27908" w:rsidP="00A27908">
      <w:pPr>
        <w:pStyle w:val="EBBullet"/>
        <w:keepNext/>
        <w:numPr>
          <w:ilvl w:val="0"/>
          <w:numId w:val="22"/>
        </w:numPr>
      </w:pPr>
      <w:r>
        <w:lastRenderedPageBreak/>
        <w:t xml:space="preserve">The Food Standards Agency (FSA) </w:t>
      </w:r>
      <w:r w:rsidR="00CF44C9">
        <w:t>previously confirmed they were</w:t>
      </w:r>
      <w:r>
        <w:t xml:space="preserve"> content that the reduction in frequency of testing does not constitute a significantly increased risk to human health. This is because there is a risk ba</w:t>
      </w:r>
      <w:r w:rsidR="00CF44C9">
        <w:t>sed surveillance programme for b</w:t>
      </w:r>
      <w:r>
        <w:t>rucellosis in place and the organism is destroyed through pasteurisation of milk. The FSA asked Defra to ensure that producer</w:t>
      </w:r>
      <w:r w:rsidR="00F57106">
        <w:t xml:space="preserve"> </w:t>
      </w:r>
      <w:r>
        <w:t xml:space="preserve">retailers selling unpasteurised milk or raw milk products </w:t>
      </w:r>
      <w:r w:rsidR="00623952">
        <w:t xml:space="preserve">directly </w:t>
      </w:r>
      <w:r>
        <w:t>to the final consumer are prioritised for investigations of any abortions that occur</w:t>
      </w:r>
      <w:r w:rsidR="00852012">
        <w:t xml:space="preserve"> and this prioritisation has already been implemented</w:t>
      </w:r>
      <w:r>
        <w:t xml:space="preserve">. This surveillance provides extra reassurance that there is a greater level of scrutiny commensurate to the risk to public health associated with the sale of unpasteurised milk or raw milk products. </w:t>
      </w:r>
    </w:p>
    <w:p w:rsidR="00A27908" w:rsidRDefault="00A27908" w:rsidP="00A27908">
      <w:pPr>
        <w:pStyle w:val="EBBullet"/>
        <w:keepNext/>
        <w:numPr>
          <w:ilvl w:val="0"/>
          <w:numId w:val="22"/>
        </w:numPr>
      </w:pPr>
      <w:r>
        <w:t xml:space="preserve">There are potentially </w:t>
      </w:r>
      <w:r w:rsidR="00691BAF">
        <w:t xml:space="preserve">some </w:t>
      </w:r>
      <w:r w:rsidR="00F57106">
        <w:t xml:space="preserve">benefits to producer </w:t>
      </w:r>
      <w:r>
        <w:t xml:space="preserve">retailers </w:t>
      </w:r>
      <w:r w:rsidR="00CF44C9">
        <w:t>in</w:t>
      </w:r>
      <w:r>
        <w:t xml:space="preserve"> having responsibility for submitting bulk milk</w:t>
      </w:r>
      <w:r w:rsidR="004118C7">
        <w:t xml:space="preserve"> tank</w:t>
      </w:r>
      <w:r>
        <w:t xml:space="preserve"> samples. </w:t>
      </w:r>
      <w:r w:rsidR="0032212A">
        <w:t xml:space="preserve"> Namely, the removal of </w:t>
      </w:r>
      <w:r w:rsidR="003B3840">
        <w:t xml:space="preserve">small </w:t>
      </w:r>
      <w:r w:rsidR="0032212A">
        <w:t>biosecurity</w:t>
      </w:r>
      <w:r>
        <w:t xml:space="preserve"> risk</w:t>
      </w:r>
      <w:r w:rsidR="00CF44C9">
        <w:t>s</w:t>
      </w:r>
      <w:r>
        <w:t xml:space="preserve"> associated with farm visits</w:t>
      </w:r>
      <w:r w:rsidR="00623952">
        <w:t xml:space="preserve"> </w:t>
      </w:r>
      <w:r w:rsidR="004118C7">
        <w:t xml:space="preserve">to collect samples </w:t>
      </w:r>
      <w:r>
        <w:t xml:space="preserve">and </w:t>
      </w:r>
      <w:r w:rsidR="00691BAF">
        <w:t xml:space="preserve">slightly </w:t>
      </w:r>
      <w:r>
        <w:t>more flexibility over when milk is sampled (i.e. not having to wait for an AHVLA visit before the bulk milk tank can be emptied).</w:t>
      </w:r>
      <w:r w:rsidR="009D6FF6">
        <w:t xml:space="preserve"> This will reduce the disruption to the daily routine associated with having to take time out to accompany a sampling visit</w:t>
      </w:r>
      <w:r w:rsidR="00774E68">
        <w:t xml:space="preserve"> and ultimately should be of </w:t>
      </w:r>
      <w:r w:rsidR="00691BAF">
        <w:t xml:space="preserve">some </w:t>
      </w:r>
      <w:r w:rsidR="00774E68">
        <w:t>benefit to business operations</w:t>
      </w:r>
      <w:r w:rsidR="009D6FF6">
        <w:t>.</w:t>
      </w:r>
      <w:r>
        <w:t xml:space="preserve"> </w:t>
      </w:r>
      <w:r w:rsidR="00B34523">
        <w:t xml:space="preserve">However, some businesses may perceive this as extra red tape and a risk of enforcement action if they fail to comply. </w:t>
      </w:r>
    </w:p>
    <w:p w:rsidR="00A27908" w:rsidRPr="00D53686" w:rsidRDefault="00A27908" w:rsidP="00A27908">
      <w:pPr>
        <w:pStyle w:val="EBBullet"/>
        <w:keepNext/>
        <w:numPr>
          <w:ilvl w:val="0"/>
          <w:numId w:val="0"/>
        </w:numPr>
        <w:ind w:left="284" w:hanging="284"/>
        <w:rPr>
          <w:u w:val="single"/>
        </w:rPr>
      </w:pPr>
      <w:r w:rsidRPr="00D53686">
        <w:rPr>
          <w:u w:val="single"/>
        </w:rPr>
        <w:t>Option 2</w:t>
      </w:r>
    </w:p>
    <w:p w:rsidR="00A27908" w:rsidRPr="006E60D9" w:rsidRDefault="00A27908" w:rsidP="00A27908">
      <w:pPr>
        <w:pStyle w:val="EBBullet"/>
        <w:keepNext/>
        <w:numPr>
          <w:ilvl w:val="0"/>
          <w:numId w:val="22"/>
        </w:numPr>
        <w:rPr>
          <w:sz w:val="24"/>
          <w:szCs w:val="24"/>
          <w:u w:val="single"/>
        </w:rPr>
      </w:pPr>
      <w:r>
        <w:t>The benefit of stopping bulk milk</w:t>
      </w:r>
      <w:r w:rsidR="004118C7">
        <w:t xml:space="preserve"> tank</w:t>
      </w:r>
      <w:r>
        <w:t xml:space="preserve"> testing </w:t>
      </w:r>
      <w:r w:rsidR="00327061">
        <w:t xml:space="preserve">altogether </w:t>
      </w:r>
      <w:r>
        <w:t xml:space="preserve">is </w:t>
      </w:r>
      <w:r w:rsidR="00852012">
        <w:t xml:space="preserve">the </w:t>
      </w:r>
      <w:r>
        <w:t xml:space="preserve">significant </w:t>
      </w:r>
      <w:r w:rsidRPr="006E60D9">
        <w:t>cost savings</w:t>
      </w:r>
      <w:r w:rsidR="006E60D9">
        <w:t xml:space="preserve">, estimated to be in the region </w:t>
      </w:r>
      <w:r w:rsidR="00570F04">
        <w:t xml:space="preserve">of </w:t>
      </w:r>
      <w:r w:rsidR="00774E68" w:rsidRPr="006E60D9">
        <w:rPr>
          <w:b/>
        </w:rPr>
        <w:t>£</w:t>
      </w:r>
      <w:r w:rsidR="00691BAF">
        <w:rPr>
          <w:b/>
        </w:rPr>
        <w:t>7</w:t>
      </w:r>
      <w:r w:rsidR="00CF44C9">
        <w:rPr>
          <w:b/>
        </w:rPr>
        <w:t>5</w:t>
      </w:r>
      <w:r w:rsidR="00633EDF">
        <w:rPr>
          <w:b/>
        </w:rPr>
        <w:t>0</w:t>
      </w:r>
      <w:r w:rsidR="006E60D9" w:rsidRPr="006E60D9">
        <w:rPr>
          <w:b/>
        </w:rPr>
        <w:t>k</w:t>
      </w:r>
      <w:r w:rsidR="00411F19">
        <w:rPr>
          <w:b/>
        </w:rPr>
        <w:t xml:space="preserve"> p.a</w:t>
      </w:r>
      <w:r>
        <w:t xml:space="preserve">. </w:t>
      </w:r>
      <w:r w:rsidR="00327061">
        <w:t>This is equivalent to the baseline costs</w:t>
      </w:r>
      <w:r w:rsidR="00665B98">
        <w:t>. However, we have a</w:t>
      </w:r>
      <w:r w:rsidR="00327061">
        <w:t>ssume</w:t>
      </w:r>
      <w:r w:rsidR="00665B98">
        <w:t>d</w:t>
      </w:r>
      <w:r w:rsidR="00327061">
        <w:t xml:space="preserve"> that</w:t>
      </w:r>
      <w:r w:rsidR="00665B98">
        <w:t xml:space="preserve"> milk</w:t>
      </w:r>
      <w:r w:rsidR="00327061">
        <w:t xml:space="preserve"> testing for Enzootic Bovine Leukosis </w:t>
      </w:r>
      <w:r w:rsidR="00665B98">
        <w:t>continues</w:t>
      </w:r>
      <w:r w:rsidR="00623952">
        <w:t>.</w:t>
      </w:r>
    </w:p>
    <w:p w:rsidR="00AB59B1" w:rsidRDefault="00AB59B1" w:rsidP="00A27908">
      <w:pPr>
        <w:pStyle w:val="EBBullet"/>
        <w:keepNext/>
        <w:numPr>
          <w:ilvl w:val="0"/>
          <w:numId w:val="0"/>
        </w:numPr>
        <w:ind w:left="284" w:hanging="284"/>
        <w:rPr>
          <w:b/>
          <w:sz w:val="24"/>
          <w:szCs w:val="24"/>
        </w:rPr>
      </w:pPr>
    </w:p>
    <w:p w:rsidR="00633EDF" w:rsidRDefault="00633EDF">
      <w:pPr>
        <w:rPr>
          <w:rFonts w:cs="Arial"/>
          <w:b/>
          <w:bCs/>
          <w:color w:val="000000"/>
          <w:lang w:eastAsia="en-GB"/>
        </w:rPr>
      </w:pPr>
      <w:r>
        <w:rPr>
          <w:b/>
        </w:rPr>
        <w:br w:type="page"/>
      </w:r>
    </w:p>
    <w:p w:rsidR="00560DCA" w:rsidRDefault="008F4841" w:rsidP="00A27908">
      <w:pPr>
        <w:pStyle w:val="EBBullet"/>
        <w:keepNext/>
        <w:numPr>
          <w:ilvl w:val="0"/>
          <w:numId w:val="0"/>
        </w:numPr>
        <w:ind w:left="284" w:hanging="284"/>
        <w:rPr>
          <w:b/>
          <w:sz w:val="24"/>
          <w:szCs w:val="24"/>
        </w:rPr>
      </w:pPr>
      <w:r>
        <w:rPr>
          <w:b/>
          <w:sz w:val="24"/>
          <w:szCs w:val="24"/>
        </w:rPr>
        <w:lastRenderedPageBreak/>
        <w:t xml:space="preserve">Summary of </w:t>
      </w:r>
      <w:r w:rsidR="00CF44C9">
        <w:rPr>
          <w:b/>
          <w:sz w:val="24"/>
          <w:szCs w:val="24"/>
        </w:rPr>
        <w:t>M</w:t>
      </w:r>
      <w:r w:rsidR="00192519">
        <w:rPr>
          <w:b/>
          <w:sz w:val="24"/>
          <w:szCs w:val="24"/>
        </w:rPr>
        <w:t xml:space="preserve">onetised </w:t>
      </w:r>
      <w:r>
        <w:rPr>
          <w:b/>
          <w:sz w:val="24"/>
          <w:szCs w:val="24"/>
        </w:rPr>
        <w:t>Costs and Benefits</w:t>
      </w:r>
    </w:p>
    <w:p w:rsidR="00560DCA" w:rsidRPr="00560DCA" w:rsidRDefault="00560DCA" w:rsidP="00A27908">
      <w:pPr>
        <w:pStyle w:val="EBBullet"/>
        <w:keepNext/>
        <w:numPr>
          <w:ilvl w:val="0"/>
          <w:numId w:val="0"/>
        </w:numPr>
        <w:ind w:left="284" w:hanging="284"/>
        <w:rPr>
          <w:u w:val="single"/>
        </w:rPr>
      </w:pPr>
      <w:r>
        <w:rPr>
          <w:u w:val="single"/>
        </w:rPr>
        <w:t xml:space="preserve">Table 1: Costs of Option 1 </w:t>
      </w:r>
      <w:r w:rsidRPr="00560DCA">
        <w:rPr>
          <w:u w:val="single"/>
        </w:rPr>
        <w:t>(</w:t>
      </w:r>
      <w:r w:rsidRPr="005761CA">
        <w:rPr>
          <w:b/>
          <w:u w:val="single"/>
        </w:rPr>
        <w:t>additional</w:t>
      </w:r>
      <w:r>
        <w:rPr>
          <w:u w:val="single"/>
        </w:rPr>
        <w:t xml:space="preserve"> to</w:t>
      </w:r>
      <w:r w:rsidRPr="00560DCA">
        <w:rPr>
          <w:u w:val="single"/>
        </w:rPr>
        <w:t xml:space="preserve"> </w:t>
      </w:r>
      <w:r>
        <w:rPr>
          <w:u w:val="single"/>
        </w:rPr>
        <w:t>the baseline</w:t>
      </w:r>
      <w:r w:rsidRPr="00560DCA">
        <w:rPr>
          <w:u w:val="single"/>
        </w:rPr>
        <w:t>) by item</w:t>
      </w:r>
      <w:r>
        <w:rPr>
          <w:u w:val="single"/>
        </w:rPr>
        <w:t xml:space="preserve"> (constant prices</w:t>
      </w:r>
      <w:r>
        <w:rPr>
          <w:rStyle w:val="FootnoteReference"/>
          <w:u w:val="single"/>
        </w:rPr>
        <w:footnoteReference w:id="17"/>
      </w:r>
      <w:r>
        <w:rPr>
          <w:u w:val="single"/>
        </w:rPr>
        <w:t>, £)</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680"/>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Industry</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Direct submission of samples (p-rs)</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1200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1601</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15605</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Government</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3050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4066</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39646</w:t>
            </w:r>
          </w:p>
        </w:tc>
      </w:tr>
      <w:tr w:rsidR="00413202" w:rsidRPr="00413202" w:rsidTr="0041320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Total</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4250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5667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55251</w:t>
            </w:r>
          </w:p>
        </w:tc>
      </w:tr>
    </w:tbl>
    <w:p w:rsidR="00633EDF" w:rsidRDefault="00633EDF" w:rsidP="00560DCA">
      <w:pPr>
        <w:pStyle w:val="EBBullet"/>
        <w:keepNext/>
        <w:numPr>
          <w:ilvl w:val="0"/>
          <w:numId w:val="0"/>
        </w:numPr>
        <w:ind w:left="284" w:hanging="284"/>
        <w:rPr>
          <w:u w:val="single"/>
        </w:rPr>
      </w:pPr>
    </w:p>
    <w:p w:rsidR="00560DCA" w:rsidRPr="00560DCA" w:rsidRDefault="00E343F0" w:rsidP="00560DCA">
      <w:pPr>
        <w:pStyle w:val="EBBullet"/>
        <w:keepNext/>
        <w:numPr>
          <w:ilvl w:val="0"/>
          <w:numId w:val="0"/>
        </w:numPr>
        <w:ind w:left="284" w:hanging="284"/>
        <w:rPr>
          <w:u w:val="single"/>
        </w:rPr>
      </w:pPr>
      <w:r w:rsidRPr="00E343F0">
        <w:rPr>
          <w:u w:val="single"/>
        </w:rPr>
        <w:t>Table 2</w:t>
      </w:r>
      <w:r w:rsidR="00560DCA">
        <w:rPr>
          <w:u w:val="single"/>
        </w:rPr>
        <w:t xml:space="preserve">: Benefits of </w:t>
      </w:r>
      <w:r w:rsidR="00560DCA" w:rsidRPr="00560DCA">
        <w:rPr>
          <w:u w:val="single"/>
        </w:rPr>
        <w:t>Option 1 (</w:t>
      </w:r>
      <w:r w:rsidR="00560DCA" w:rsidRPr="005761CA">
        <w:rPr>
          <w:b/>
          <w:u w:val="single"/>
        </w:rPr>
        <w:t>costs saved</w:t>
      </w:r>
      <w:r w:rsidR="00560DCA" w:rsidRPr="00560DCA">
        <w:rPr>
          <w:u w:val="single"/>
        </w:rPr>
        <w:t xml:space="preserve"> compared to </w:t>
      </w:r>
      <w:r w:rsidR="00446228">
        <w:rPr>
          <w:u w:val="single"/>
        </w:rPr>
        <w:t>baseline</w:t>
      </w:r>
      <w:r w:rsidR="00560DCA" w:rsidRPr="00560DCA">
        <w:rPr>
          <w:u w:val="single"/>
        </w:rPr>
        <w:t>) by item</w:t>
      </w:r>
      <w:r w:rsidR="00560DCA">
        <w:rPr>
          <w:u w:val="single"/>
        </w:rPr>
        <w:t xml:space="preserve"> (constant prices, £)</w:t>
      </w:r>
      <w:r w:rsidR="00A21C39">
        <w:rPr>
          <w:u w:val="single"/>
        </w:rPr>
        <w:t>*</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Industry</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63806</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85074</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829476</w:t>
            </w:r>
          </w:p>
        </w:tc>
      </w:tr>
      <w:tr w:rsidR="00413202" w:rsidRPr="00413202" w:rsidTr="00413202">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Staff time accompanying AHVLA visits (p-rs)</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3769</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5026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48999</w:t>
            </w:r>
          </w:p>
        </w:tc>
      </w:tr>
      <w:tr w:rsidR="00413202" w:rsidRPr="00413202" w:rsidTr="00413202">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Industry Total:</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67575</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90100</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878475</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Government</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nil"/>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285894</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381192</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3716625</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AHVLA visits to producer retailers</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47743</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63657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620658</w:t>
            </w:r>
          </w:p>
        </w:tc>
      </w:tr>
      <w:tr w:rsidR="00413202" w:rsidRPr="00413202" w:rsidTr="0041320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Gov. Total:</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333637</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444850</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4337283</w:t>
            </w:r>
          </w:p>
        </w:tc>
      </w:tr>
      <w:tr w:rsidR="00413202" w:rsidRPr="00413202" w:rsidTr="00413202">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Total</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401212</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534950</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5215758</w:t>
            </w:r>
          </w:p>
        </w:tc>
      </w:tr>
    </w:tbl>
    <w:p w:rsidR="00736F10" w:rsidRDefault="00736F10" w:rsidP="00A27908">
      <w:pPr>
        <w:pStyle w:val="EBBullet"/>
        <w:keepNext/>
        <w:numPr>
          <w:ilvl w:val="0"/>
          <w:numId w:val="0"/>
        </w:numPr>
        <w:ind w:left="284" w:hanging="284"/>
        <w:rPr>
          <w:b/>
        </w:rPr>
      </w:pPr>
    </w:p>
    <w:p w:rsidR="00170B37" w:rsidRPr="00560DCA" w:rsidRDefault="00E343F0" w:rsidP="00A27908">
      <w:pPr>
        <w:pStyle w:val="EBBullet"/>
        <w:keepNext/>
        <w:numPr>
          <w:ilvl w:val="0"/>
          <w:numId w:val="0"/>
        </w:numPr>
        <w:ind w:left="284" w:hanging="284"/>
        <w:rPr>
          <w:u w:val="single"/>
        </w:rPr>
      </w:pPr>
      <w:r w:rsidRPr="00E343F0">
        <w:rPr>
          <w:u w:val="single"/>
        </w:rPr>
        <w:t>Table 3</w:t>
      </w:r>
      <w:r w:rsidR="00560DCA">
        <w:rPr>
          <w:u w:val="single"/>
        </w:rPr>
        <w:t>: Net benefits of Option 1 (constant prices, £)</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Industry Net</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66375</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88500</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862870</w:t>
            </w:r>
          </w:p>
        </w:tc>
      </w:tr>
      <w:tr w:rsidR="00413202" w:rsidRPr="00413202" w:rsidTr="00413202">
        <w:trPr>
          <w:trHeight w:val="255"/>
        </w:trPr>
        <w:tc>
          <w:tcPr>
            <w:tcW w:w="292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Industry 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66375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85507</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82615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79822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77122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74514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71994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69560</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67208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64935</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739651</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Government Net</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330587</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440783</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4297637</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Government 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330587</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425878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411476</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397561</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384117</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371128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358578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346452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334736</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323416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3683929</w:t>
            </w:r>
          </w:p>
        </w:tc>
      </w:tr>
      <w:tr w:rsidR="00413202" w:rsidRPr="00413202" w:rsidTr="00413202">
        <w:trPr>
          <w:trHeight w:val="255"/>
        </w:trPr>
        <w:tc>
          <w:tcPr>
            <w:tcW w:w="2920" w:type="dxa"/>
            <w:tcBorders>
              <w:top w:val="single" w:sz="4" w:space="0" w:color="auto"/>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Net Value</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396962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529283</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5160508</w:t>
            </w:r>
          </w:p>
        </w:tc>
      </w:tr>
      <w:tr w:rsidR="00413202" w:rsidRPr="00413202" w:rsidTr="00413202">
        <w:trPr>
          <w:trHeight w:val="255"/>
        </w:trPr>
        <w:tc>
          <w:tcPr>
            <w:tcW w:w="292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396962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511384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494091</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477383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461239</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445642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430572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416012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401944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388351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4423580</w:t>
            </w:r>
          </w:p>
        </w:tc>
      </w:tr>
    </w:tbl>
    <w:p w:rsidR="00560DCA" w:rsidRPr="00560DCA" w:rsidRDefault="00560DCA" w:rsidP="00A27908">
      <w:pPr>
        <w:pStyle w:val="EBBullet"/>
        <w:keepNext/>
        <w:numPr>
          <w:ilvl w:val="0"/>
          <w:numId w:val="0"/>
        </w:numPr>
        <w:ind w:left="284" w:hanging="284"/>
        <w:rPr>
          <w:b/>
        </w:rPr>
      </w:pPr>
    </w:p>
    <w:p w:rsidR="00446228" w:rsidRDefault="00E343F0" w:rsidP="00A27908">
      <w:pPr>
        <w:pStyle w:val="EBBullet"/>
        <w:keepNext/>
        <w:numPr>
          <w:ilvl w:val="0"/>
          <w:numId w:val="0"/>
        </w:numPr>
        <w:ind w:left="284" w:hanging="284"/>
        <w:rPr>
          <w:u w:val="single"/>
        </w:rPr>
      </w:pPr>
      <w:r w:rsidRPr="00E343F0">
        <w:rPr>
          <w:u w:val="single"/>
        </w:rPr>
        <w:t>Table 4</w:t>
      </w:r>
      <w:r w:rsidR="00560DCA">
        <w:rPr>
          <w:u w:val="single"/>
        </w:rPr>
        <w:t xml:space="preserve">: </w:t>
      </w:r>
      <w:r w:rsidR="00446228">
        <w:rPr>
          <w:u w:val="single"/>
        </w:rPr>
        <w:t xml:space="preserve">Costs of Option 2 </w:t>
      </w:r>
      <w:r w:rsidR="00446228" w:rsidRPr="00560DCA">
        <w:rPr>
          <w:u w:val="single"/>
        </w:rPr>
        <w:t>(</w:t>
      </w:r>
      <w:r w:rsidR="00446228" w:rsidRPr="005761CA">
        <w:rPr>
          <w:b/>
          <w:u w:val="single"/>
        </w:rPr>
        <w:t>additional</w:t>
      </w:r>
      <w:r w:rsidR="00446228">
        <w:rPr>
          <w:u w:val="single"/>
        </w:rPr>
        <w:t xml:space="preserve"> to</w:t>
      </w:r>
      <w:r w:rsidR="00446228" w:rsidRPr="00560DCA">
        <w:rPr>
          <w:u w:val="single"/>
        </w:rPr>
        <w:t xml:space="preserve"> </w:t>
      </w:r>
      <w:r w:rsidR="00446228">
        <w:rPr>
          <w:u w:val="single"/>
        </w:rPr>
        <w:t>the baseline</w:t>
      </w:r>
      <w:r w:rsidR="00446228" w:rsidRPr="00560DCA">
        <w:rPr>
          <w:u w:val="single"/>
        </w:rPr>
        <w:t>) by item</w:t>
      </w:r>
      <w:r w:rsidR="00446228">
        <w:rPr>
          <w:u w:val="single"/>
        </w:rPr>
        <w:t xml:space="preserve"> (constant prices</w:t>
      </w:r>
      <w:r w:rsidR="00446228">
        <w:rPr>
          <w:rStyle w:val="FootnoteReference"/>
          <w:u w:val="single"/>
        </w:rPr>
        <w:footnoteReference w:id="18"/>
      </w:r>
      <w:r w:rsidR="00446228">
        <w:rPr>
          <w:u w:val="single"/>
        </w:rPr>
        <w:t>, £)</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680"/>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Industry</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Direct submission of samples (p-rs)</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1020</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Government</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 </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457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813</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7777</w:t>
            </w:r>
          </w:p>
        </w:tc>
      </w:tr>
      <w:tr w:rsidR="00413202" w:rsidRPr="00413202" w:rsidTr="0041320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Total</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517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920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8797</w:t>
            </w:r>
          </w:p>
        </w:tc>
      </w:tr>
    </w:tbl>
    <w:p w:rsidR="00446228" w:rsidRDefault="00446228" w:rsidP="00A27908">
      <w:pPr>
        <w:pStyle w:val="EBBullet"/>
        <w:keepNext/>
        <w:numPr>
          <w:ilvl w:val="0"/>
          <w:numId w:val="0"/>
        </w:numPr>
        <w:ind w:left="284" w:hanging="284"/>
        <w:rPr>
          <w:u w:val="single"/>
        </w:rPr>
      </w:pPr>
    </w:p>
    <w:p w:rsidR="00170B37" w:rsidRDefault="00446228" w:rsidP="00A27908">
      <w:pPr>
        <w:pStyle w:val="EBBullet"/>
        <w:keepNext/>
        <w:numPr>
          <w:ilvl w:val="0"/>
          <w:numId w:val="0"/>
        </w:numPr>
        <w:ind w:left="284" w:hanging="284"/>
        <w:rPr>
          <w:u w:val="single"/>
        </w:rPr>
      </w:pPr>
      <w:r>
        <w:rPr>
          <w:u w:val="single"/>
        </w:rPr>
        <w:t xml:space="preserve">Table 5: </w:t>
      </w:r>
      <w:r w:rsidR="00560DCA">
        <w:rPr>
          <w:u w:val="single"/>
        </w:rPr>
        <w:t>Benefits of Option 2 (</w:t>
      </w:r>
      <w:r w:rsidR="005761CA" w:rsidRPr="005761CA">
        <w:rPr>
          <w:b/>
          <w:u w:val="single"/>
        </w:rPr>
        <w:t>costs saved</w:t>
      </w:r>
      <w:r w:rsidR="005761CA">
        <w:rPr>
          <w:u w:val="single"/>
        </w:rPr>
        <w:t xml:space="preserve"> compared to </w:t>
      </w:r>
      <w:r>
        <w:rPr>
          <w:u w:val="single"/>
        </w:rPr>
        <w:t>baseline</w:t>
      </w:r>
      <w:r w:rsidR="005761CA">
        <w:rPr>
          <w:u w:val="single"/>
        </w:rPr>
        <w:t>) (</w:t>
      </w:r>
      <w:r w:rsidR="00560DCA">
        <w:rPr>
          <w:u w:val="single"/>
        </w:rPr>
        <w:t>constant prices, £)</w:t>
      </w:r>
      <w:r w:rsidR="00A21C39">
        <w:rPr>
          <w:u w:val="single"/>
        </w:rPr>
        <w:t>*</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Industry</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 </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92518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123358</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1202740</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Staff time accompanying AHVLA visits (p-rs)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4043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5391</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52563</w:t>
            </w:r>
          </w:p>
        </w:tc>
      </w:tr>
      <w:tr w:rsidR="00413202" w:rsidRPr="00413202" w:rsidTr="0041320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Industry Total:</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96562</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128749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1255303</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Government</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 </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429353</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572470</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5581586</w:t>
            </w:r>
          </w:p>
        </w:tc>
      </w:tr>
      <w:tr w:rsidR="00413202" w:rsidRPr="00413202" w:rsidTr="00413202">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AHVLA visits to producer retailers</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51215</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68287</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665797</w:t>
            </w:r>
          </w:p>
        </w:tc>
      </w:tr>
      <w:tr w:rsidR="00413202" w:rsidRPr="00413202" w:rsidTr="0041320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Gov. Total:</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480568</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60" w:type="dxa"/>
            <w:tcBorders>
              <w:top w:val="single" w:sz="4" w:space="0" w:color="auto"/>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640757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sz w:val="16"/>
                <w:szCs w:val="16"/>
                <w:lang w:eastAsia="en-GB"/>
              </w:rPr>
            </w:pPr>
            <w:r w:rsidRPr="00413202">
              <w:rPr>
                <w:rFonts w:ascii="Arial Narrow" w:hAnsi="Arial Narrow" w:cs="Arial"/>
                <w:b/>
                <w:bCs/>
                <w:sz w:val="16"/>
                <w:szCs w:val="16"/>
                <w:lang w:eastAsia="en-GB"/>
              </w:rPr>
              <w:t>6247382</w:t>
            </w:r>
          </w:p>
        </w:tc>
      </w:tr>
      <w:tr w:rsidR="00413202" w:rsidRPr="00413202" w:rsidTr="00413202">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rPr>
                <w:rFonts w:ascii="Arial Narrow" w:hAnsi="Arial Narrow" w:cs="Arial"/>
                <w:b/>
                <w:bCs/>
                <w:sz w:val="16"/>
                <w:szCs w:val="16"/>
                <w:lang w:eastAsia="en-GB"/>
              </w:rPr>
            </w:pPr>
            <w:r w:rsidRPr="00413202">
              <w:rPr>
                <w:rFonts w:ascii="Arial Narrow" w:hAnsi="Arial Narrow" w:cs="Arial"/>
                <w:b/>
                <w:bCs/>
                <w:sz w:val="16"/>
                <w:szCs w:val="16"/>
                <w:lang w:eastAsia="en-GB"/>
              </w:rPr>
              <w:t>Total</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577130</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60" w:type="dxa"/>
            <w:tcBorders>
              <w:top w:val="nil"/>
              <w:left w:val="nil"/>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769506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7502685</w:t>
            </w:r>
          </w:p>
        </w:tc>
      </w:tr>
    </w:tbl>
    <w:p w:rsidR="00413202" w:rsidRDefault="00413202" w:rsidP="00A27908">
      <w:pPr>
        <w:pStyle w:val="EBBullet"/>
        <w:keepNext/>
        <w:numPr>
          <w:ilvl w:val="0"/>
          <w:numId w:val="0"/>
        </w:numPr>
        <w:ind w:left="284" w:hanging="284"/>
        <w:rPr>
          <w:u w:val="single"/>
        </w:rPr>
      </w:pPr>
    </w:p>
    <w:p w:rsidR="00A42647" w:rsidRDefault="00446228" w:rsidP="00A27908">
      <w:pPr>
        <w:pStyle w:val="EBBullet"/>
        <w:keepNext/>
        <w:numPr>
          <w:ilvl w:val="0"/>
          <w:numId w:val="0"/>
        </w:numPr>
        <w:ind w:left="284" w:hanging="284"/>
        <w:rPr>
          <w:u w:val="single"/>
        </w:rPr>
      </w:pPr>
      <w:r>
        <w:rPr>
          <w:u w:val="single"/>
        </w:rPr>
        <w:t>Table 6:</w:t>
      </w:r>
      <w:r w:rsidRPr="00446228">
        <w:rPr>
          <w:u w:val="single"/>
        </w:rPr>
        <w:t xml:space="preserve"> </w:t>
      </w:r>
      <w:r>
        <w:rPr>
          <w:u w:val="single"/>
        </w:rPr>
        <w:t xml:space="preserve">Net benefits of Option 2 (constant prices, £) </w:t>
      </w: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413202" w:rsidRPr="00413202" w:rsidTr="00413202">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413202" w:rsidRPr="00413202" w:rsidRDefault="00413202" w:rsidP="00413202">
            <w:pPr>
              <w:rPr>
                <w:rFonts w:ascii="Arial Narrow" w:hAnsi="Arial Narrow" w:cs="Arial"/>
                <w:sz w:val="16"/>
                <w:szCs w:val="16"/>
                <w:lang w:eastAsia="en-GB"/>
              </w:rPr>
            </w:pPr>
            <w:r w:rsidRPr="00413202">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13202" w:rsidRPr="00413202" w:rsidRDefault="00413202" w:rsidP="00413202">
            <w:pPr>
              <w:jc w:val="cente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Total</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Industry Net</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96502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128642</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1254283</w:t>
            </w:r>
          </w:p>
        </w:tc>
      </w:tr>
      <w:tr w:rsidR="00413202" w:rsidRPr="00413202" w:rsidTr="00413202">
        <w:trPr>
          <w:trHeight w:val="255"/>
        </w:trPr>
        <w:tc>
          <w:tcPr>
            <w:tcW w:w="292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Industry 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96502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124292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120089</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116028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112104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108313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104651</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101112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97692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94389</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1075172</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Government Net</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480110</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639944</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6239605</w:t>
            </w:r>
          </w:p>
        </w:tc>
      </w:tr>
      <w:tr w:rsidR="00413202" w:rsidRPr="00413202" w:rsidTr="00413202">
        <w:trPr>
          <w:trHeight w:val="255"/>
        </w:trPr>
        <w:tc>
          <w:tcPr>
            <w:tcW w:w="2920" w:type="dxa"/>
            <w:tcBorders>
              <w:top w:val="nil"/>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Government 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480110</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618303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597394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577193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557674</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538816</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520595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502990</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485981</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469547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5348603</w:t>
            </w:r>
          </w:p>
        </w:tc>
      </w:tr>
      <w:tr w:rsidR="00413202" w:rsidRPr="00413202" w:rsidTr="00413202">
        <w:trPr>
          <w:trHeight w:val="255"/>
        </w:trPr>
        <w:tc>
          <w:tcPr>
            <w:tcW w:w="2920" w:type="dxa"/>
            <w:tcBorders>
              <w:top w:val="single" w:sz="4" w:space="0" w:color="auto"/>
              <w:left w:val="single" w:sz="4" w:space="0" w:color="auto"/>
              <w:bottom w:val="nil"/>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Net Value</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576612</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60" w:type="dxa"/>
            <w:tcBorders>
              <w:top w:val="nil"/>
              <w:left w:val="single" w:sz="4" w:space="0" w:color="auto"/>
              <w:bottom w:val="nil"/>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768586</w:t>
            </w:r>
          </w:p>
        </w:tc>
        <w:tc>
          <w:tcPr>
            <w:tcW w:w="680" w:type="dxa"/>
            <w:tcBorders>
              <w:top w:val="nil"/>
              <w:left w:val="single" w:sz="4" w:space="0" w:color="auto"/>
              <w:bottom w:val="nil"/>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7493888</w:t>
            </w:r>
          </w:p>
        </w:tc>
      </w:tr>
      <w:tr w:rsidR="00413202" w:rsidRPr="00413202" w:rsidTr="00413202">
        <w:trPr>
          <w:trHeight w:val="255"/>
        </w:trPr>
        <w:tc>
          <w:tcPr>
            <w:tcW w:w="292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rPr>
                <w:rFonts w:ascii="Arial Narrow" w:hAnsi="Arial Narrow" w:cs="Arial"/>
                <w:b/>
                <w:bCs/>
                <w:color w:val="000000"/>
                <w:sz w:val="16"/>
                <w:szCs w:val="16"/>
                <w:lang w:eastAsia="en-GB"/>
              </w:rPr>
            </w:pPr>
            <w:r w:rsidRPr="00413202">
              <w:rPr>
                <w:rFonts w:ascii="Arial Narrow" w:hAnsi="Arial Narrow" w:cs="Arial"/>
                <w:b/>
                <w:bCs/>
                <w:color w:val="000000"/>
                <w:sz w:val="16"/>
                <w:szCs w:val="16"/>
                <w:lang w:eastAsia="en-GB"/>
              </w:rPr>
              <w:t>NPV</w:t>
            </w:r>
            <w:r>
              <w:rPr>
                <w:rFonts w:ascii="Arial Narrow" w:hAnsi="Arial Narrow" w:cs="Arial"/>
                <w:b/>
                <w:bCs/>
                <w:color w:val="000000"/>
                <w:sz w:val="16"/>
                <w:szCs w:val="16"/>
                <w:lang w:eastAsia="en-GB"/>
              </w:rPr>
              <w:t xml:space="preserve"> (discounted at 3.5%)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576612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742595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717483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693221</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669778</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647129</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625245</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604102</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583673</w:t>
            </w:r>
          </w:p>
        </w:tc>
        <w:tc>
          <w:tcPr>
            <w:tcW w:w="660" w:type="dxa"/>
            <w:tcBorders>
              <w:top w:val="nil"/>
              <w:left w:val="single" w:sz="4" w:space="0" w:color="auto"/>
              <w:bottom w:val="single" w:sz="4" w:space="0" w:color="auto"/>
              <w:right w:val="nil"/>
            </w:tcBorders>
            <w:shd w:val="clear" w:color="auto" w:fill="auto"/>
            <w:noWrap/>
            <w:vAlign w:val="bottom"/>
            <w:hideMark/>
          </w:tcPr>
          <w:p w:rsidR="00413202" w:rsidRPr="00413202" w:rsidRDefault="00413202" w:rsidP="00413202">
            <w:pPr>
              <w:jc w:val="center"/>
              <w:rPr>
                <w:rFonts w:ascii="Arial Narrow" w:hAnsi="Arial Narrow" w:cs="Arial"/>
                <w:sz w:val="16"/>
                <w:szCs w:val="16"/>
                <w:lang w:eastAsia="en-GB"/>
              </w:rPr>
            </w:pPr>
            <w:r w:rsidRPr="00413202">
              <w:rPr>
                <w:rFonts w:ascii="Arial Narrow" w:hAnsi="Arial Narrow" w:cs="Arial"/>
                <w:sz w:val="16"/>
                <w:szCs w:val="16"/>
                <w:lang w:eastAsia="en-GB"/>
              </w:rPr>
              <w:t>563936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13202" w:rsidRPr="00413202" w:rsidRDefault="00413202" w:rsidP="00413202">
            <w:pPr>
              <w:jc w:val="center"/>
              <w:rPr>
                <w:rFonts w:ascii="Arial Narrow" w:hAnsi="Arial Narrow" w:cs="Arial"/>
                <w:color w:val="000000"/>
                <w:sz w:val="16"/>
                <w:szCs w:val="16"/>
                <w:lang w:eastAsia="en-GB"/>
              </w:rPr>
            </w:pPr>
            <w:r w:rsidRPr="00413202">
              <w:rPr>
                <w:rFonts w:ascii="Arial Narrow" w:hAnsi="Arial Narrow" w:cs="Arial"/>
                <w:color w:val="000000"/>
                <w:sz w:val="16"/>
                <w:szCs w:val="16"/>
                <w:lang w:eastAsia="en-GB"/>
              </w:rPr>
              <w:t>6423775</w:t>
            </w:r>
          </w:p>
        </w:tc>
      </w:tr>
    </w:tbl>
    <w:p w:rsidR="00086AFE" w:rsidRPr="00086AFE" w:rsidRDefault="00A21C39" w:rsidP="00A27908">
      <w:pPr>
        <w:pStyle w:val="EBBullet"/>
        <w:keepNext/>
        <w:numPr>
          <w:ilvl w:val="0"/>
          <w:numId w:val="0"/>
        </w:numPr>
        <w:ind w:left="284" w:hanging="284"/>
        <w:rPr>
          <w:sz w:val="20"/>
          <w:szCs w:val="20"/>
        </w:rPr>
      </w:pPr>
      <w:r>
        <w:rPr>
          <w:b/>
          <w:sz w:val="20"/>
          <w:szCs w:val="20"/>
        </w:rPr>
        <w:t>*</w:t>
      </w:r>
      <w:r>
        <w:rPr>
          <w:sz w:val="20"/>
          <w:szCs w:val="20"/>
        </w:rPr>
        <w:t>The size of these benefits is uncertain. Therefore ranges are given in Annex 1.</w:t>
      </w:r>
    </w:p>
    <w:p w:rsidR="00086AFE" w:rsidRDefault="00086AFE" w:rsidP="00A27908">
      <w:pPr>
        <w:pStyle w:val="EBBullet"/>
        <w:keepNext/>
        <w:numPr>
          <w:ilvl w:val="0"/>
          <w:numId w:val="0"/>
        </w:numPr>
        <w:ind w:left="284" w:hanging="284"/>
        <w:rPr>
          <w:b/>
          <w:sz w:val="24"/>
          <w:szCs w:val="24"/>
        </w:rPr>
      </w:pPr>
    </w:p>
    <w:p w:rsidR="00A27908" w:rsidRDefault="00A27908" w:rsidP="00A27908">
      <w:pPr>
        <w:pStyle w:val="EBBullet"/>
        <w:keepNext/>
        <w:numPr>
          <w:ilvl w:val="0"/>
          <w:numId w:val="0"/>
        </w:numPr>
        <w:ind w:left="284" w:hanging="284"/>
        <w:rPr>
          <w:b/>
          <w:sz w:val="24"/>
          <w:szCs w:val="24"/>
        </w:rPr>
      </w:pPr>
      <w:r w:rsidRPr="00FD1536">
        <w:rPr>
          <w:b/>
          <w:sz w:val="24"/>
          <w:szCs w:val="24"/>
        </w:rPr>
        <w:t xml:space="preserve">Risks </w:t>
      </w:r>
    </w:p>
    <w:p w:rsidR="00A27908" w:rsidRPr="00DD3708" w:rsidRDefault="00A27908" w:rsidP="00A27908">
      <w:pPr>
        <w:pStyle w:val="EBBullet"/>
        <w:keepNext/>
        <w:numPr>
          <w:ilvl w:val="0"/>
          <w:numId w:val="0"/>
        </w:numPr>
        <w:ind w:left="284" w:hanging="284"/>
        <w:rPr>
          <w:u w:val="single"/>
        </w:rPr>
      </w:pPr>
      <w:r w:rsidRPr="00DD3708">
        <w:rPr>
          <w:u w:val="single"/>
        </w:rPr>
        <w:t>Option 1</w:t>
      </w:r>
    </w:p>
    <w:p w:rsidR="005B5BBF" w:rsidRDefault="00B33973" w:rsidP="005B5BBF">
      <w:pPr>
        <w:pStyle w:val="EBBullet"/>
        <w:keepNext/>
        <w:numPr>
          <w:ilvl w:val="0"/>
          <w:numId w:val="22"/>
        </w:numPr>
      </w:pPr>
      <w:r>
        <w:t xml:space="preserve">We considered introducing the changes </w:t>
      </w:r>
      <w:r w:rsidR="00B34523">
        <w:t xml:space="preserve">to producer retailers </w:t>
      </w:r>
      <w:r>
        <w:t xml:space="preserve">by voluntary agreement with industry. However, this presents a risk to enforcement in the event of </w:t>
      </w:r>
      <w:r w:rsidR="005D4A97">
        <w:t>non-compliance with the</w:t>
      </w:r>
      <w:r w:rsidR="00E5378C">
        <w:t xml:space="preserve"> requirements for bulk milk </w:t>
      </w:r>
      <w:r w:rsidR="008E56BD">
        <w:t xml:space="preserve">tank </w:t>
      </w:r>
      <w:r w:rsidR="00E5378C">
        <w:t>testing</w:t>
      </w:r>
      <w:r>
        <w:t xml:space="preserve">. </w:t>
      </w:r>
      <w:r w:rsidR="00E5378C">
        <w:t xml:space="preserve">Relying on </w:t>
      </w:r>
      <w:r>
        <w:t xml:space="preserve">voluntary </w:t>
      </w:r>
      <w:r w:rsidR="00E5378C">
        <w:t xml:space="preserve">implementation has been discounted because it is in direct contravention to the requirements set out in the Brucellosis Order. </w:t>
      </w:r>
      <w:r w:rsidR="00570F04">
        <w:t xml:space="preserve">Enforcement is particularly important where there is a higher risk to public health associated with raw milk/products. </w:t>
      </w:r>
      <w:r w:rsidR="00E5378C">
        <w:t>Amending the legislation</w:t>
      </w:r>
      <w:r w:rsidR="00570F04">
        <w:t xml:space="preserve"> will also enable government to recover costs</w:t>
      </w:r>
      <w:r w:rsidR="005761CA">
        <w:t xml:space="preserve"> from producer</w:t>
      </w:r>
      <w:r w:rsidR="00F57106">
        <w:t xml:space="preserve"> </w:t>
      </w:r>
      <w:r w:rsidR="005761CA">
        <w:t>retailers</w:t>
      </w:r>
      <w:r w:rsidR="00570F04">
        <w:t xml:space="preserve"> in the event that AHVLA has to step in to collect a missing sample; </w:t>
      </w:r>
      <w:r w:rsidR="00774E68">
        <w:t xml:space="preserve">a provision </w:t>
      </w:r>
      <w:r w:rsidR="00570F04">
        <w:t xml:space="preserve">that is already </w:t>
      </w:r>
      <w:r w:rsidR="00774E68">
        <w:t xml:space="preserve">available </w:t>
      </w:r>
      <w:r w:rsidR="006E60D9">
        <w:t xml:space="preserve">in relation to </w:t>
      </w:r>
      <w:r w:rsidR="00774E68">
        <w:t xml:space="preserve">samples submitted by </w:t>
      </w:r>
      <w:r w:rsidR="00570F04">
        <w:t xml:space="preserve">milk purchasers.  </w:t>
      </w:r>
    </w:p>
    <w:p w:rsidR="005B5BBF" w:rsidRPr="005B5BBF" w:rsidRDefault="005B5BBF" w:rsidP="005B5BBF">
      <w:pPr>
        <w:pStyle w:val="EBBullet"/>
        <w:keepNext/>
        <w:numPr>
          <w:ilvl w:val="0"/>
          <w:numId w:val="0"/>
        </w:numPr>
        <w:rPr>
          <w:u w:val="single"/>
        </w:rPr>
      </w:pPr>
      <w:r w:rsidRPr="005B5BBF">
        <w:rPr>
          <w:u w:val="single"/>
        </w:rPr>
        <w:t>Option 2</w:t>
      </w:r>
    </w:p>
    <w:p w:rsidR="00A17D82" w:rsidRPr="005E4B7C" w:rsidRDefault="005761CA" w:rsidP="005E4B7C">
      <w:pPr>
        <w:pStyle w:val="EBBullet"/>
        <w:keepNext/>
        <w:numPr>
          <w:ilvl w:val="0"/>
          <w:numId w:val="22"/>
        </w:numPr>
        <w:rPr>
          <w:b/>
        </w:rPr>
      </w:pPr>
      <w:r>
        <w:t>There is an i</w:t>
      </w:r>
      <w:r w:rsidR="005E4B7C">
        <w:t>ncreased r</w:t>
      </w:r>
      <w:r w:rsidR="005E4B7C" w:rsidRPr="005E4B7C">
        <w:t xml:space="preserve">isk of </w:t>
      </w:r>
      <w:r w:rsidR="005E4B7C">
        <w:t xml:space="preserve">wide scale spread of disease in the absence </w:t>
      </w:r>
      <w:r w:rsidR="001A5A3E">
        <w:t xml:space="preserve">or as a result of </w:t>
      </w:r>
      <w:r w:rsidR="005E4B7C">
        <w:t xml:space="preserve">a </w:t>
      </w:r>
      <w:r w:rsidR="001A5A3E">
        <w:t xml:space="preserve">reduced </w:t>
      </w:r>
      <w:r w:rsidR="005E4B7C">
        <w:t>surveillance programme. Given the costs associated with this option, this risk is not considered acceptable.</w:t>
      </w:r>
    </w:p>
    <w:p w:rsidR="005761CA" w:rsidRDefault="005761CA" w:rsidP="00A17D82">
      <w:pPr>
        <w:pStyle w:val="EBBullet"/>
        <w:keepNext/>
        <w:numPr>
          <w:ilvl w:val="0"/>
          <w:numId w:val="0"/>
        </w:numPr>
        <w:ind w:left="284" w:hanging="284"/>
        <w:rPr>
          <w:b/>
          <w:sz w:val="24"/>
          <w:szCs w:val="24"/>
        </w:rPr>
      </w:pPr>
    </w:p>
    <w:p w:rsidR="00A17D82" w:rsidRDefault="00A17D82" w:rsidP="00A17D82">
      <w:pPr>
        <w:pStyle w:val="EBBullet"/>
        <w:keepNext/>
        <w:numPr>
          <w:ilvl w:val="0"/>
          <w:numId w:val="0"/>
        </w:numPr>
        <w:ind w:left="284" w:hanging="284"/>
        <w:rPr>
          <w:b/>
          <w:sz w:val="24"/>
          <w:szCs w:val="24"/>
        </w:rPr>
      </w:pPr>
      <w:r w:rsidRPr="00A17D82">
        <w:rPr>
          <w:b/>
          <w:sz w:val="24"/>
          <w:szCs w:val="24"/>
        </w:rPr>
        <w:t>Assumptions</w:t>
      </w:r>
    </w:p>
    <w:p w:rsidR="006326FE" w:rsidRDefault="006326FE" w:rsidP="006326FE">
      <w:pPr>
        <w:pStyle w:val="EBBullet"/>
        <w:keepNext/>
        <w:numPr>
          <w:ilvl w:val="0"/>
          <w:numId w:val="22"/>
        </w:numPr>
      </w:pPr>
      <w:r w:rsidRPr="00A17D82">
        <w:t xml:space="preserve">The </w:t>
      </w:r>
      <w:r>
        <w:t>key assumptions made in this cost-benefit analysis include:</w:t>
      </w:r>
    </w:p>
    <w:p w:rsidR="00A17D82" w:rsidRPr="00A17D82" w:rsidRDefault="00A17D82" w:rsidP="006326FE">
      <w:pPr>
        <w:pStyle w:val="EBBullet"/>
        <w:keepNext/>
        <w:numPr>
          <w:ilvl w:val="0"/>
          <w:numId w:val="0"/>
        </w:numPr>
        <w:ind w:left="284" w:firstLine="436"/>
        <w:rPr>
          <w:sz w:val="24"/>
          <w:szCs w:val="24"/>
          <w:u w:val="single"/>
        </w:rPr>
      </w:pPr>
      <w:r w:rsidRPr="00A17D82">
        <w:rPr>
          <w:u w:val="single"/>
        </w:rPr>
        <w:t>Option</w:t>
      </w:r>
      <w:r w:rsidRPr="00A17D82">
        <w:rPr>
          <w:sz w:val="24"/>
          <w:szCs w:val="24"/>
          <w:u w:val="single"/>
        </w:rPr>
        <w:t xml:space="preserve"> 1</w:t>
      </w:r>
    </w:p>
    <w:p w:rsidR="00A17D82" w:rsidRDefault="00F57106" w:rsidP="00A17D82">
      <w:pPr>
        <w:pStyle w:val="EBBullet"/>
        <w:keepNext/>
        <w:numPr>
          <w:ilvl w:val="1"/>
          <w:numId w:val="22"/>
        </w:numPr>
      </w:pPr>
      <w:r>
        <w:t>There</w:t>
      </w:r>
      <w:r w:rsidR="00A17D82">
        <w:t xml:space="preserve"> are approximately </w:t>
      </w:r>
      <w:r w:rsidR="008E56BD">
        <w:t>10,400 business holdings</w:t>
      </w:r>
      <w:r w:rsidR="00983A60">
        <w:t xml:space="preserve"> supplying milk purchasers</w:t>
      </w:r>
      <w:r w:rsidR="008E56BD">
        <w:t xml:space="preserve"> (not including producer</w:t>
      </w:r>
      <w:r>
        <w:t xml:space="preserve"> </w:t>
      </w:r>
      <w:r w:rsidR="008E56BD">
        <w:t>retailers – see below) with roughly 1</w:t>
      </w:r>
      <w:r w:rsidR="0061244E">
        <w:t>1,</w:t>
      </w:r>
      <w:r w:rsidR="008E56BD">
        <w:t xml:space="preserve">000 </w:t>
      </w:r>
      <w:r w:rsidR="00A17D82">
        <w:t>milk tanks/vats</w:t>
      </w:r>
      <w:r w:rsidR="008E56BD">
        <w:t xml:space="preserve">. This means </w:t>
      </w:r>
      <w:r w:rsidR="00A17D82">
        <w:t xml:space="preserve">some </w:t>
      </w:r>
      <w:r w:rsidR="0061244E">
        <w:t>44,</w:t>
      </w:r>
      <w:r w:rsidR="008E56BD">
        <w:t>000</w:t>
      </w:r>
      <w:r w:rsidR="00A17D82">
        <w:t xml:space="preserve"> bulk milk</w:t>
      </w:r>
      <w:r w:rsidR="008E56BD">
        <w:t xml:space="preserve"> tank</w:t>
      </w:r>
      <w:r w:rsidR="00A17D82">
        <w:t xml:space="preserve"> tests as a result of quarterly testing</w:t>
      </w:r>
      <w:r w:rsidR="008E56BD">
        <w:t>; a reduction of 67% compared to a monthly testing regime (Source: AHVLA management records, incorporating data from National Milk Records)</w:t>
      </w:r>
      <w:r w:rsidR="00A17D82">
        <w:t>;</w:t>
      </w:r>
    </w:p>
    <w:p w:rsidR="00A17D82" w:rsidRDefault="00F57106" w:rsidP="00A17D82">
      <w:pPr>
        <w:pStyle w:val="EBBullet"/>
        <w:keepNext/>
        <w:numPr>
          <w:ilvl w:val="1"/>
          <w:numId w:val="22"/>
        </w:numPr>
      </w:pPr>
      <w:r>
        <w:t>There</w:t>
      </w:r>
      <w:r w:rsidR="00A17D82">
        <w:t xml:space="preserve"> are approximately </w:t>
      </w:r>
      <w:r w:rsidR="008E56BD">
        <w:t>100</w:t>
      </w:r>
      <w:r w:rsidR="00A17D82">
        <w:t xml:space="preserve"> producer</w:t>
      </w:r>
      <w:r>
        <w:t xml:space="preserve"> </w:t>
      </w:r>
      <w:r w:rsidR="00A17D82">
        <w:t>retailers in England</w:t>
      </w:r>
      <w:r w:rsidR="0061244E">
        <w:t xml:space="preserve"> and Wales</w:t>
      </w:r>
      <w:r w:rsidR="00A17D82">
        <w:t>.</w:t>
      </w:r>
      <w:r w:rsidR="008E56BD">
        <w:t xml:space="preserve"> We have assumed each of these businesses only have one milk tank each and choose to submit their bulk milk tank samples direct to AHVLA, rather than via private laboratories (Source: AHVLA management records);</w:t>
      </w:r>
    </w:p>
    <w:p w:rsidR="008E56BD" w:rsidRDefault="008E56BD" w:rsidP="00A17D82">
      <w:pPr>
        <w:pStyle w:val="EBBullet"/>
        <w:keepNext/>
        <w:numPr>
          <w:ilvl w:val="1"/>
          <w:numId w:val="22"/>
        </w:numPr>
      </w:pPr>
      <w:r>
        <w:t xml:space="preserve">According to the Defra June Survey virtually all dairy farms are micro-businesses. </w:t>
      </w:r>
    </w:p>
    <w:p w:rsidR="006C2CBC" w:rsidRDefault="006C2CBC" w:rsidP="00A17D82">
      <w:pPr>
        <w:pStyle w:val="EBBullet"/>
        <w:keepNext/>
        <w:numPr>
          <w:ilvl w:val="1"/>
          <w:numId w:val="22"/>
        </w:numPr>
      </w:pPr>
      <w:r>
        <w:t>The risk of introducing disease inadvertently to GB remains unaltered.</w:t>
      </w:r>
    </w:p>
    <w:p w:rsidR="006C2CBC" w:rsidRDefault="006C2CBC" w:rsidP="00A17D82">
      <w:pPr>
        <w:pStyle w:val="EBBullet"/>
        <w:keepNext/>
        <w:numPr>
          <w:ilvl w:val="1"/>
          <w:numId w:val="22"/>
        </w:numPr>
      </w:pPr>
      <w:r w:rsidRPr="001A5A3E">
        <w:rPr>
          <w:i/>
        </w:rPr>
        <w:t>Brucella abortus</w:t>
      </w:r>
      <w:r>
        <w:t xml:space="preserve"> remains susceptible to pasteurisation.</w:t>
      </w:r>
    </w:p>
    <w:p w:rsidR="006326FE" w:rsidRDefault="006326FE" w:rsidP="006326FE">
      <w:pPr>
        <w:pStyle w:val="EBBullet"/>
        <w:keepNext/>
        <w:numPr>
          <w:ilvl w:val="0"/>
          <w:numId w:val="0"/>
        </w:numPr>
        <w:ind w:left="284" w:firstLine="436"/>
        <w:rPr>
          <w:u w:val="single"/>
        </w:rPr>
      </w:pPr>
      <w:r w:rsidRPr="006326FE">
        <w:rPr>
          <w:u w:val="single"/>
        </w:rPr>
        <w:t>Option 2</w:t>
      </w:r>
      <w:r>
        <w:rPr>
          <w:u w:val="single"/>
        </w:rPr>
        <w:t xml:space="preserve"> (in addition to those above)</w:t>
      </w:r>
    </w:p>
    <w:p w:rsidR="00E61D09" w:rsidRPr="00E61D09" w:rsidRDefault="00F57106" w:rsidP="00E61D09">
      <w:pPr>
        <w:pStyle w:val="IAPOA5"/>
        <w:keepNext/>
        <w:numPr>
          <w:ilvl w:val="0"/>
          <w:numId w:val="33"/>
        </w:numPr>
        <w:rPr>
          <w:b/>
        </w:rPr>
      </w:pPr>
      <w:r>
        <w:t>Milk</w:t>
      </w:r>
      <w:r w:rsidR="00E61D09">
        <w:t xml:space="preserve"> testing for Enzootic Bovine Leukosis (EBL) would </w:t>
      </w:r>
      <w:r w:rsidR="0061244E">
        <w:t xml:space="preserve">continue. </w:t>
      </w:r>
      <w:r w:rsidR="00E61D09">
        <w:t xml:space="preserve">The EBL surveillance programme is due to be reviewed </w:t>
      </w:r>
      <w:r w:rsidR="00413202">
        <w:t>shortly</w:t>
      </w:r>
      <w:r w:rsidR="00E61D09">
        <w:t>.</w:t>
      </w:r>
    </w:p>
    <w:p w:rsidR="00773491" w:rsidRDefault="00AA4AA5" w:rsidP="00413202">
      <w:pPr>
        <w:pStyle w:val="EBBullet"/>
        <w:keepNext/>
        <w:numPr>
          <w:ilvl w:val="0"/>
          <w:numId w:val="0"/>
        </w:numPr>
        <w:rPr>
          <w:b/>
          <w:sz w:val="24"/>
          <w:szCs w:val="24"/>
        </w:rPr>
      </w:pPr>
      <w:r>
        <w:br/>
      </w:r>
    </w:p>
    <w:p w:rsidR="00DE208C" w:rsidRPr="00E61D09" w:rsidRDefault="005938B5" w:rsidP="00413202">
      <w:pPr>
        <w:pStyle w:val="EBBullet"/>
        <w:keepNext/>
        <w:numPr>
          <w:ilvl w:val="0"/>
          <w:numId w:val="0"/>
        </w:numPr>
        <w:rPr>
          <w:b/>
        </w:rPr>
      </w:pPr>
      <w:r w:rsidRPr="00413202">
        <w:rPr>
          <w:b/>
          <w:sz w:val="24"/>
          <w:szCs w:val="24"/>
        </w:rPr>
        <w:t>Conclusion</w:t>
      </w:r>
    </w:p>
    <w:p w:rsidR="00404828" w:rsidRDefault="00844AC1" w:rsidP="00D01A3C">
      <w:pPr>
        <w:pStyle w:val="EBBullet"/>
        <w:keepNext/>
        <w:numPr>
          <w:ilvl w:val="0"/>
          <w:numId w:val="22"/>
        </w:numPr>
      </w:pPr>
      <w:r>
        <w:t>Option 1 is the preferred option, with a net present value over 10 years of</w:t>
      </w:r>
      <w:r w:rsidR="008671C2">
        <w:t xml:space="preserve"> </w:t>
      </w:r>
      <w:r w:rsidR="008671C2" w:rsidRPr="0061244E">
        <w:rPr>
          <w:b/>
          <w:color w:val="auto"/>
        </w:rPr>
        <w:t>£</w:t>
      </w:r>
      <w:r w:rsidR="0061244E" w:rsidRPr="0061244E">
        <w:rPr>
          <w:b/>
          <w:color w:val="auto"/>
        </w:rPr>
        <w:t>4.424</w:t>
      </w:r>
      <w:r w:rsidR="00C41786" w:rsidRPr="0061244E">
        <w:rPr>
          <w:b/>
          <w:color w:val="auto"/>
        </w:rPr>
        <w:t>m</w:t>
      </w:r>
      <w:r w:rsidR="008671C2">
        <w:t>.</w:t>
      </w:r>
      <w:r>
        <w:t xml:space="preserve"> </w:t>
      </w:r>
      <w:r w:rsidR="00774E68">
        <w:t>Th</w:t>
      </w:r>
      <w:r w:rsidR="0065281C">
        <w:t>is</w:t>
      </w:r>
      <w:r w:rsidR="00774E68">
        <w:t xml:space="preserve"> cost-benefit analysis shows that </w:t>
      </w:r>
      <w:r w:rsidR="0065281C">
        <w:t>reducing the frequency of bulk milk</w:t>
      </w:r>
      <w:r w:rsidR="008E56BD">
        <w:t xml:space="preserve"> tank</w:t>
      </w:r>
      <w:r w:rsidR="0065281C">
        <w:t xml:space="preserve"> testing to quarterly </w:t>
      </w:r>
      <w:r w:rsidR="00404828">
        <w:t xml:space="preserve">for the whole industry </w:t>
      </w:r>
      <w:r w:rsidR="0065281C">
        <w:t>results in significant cost savings to government and industry</w:t>
      </w:r>
      <w:r w:rsidR="00A852D6">
        <w:t>. At the same time an app</w:t>
      </w:r>
      <w:r w:rsidR="0065281C">
        <w:t>ropriate and proportionate surveillance progr</w:t>
      </w:r>
      <w:r w:rsidR="008E56BD">
        <w:t>amme for b</w:t>
      </w:r>
      <w:r w:rsidR="0065281C">
        <w:t xml:space="preserve">rucellosis remains in place. </w:t>
      </w:r>
    </w:p>
    <w:p w:rsidR="00D01A3C" w:rsidRDefault="0065281C" w:rsidP="00D01A3C">
      <w:pPr>
        <w:pStyle w:val="EBBullet"/>
        <w:keepNext/>
        <w:numPr>
          <w:ilvl w:val="0"/>
          <w:numId w:val="22"/>
        </w:numPr>
      </w:pPr>
      <w:r>
        <w:t xml:space="preserve">By </w:t>
      </w:r>
      <w:r w:rsidR="00774E68">
        <w:t xml:space="preserve">introducing a </w:t>
      </w:r>
      <w:r w:rsidR="00D01A3C">
        <w:t>requirement for producer</w:t>
      </w:r>
      <w:r w:rsidR="00F57106">
        <w:t xml:space="preserve"> </w:t>
      </w:r>
      <w:r w:rsidR="00D01A3C">
        <w:t xml:space="preserve">retailers to submit </w:t>
      </w:r>
      <w:r w:rsidR="00404828">
        <w:t xml:space="preserve">three </w:t>
      </w:r>
      <w:r w:rsidR="00D01A3C">
        <w:t xml:space="preserve">bulk milk </w:t>
      </w:r>
      <w:r w:rsidR="008E56BD">
        <w:t xml:space="preserve">tank </w:t>
      </w:r>
      <w:r w:rsidR="00D01A3C">
        <w:t>samples</w:t>
      </w:r>
      <w:r w:rsidR="00404828">
        <w:t xml:space="preserve"> a year</w:t>
      </w:r>
      <w:r w:rsidR="00D01A3C">
        <w:t xml:space="preserve"> </w:t>
      </w:r>
      <w:r>
        <w:t xml:space="preserve">in future, this represents </w:t>
      </w:r>
      <w:r w:rsidR="00D01A3C">
        <w:t xml:space="preserve">a more cost-effective option than AHVLA </w:t>
      </w:r>
      <w:r w:rsidR="00774E68">
        <w:t xml:space="preserve">continuing to </w:t>
      </w:r>
      <w:r w:rsidR="00D01A3C">
        <w:t xml:space="preserve">conduct </w:t>
      </w:r>
      <w:r w:rsidR="00404828">
        <w:t xml:space="preserve">quarterly </w:t>
      </w:r>
      <w:r w:rsidR="00D01A3C">
        <w:t xml:space="preserve">visits to collect </w:t>
      </w:r>
      <w:r w:rsidR="00404828">
        <w:t xml:space="preserve">all the </w:t>
      </w:r>
      <w:r w:rsidR="00D01A3C">
        <w:t>samples</w:t>
      </w:r>
      <w:r w:rsidR="00404828">
        <w:t>. It also levels the playing field with milk purchasers who are already submitting samples and meeting the costs of this</w:t>
      </w:r>
      <w:r w:rsidR="00D01A3C">
        <w:t>.</w:t>
      </w:r>
      <w:r w:rsidR="00D01A3C" w:rsidRPr="000B3598">
        <w:t xml:space="preserve"> </w:t>
      </w:r>
      <w:r w:rsidR="00D01A3C">
        <w:t>This is a</w:t>
      </w:r>
      <w:r w:rsidR="00FA7461">
        <w:t xml:space="preserve"> conclusion from the initial analysis</w:t>
      </w:r>
      <w:r w:rsidR="00D01A3C">
        <w:t xml:space="preserve"> that we intend to test with industry during consultation.</w:t>
      </w:r>
    </w:p>
    <w:p w:rsidR="005D4A97" w:rsidRDefault="005D4A97" w:rsidP="005D4A97">
      <w:pPr>
        <w:pStyle w:val="EBBullet"/>
        <w:keepNext/>
        <w:numPr>
          <w:ilvl w:val="0"/>
          <w:numId w:val="22"/>
        </w:numPr>
      </w:pPr>
      <w:r>
        <w:t>Initial discussions with Dairy UK</w:t>
      </w:r>
      <w:r w:rsidR="005761CA">
        <w:t>, the main UK dairy industry representative body,</w:t>
      </w:r>
      <w:r>
        <w:t xml:space="preserve"> suggested they would be generally supportive of the move to transfer samp</w:t>
      </w:r>
      <w:r w:rsidR="00F57106">
        <w:t xml:space="preserve">ling responsibility to producer </w:t>
      </w:r>
      <w:r>
        <w:t xml:space="preserve">retailers. </w:t>
      </w:r>
      <w:r w:rsidR="008E1AE9">
        <w:t>We understand t</w:t>
      </w:r>
      <w:r>
        <w:t>heir preferred option is a legislative amendment</w:t>
      </w:r>
      <w:r w:rsidR="0065281C">
        <w:t>,</w:t>
      </w:r>
      <w:r>
        <w:t xml:space="preserve"> so that the requirements are clear, enforceable and in line with the requirements for milk purchasers. Discussion with the </w:t>
      </w:r>
      <w:r w:rsidR="001032FE">
        <w:t>Scottish and Welsh G</w:t>
      </w:r>
      <w:r>
        <w:t xml:space="preserve">overnments indicates that making </w:t>
      </w:r>
      <w:r w:rsidR="0065281C">
        <w:t xml:space="preserve">such </w:t>
      </w:r>
      <w:r>
        <w:t xml:space="preserve">changes through legislation </w:t>
      </w:r>
      <w:r w:rsidR="00F57106">
        <w:t>is also their preferred option and indeed the Scottish Government have already implemented this.</w:t>
      </w:r>
    </w:p>
    <w:p w:rsidR="008E1AE9" w:rsidRDefault="008E1AE9" w:rsidP="00A27908">
      <w:pPr>
        <w:pStyle w:val="EBBullet"/>
        <w:keepNext/>
        <w:numPr>
          <w:ilvl w:val="0"/>
          <w:numId w:val="0"/>
        </w:numPr>
        <w:ind w:left="284" w:hanging="284"/>
        <w:rPr>
          <w:b/>
        </w:rPr>
      </w:pPr>
    </w:p>
    <w:p w:rsidR="00A27908" w:rsidRPr="007A058B" w:rsidRDefault="00A27908" w:rsidP="00A27908">
      <w:pPr>
        <w:pStyle w:val="EBBullet"/>
        <w:keepNext/>
        <w:numPr>
          <w:ilvl w:val="0"/>
          <w:numId w:val="0"/>
        </w:numPr>
        <w:ind w:left="284" w:hanging="284"/>
        <w:rPr>
          <w:b/>
        </w:rPr>
      </w:pPr>
      <w:r>
        <w:rPr>
          <w:b/>
        </w:rPr>
        <w:t>One-In-</w:t>
      </w:r>
      <w:r w:rsidR="000D61DE">
        <w:rPr>
          <w:b/>
        </w:rPr>
        <w:t>Two</w:t>
      </w:r>
      <w:r>
        <w:rPr>
          <w:b/>
        </w:rPr>
        <w:t>-Out</w:t>
      </w:r>
    </w:p>
    <w:p w:rsidR="008D3B1A" w:rsidRDefault="00A27908" w:rsidP="00A27908">
      <w:pPr>
        <w:pStyle w:val="EBBullet"/>
        <w:keepNext/>
        <w:numPr>
          <w:ilvl w:val="0"/>
          <w:numId w:val="22"/>
        </w:numPr>
      </w:pPr>
      <w:r>
        <w:t>T</w:t>
      </w:r>
      <w:r w:rsidRPr="00E15EDC">
        <w:t>h</w:t>
      </w:r>
      <w:r w:rsidR="008E56BD">
        <w:t>is is a national measure which fal</w:t>
      </w:r>
      <w:r>
        <w:t>l</w:t>
      </w:r>
      <w:r w:rsidR="008E56BD">
        <w:t>s</w:t>
      </w:r>
      <w:r>
        <w:t xml:space="preserve"> within</w:t>
      </w:r>
      <w:r w:rsidRPr="00E15EDC">
        <w:t xml:space="preserve"> the scope of One-In-</w:t>
      </w:r>
      <w:r w:rsidR="000D61DE">
        <w:t>Two</w:t>
      </w:r>
      <w:r w:rsidRPr="00E15EDC">
        <w:t>-Out</w:t>
      </w:r>
      <w:r>
        <w:t xml:space="preserve"> (OI</w:t>
      </w:r>
      <w:r w:rsidR="000D61DE">
        <w:t>T</w:t>
      </w:r>
      <w:r>
        <w:t>O) rules.</w:t>
      </w:r>
      <w:r w:rsidR="00ED7F16">
        <w:rPr>
          <w:rStyle w:val="FootnoteReference"/>
        </w:rPr>
        <w:footnoteReference w:id="19"/>
      </w:r>
      <w:r>
        <w:t xml:space="preserve"> </w:t>
      </w:r>
      <w:r w:rsidR="008E56BD">
        <w:t>The net impact of the measures results in lower costs to business and should be scored as an “OUT”.</w:t>
      </w:r>
      <w:r w:rsidR="0061244E">
        <w:t xml:space="preserve"> </w:t>
      </w:r>
      <w:r w:rsidR="007915EA">
        <w:t xml:space="preserve"> </w:t>
      </w:r>
    </w:p>
    <w:p w:rsidR="00746923" w:rsidRDefault="00746923" w:rsidP="00A27908">
      <w:pPr>
        <w:pStyle w:val="EBBullet"/>
        <w:keepNext/>
        <w:numPr>
          <w:ilvl w:val="0"/>
          <w:numId w:val="22"/>
        </w:numPr>
      </w:pPr>
      <w:r>
        <w:t>The decision has been taken to produce one Impact Assessment to cover both the reduction in frequency of bulk milk</w:t>
      </w:r>
      <w:r w:rsidR="008E56BD">
        <w:t xml:space="preserve"> tank</w:t>
      </w:r>
      <w:r>
        <w:t xml:space="preserve"> testing and the proposed change in milk </w:t>
      </w:r>
      <w:r w:rsidR="008E56BD">
        <w:t xml:space="preserve">tank </w:t>
      </w:r>
      <w:r>
        <w:t>sam</w:t>
      </w:r>
      <w:r w:rsidR="00F57106">
        <w:t xml:space="preserve">pling arrangements for producer </w:t>
      </w:r>
      <w:r>
        <w:t>retailers. This is so that the net impact of the two changes is clear. Furthermore, the impact of the second measure is assessed to be very small, meaning that it is considered disproportionate (in terms of</w:t>
      </w:r>
      <w:r w:rsidR="002E3227">
        <w:t xml:space="preserve"> staff</w:t>
      </w:r>
      <w:r>
        <w:t xml:space="preserve"> time) to prepare and seek clearance for two separate Impact Assessments.</w:t>
      </w:r>
      <w:r w:rsidR="00A71A03">
        <w:t xml:space="preserve"> We received confirmation that this approach is acceptable from the Better Regulation Executive on 27</w:t>
      </w:r>
      <w:r w:rsidR="00A71A03" w:rsidRPr="00A71A03">
        <w:rPr>
          <w:vertAlign w:val="superscript"/>
        </w:rPr>
        <w:t>th</w:t>
      </w:r>
      <w:r w:rsidR="00A71A03">
        <w:t xml:space="preserve"> June 2013. </w:t>
      </w:r>
    </w:p>
    <w:p w:rsidR="00A27908" w:rsidRDefault="00A27908" w:rsidP="00A27908">
      <w:pPr>
        <w:pStyle w:val="EBBullet"/>
        <w:keepNext/>
        <w:numPr>
          <w:ilvl w:val="0"/>
          <w:numId w:val="0"/>
        </w:numPr>
        <w:ind w:left="284" w:hanging="284"/>
        <w:rPr>
          <w:b/>
          <w:sz w:val="24"/>
          <w:szCs w:val="24"/>
        </w:rPr>
      </w:pPr>
    </w:p>
    <w:p w:rsidR="00A27908" w:rsidRPr="00FD1536" w:rsidRDefault="00A27908" w:rsidP="00A27908">
      <w:pPr>
        <w:pStyle w:val="EBBullet"/>
        <w:keepNext/>
        <w:numPr>
          <w:ilvl w:val="0"/>
          <w:numId w:val="0"/>
        </w:numPr>
        <w:ind w:left="284" w:hanging="284"/>
        <w:rPr>
          <w:b/>
          <w:sz w:val="24"/>
          <w:szCs w:val="24"/>
        </w:rPr>
      </w:pPr>
      <w:r w:rsidRPr="00FD1536">
        <w:rPr>
          <w:b/>
          <w:sz w:val="24"/>
          <w:szCs w:val="24"/>
        </w:rPr>
        <w:t xml:space="preserve">Wider impacts </w:t>
      </w:r>
    </w:p>
    <w:p w:rsidR="00A27908" w:rsidRPr="00FD1536" w:rsidRDefault="00A27908" w:rsidP="00A27908">
      <w:pPr>
        <w:pStyle w:val="EBBullet"/>
        <w:keepNext/>
        <w:numPr>
          <w:ilvl w:val="0"/>
          <w:numId w:val="22"/>
        </w:numPr>
      </w:pPr>
      <w:r w:rsidRPr="00B30380">
        <w:rPr>
          <w:u w:val="single"/>
        </w:rPr>
        <w:t>Small firm’s impact test</w:t>
      </w:r>
      <w:r>
        <w:t xml:space="preserve">: Altering the testing frequency reduces the impact on all </w:t>
      </w:r>
      <w:r w:rsidR="0031396B">
        <w:t xml:space="preserve">affected </w:t>
      </w:r>
      <w:r>
        <w:t xml:space="preserve">businesses regardless of size. The introduction of a requirement </w:t>
      </w:r>
      <w:r w:rsidR="0031396B">
        <w:t>for</w:t>
      </w:r>
      <w:r>
        <w:t xml:space="preserve"> producer retailers (all falling under the definition of micro businesses) to submit </w:t>
      </w:r>
      <w:r w:rsidR="0031396B">
        <w:t xml:space="preserve">bulk </w:t>
      </w:r>
      <w:r>
        <w:t xml:space="preserve">milk </w:t>
      </w:r>
      <w:r w:rsidR="008E56BD">
        <w:t xml:space="preserve">tank </w:t>
      </w:r>
      <w:r>
        <w:t xml:space="preserve">samples </w:t>
      </w:r>
      <w:r w:rsidR="006B50C0">
        <w:t>w</w:t>
      </w:r>
      <w:r>
        <w:t>ould impose a new statutory responsibility</w:t>
      </w:r>
      <w:r w:rsidR="00CE209E">
        <w:t>, representing a very small cost to these businesses</w:t>
      </w:r>
      <w:r>
        <w:t>.</w:t>
      </w:r>
      <w:r w:rsidRPr="00B30380">
        <w:t xml:space="preserve"> </w:t>
      </w:r>
      <w:r>
        <w:t xml:space="preserve">There are options </w:t>
      </w:r>
      <w:r w:rsidR="00F57106">
        <w:t xml:space="preserve">open to producer </w:t>
      </w:r>
      <w:r w:rsidR="005761CA">
        <w:t xml:space="preserve">retailers </w:t>
      </w:r>
      <w:r>
        <w:t xml:space="preserve">to reduce </w:t>
      </w:r>
      <w:r w:rsidR="00E94C19">
        <w:t xml:space="preserve">these </w:t>
      </w:r>
      <w:r>
        <w:t>costs</w:t>
      </w:r>
      <w:r w:rsidR="005761CA">
        <w:t>. For example</w:t>
      </w:r>
      <w:r>
        <w:t xml:space="preserve">, by utilising </w:t>
      </w:r>
      <w:r w:rsidR="005761CA">
        <w:t xml:space="preserve">the </w:t>
      </w:r>
      <w:r>
        <w:t>private laboratories</w:t>
      </w:r>
      <w:r w:rsidR="005761CA">
        <w:t xml:space="preserve"> to which they normally send samples (e.g. for quality/microbiological testing),</w:t>
      </w:r>
      <w:r>
        <w:t xml:space="preserve"> the collection </w:t>
      </w:r>
      <w:r w:rsidR="005761CA">
        <w:t xml:space="preserve">and transfer </w:t>
      </w:r>
      <w:r>
        <w:t>of bulk milk samples</w:t>
      </w:r>
      <w:r w:rsidR="005761CA">
        <w:t xml:space="preserve"> to the testing laboratory</w:t>
      </w:r>
      <w:r w:rsidR="00C011B6">
        <w:t xml:space="preserve"> can be streamlined</w:t>
      </w:r>
      <w:r>
        <w:t>.</w:t>
      </w:r>
    </w:p>
    <w:p w:rsidR="00A27908" w:rsidRDefault="00A27908" w:rsidP="00A27908">
      <w:pPr>
        <w:pStyle w:val="EBBullet"/>
        <w:keepNext/>
        <w:numPr>
          <w:ilvl w:val="0"/>
          <w:numId w:val="22"/>
        </w:numPr>
      </w:pPr>
      <w:r w:rsidRPr="00167160">
        <w:rPr>
          <w:u w:val="single"/>
        </w:rPr>
        <w:t>Greenhouse Gas</w:t>
      </w:r>
      <w:r>
        <w:t>: Th</w:t>
      </w:r>
      <w:r w:rsidR="00DE5B06">
        <w:t>e preferred option</w:t>
      </w:r>
      <w:r>
        <w:t xml:space="preserve"> </w:t>
      </w:r>
      <w:r w:rsidR="00DE5B06">
        <w:t>would</w:t>
      </w:r>
      <w:r>
        <w:t xml:space="preserve"> reduce the frequency of testing from monthly to quarterly</w:t>
      </w:r>
      <w:r w:rsidR="00DE5B06">
        <w:t xml:space="preserve">, in turn likely to result in reduced </w:t>
      </w:r>
      <w:r>
        <w:t>gas emissions</w:t>
      </w:r>
      <w:r w:rsidR="00DE5B06">
        <w:t xml:space="preserve"> </w:t>
      </w:r>
      <w:r w:rsidR="00E66BF7">
        <w:t xml:space="preserve">through the reduction in transport costs and </w:t>
      </w:r>
      <w:r w:rsidR="00DE5B06">
        <w:t xml:space="preserve">the number of </w:t>
      </w:r>
      <w:r w:rsidR="00E66BF7">
        <w:t xml:space="preserve">AHVLA </w:t>
      </w:r>
      <w:r w:rsidR="00F57106">
        <w:t xml:space="preserve">producer </w:t>
      </w:r>
      <w:r w:rsidR="00DE5B06">
        <w:t xml:space="preserve">retailer sampling </w:t>
      </w:r>
      <w:r w:rsidR="00E66BF7">
        <w:t xml:space="preserve">visits. </w:t>
      </w:r>
      <w:r>
        <w:t xml:space="preserve">Ceasing bulk milk </w:t>
      </w:r>
      <w:r w:rsidR="008E56BD">
        <w:t xml:space="preserve">tank </w:t>
      </w:r>
      <w:r>
        <w:t>testing could increase the risk of a disease incursion</w:t>
      </w:r>
      <w:r w:rsidR="00C011B6">
        <w:t xml:space="preserve"> becoming established. This in turn </w:t>
      </w:r>
      <w:r>
        <w:t xml:space="preserve">may impact slightly on greenhouse gas emissions through the additional costs and effort to eradicate the disease. </w:t>
      </w:r>
      <w:r w:rsidR="00DE5B06">
        <w:t>However, this risk is considered to be low.</w:t>
      </w:r>
    </w:p>
    <w:p w:rsidR="00A27908" w:rsidRDefault="00A27908" w:rsidP="00A27908">
      <w:pPr>
        <w:pStyle w:val="EBBullet"/>
        <w:keepNext/>
        <w:numPr>
          <w:ilvl w:val="0"/>
          <w:numId w:val="22"/>
        </w:numPr>
      </w:pPr>
      <w:r w:rsidRPr="00167160">
        <w:rPr>
          <w:u w:val="single"/>
        </w:rPr>
        <w:t>Wider Environmental issues</w:t>
      </w:r>
      <w:r w:rsidR="00013D1A">
        <w:rPr>
          <w:u w:val="single"/>
        </w:rPr>
        <w:t xml:space="preserve"> - </w:t>
      </w:r>
      <w:r w:rsidRPr="00167160">
        <w:rPr>
          <w:u w:val="single"/>
        </w:rPr>
        <w:t>animal health and welfare</w:t>
      </w:r>
      <w:r>
        <w:t>: The reduction in frequency of testing will increase the possible time to detect an incursion</w:t>
      </w:r>
      <w:r w:rsidR="0031396B">
        <w:t xml:space="preserve">. </w:t>
      </w:r>
      <w:r>
        <w:t>However, detection would still</w:t>
      </w:r>
      <w:r w:rsidR="0051408A">
        <w:t xml:space="preserve"> generally</w:t>
      </w:r>
      <w:r>
        <w:t xml:space="preserve"> be within a timeframe that would enable controls to be </w:t>
      </w:r>
      <w:r w:rsidR="00E34B19">
        <w:t xml:space="preserve">put in place </w:t>
      </w:r>
      <w:r>
        <w:t>to prevent wide scale dissemination of infection</w:t>
      </w:r>
      <w:r w:rsidR="0031396B">
        <w:t xml:space="preserve">. </w:t>
      </w:r>
      <w:r>
        <w:t xml:space="preserve">Ceasing milk testing </w:t>
      </w:r>
      <w:r w:rsidR="00C011B6">
        <w:t xml:space="preserve">altogether </w:t>
      </w:r>
      <w:r>
        <w:t xml:space="preserve">would increase the risk of a case of disease </w:t>
      </w:r>
      <w:r w:rsidR="006C2CBC">
        <w:t xml:space="preserve">remaining </w:t>
      </w:r>
      <w:r>
        <w:t>undetected and becoming widely spread in GB</w:t>
      </w:r>
      <w:r w:rsidR="00C011B6">
        <w:t>,</w:t>
      </w:r>
      <w:r>
        <w:t xml:space="preserve"> which could have severe impacts on animal health and welfare</w:t>
      </w:r>
      <w:r w:rsidR="00E34B19">
        <w:t xml:space="preserve">. </w:t>
      </w:r>
    </w:p>
    <w:p w:rsidR="0027739B" w:rsidRDefault="00A27908" w:rsidP="00A27908">
      <w:pPr>
        <w:pStyle w:val="EBBullet"/>
        <w:keepNext/>
        <w:numPr>
          <w:ilvl w:val="0"/>
          <w:numId w:val="22"/>
        </w:numPr>
      </w:pPr>
      <w:r w:rsidRPr="00167160">
        <w:rPr>
          <w:u w:val="single"/>
        </w:rPr>
        <w:t>Health and welfare:</w:t>
      </w:r>
      <w:r w:rsidRPr="0027739B">
        <w:t xml:space="preserve"> </w:t>
      </w:r>
      <w:r>
        <w:t xml:space="preserve"> </w:t>
      </w:r>
      <w:r w:rsidR="00C011B6">
        <w:t>In the event that</w:t>
      </w:r>
      <w:r>
        <w:t xml:space="preserve"> disease</w:t>
      </w:r>
      <w:r w:rsidR="00C011B6">
        <w:t xml:space="preserve"> is confirmed in a herd</w:t>
      </w:r>
      <w:r>
        <w:t>, the Consultant in Communicable Disease Control (CCDC) has to be informed; the farmer advised not to drink raw milk</w:t>
      </w:r>
      <w:r w:rsidR="0027739B">
        <w:t>,</w:t>
      </w:r>
      <w:r>
        <w:t xml:space="preserve"> or offer it to his family, employees or visitors. </w:t>
      </w:r>
      <w:r w:rsidR="00C011B6">
        <w:t xml:space="preserve">This is particularly important where all milk from the herd is not routinely pasteurised. </w:t>
      </w:r>
      <w:r w:rsidR="009D2334">
        <w:t>A wide</w:t>
      </w:r>
      <w:r w:rsidR="006A6F33">
        <w:t xml:space="preserve"> </w:t>
      </w:r>
      <w:r w:rsidR="009D2334">
        <w:t>scale investigation would need to be conducted by the CCDC</w:t>
      </w:r>
      <w:r w:rsidR="006A6F33">
        <w:t>,</w:t>
      </w:r>
      <w:r w:rsidR="009D2334">
        <w:t xml:space="preserve"> costing </w:t>
      </w:r>
      <w:r w:rsidR="00C011B6">
        <w:t>public health services</w:t>
      </w:r>
      <w:r w:rsidR="009D2334">
        <w:t xml:space="preserve"> considerable time and resource to identify and </w:t>
      </w:r>
      <w:r w:rsidR="00475A32">
        <w:t xml:space="preserve">possibly </w:t>
      </w:r>
      <w:r w:rsidR="009D2334">
        <w:t xml:space="preserve">treat exposed people, particularly </w:t>
      </w:r>
      <w:r w:rsidR="006A6F33">
        <w:t>those who</w:t>
      </w:r>
      <w:r w:rsidR="0027739B">
        <w:t xml:space="preserve"> consume</w:t>
      </w:r>
      <w:r w:rsidR="00D71375">
        <w:t>d</w:t>
      </w:r>
      <w:r w:rsidR="0027739B">
        <w:t xml:space="preserve"> unpasteurised milk. </w:t>
      </w:r>
      <w:r w:rsidR="00D71375">
        <w:t>However, i</w:t>
      </w:r>
      <w:r>
        <w:t xml:space="preserve">t is believed that changing the frequency of </w:t>
      </w:r>
      <w:r w:rsidR="0027739B">
        <w:t xml:space="preserve">bulk milk </w:t>
      </w:r>
      <w:r>
        <w:t>testing</w:t>
      </w:r>
      <w:r w:rsidR="0027739B">
        <w:t xml:space="preserve"> to quarterly</w:t>
      </w:r>
      <w:r>
        <w:t xml:space="preserve"> would not significantly impact on the probability of</w:t>
      </w:r>
      <w:r w:rsidR="00E94C19">
        <w:t xml:space="preserve"> cases of disease in animals or </w:t>
      </w:r>
      <w:r>
        <w:t>human infection</w:t>
      </w:r>
      <w:r w:rsidR="00C011B6">
        <w:t xml:space="preserve"> occur</w:t>
      </w:r>
      <w:r w:rsidR="001A5C37">
        <w:t>r</w:t>
      </w:r>
      <w:r w:rsidR="00C011B6">
        <w:t>ing</w:t>
      </w:r>
      <w:r>
        <w:t xml:space="preserve">. </w:t>
      </w:r>
    </w:p>
    <w:p w:rsidR="00A27908" w:rsidRDefault="00A27908" w:rsidP="0027739B">
      <w:pPr>
        <w:pStyle w:val="EBBullet"/>
        <w:keepNext/>
        <w:numPr>
          <w:ilvl w:val="0"/>
          <w:numId w:val="0"/>
        </w:numPr>
        <w:ind w:left="360"/>
      </w:pPr>
      <w:r>
        <w:t xml:space="preserve">Ceasing milk testing </w:t>
      </w:r>
      <w:r w:rsidR="00D71375">
        <w:t xml:space="preserve">altogether </w:t>
      </w:r>
      <w:r w:rsidR="00C011B6">
        <w:t>may</w:t>
      </w:r>
      <w:r>
        <w:t xml:space="preserve"> increase</w:t>
      </w:r>
      <w:r w:rsidR="00C011B6">
        <w:t xml:space="preserve"> the</w:t>
      </w:r>
      <w:r w:rsidR="0027739B">
        <w:t xml:space="preserve"> risk</w:t>
      </w:r>
      <w:r>
        <w:t xml:space="preserve"> of</w:t>
      </w:r>
      <w:r w:rsidR="00C011B6">
        <w:t xml:space="preserve"> spread following the </w:t>
      </w:r>
      <w:r>
        <w:t xml:space="preserve">introduction of </w:t>
      </w:r>
      <w:r w:rsidRPr="00C011B6">
        <w:rPr>
          <w:i/>
        </w:rPr>
        <w:t>Brucella abortus</w:t>
      </w:r>
      <w:r w:rsidR="00C011B6">
        <w:t xml:space="preserve">. </w:t>
      </w:r>
      <w:r w:rsidR="0027739B">
        <w:t xml:space="preserve">However, </w:t>
      </w:r>
      <w:r w:rsidR="00C011B6">
        <w:t xml:space="preserve">given the </w:t>
      </w:r>
      <w:r w:rsidR="00025A1A">
        <w:t>low</w:t>
      </w:r>
      <w:r>
        <w:t xml:space="preserve"> risk of importation in live cattle</w:t>
      </w:r>
      <w:r w:rsidR="0027739B">
        <w:t xml:space="preserve"> and other</w:t>
      </w:r>
      <w:r w:rsidR="00C011B6">
        <w:t xml:space="preserve"> importation and</w:t>
      </w:r>
      <w:r w:rsidR="0027739B">
        <w:t xml:space="preserve"> </w:t>
      </w:r>
      <w:r>
        <w:t>surveillance control measures in place</w:t>
      </w:r>
      <w:r w:rsidR="0027739B">
        <w:t xml:space="preserve">, this is considered to be </w:t>
      </w:r>
      <w:r w:rsidR="00C011B6">
        <w:t xml:space="preserve">of </w:t>
      </w:r>
      <w:r w:rsidR="0027739B">
        <w:t xml:space="preserve">low risk. </w:t>
      </w:r>
    </w:p>
    <w:p w:rsidR="00A27908" w:rsidRDefault="00A27908" w:rsidP="00A27908">
      <w:pPr>
        <w:pStyle w:val="EBBullet"/>
        <w:keepNext/>
        <w:numPr>
          <w:ilvl w:val="0"/>
          <w:numId w:val="22"/>
        </w:numPr>
      </w:pPr>
      <w:r w:rsidRPr="00167160">
        <w:rPr>
          <w:u w:val="single"/>
        </w:rPr>
        <w:t>Justice Impact:</w:t>
      </w:r>
      <w:r w:rsidRPr="00D71375">
        <w:t xml:space="preserve"> </w:t>
      </w:r>
    </w:p>
    <w:bookmarkEnd w:id="28"/>
    <w:p w:rsidR="00A27908" w:rsidRDefault="008E1AE9" w:rsidP="008E1AE9">
      <w:pPr>
        <w:pStyle w:val="EBBullet"/>
        <w:keepNext/>
        <w:numPr>
          <w:ilvl w:val="0"/>
          <w:numId w:val="0"/>
        </w:numPr>
        <w:ind w:left="360"/>
      </w:pPr>
      <w:r>
        <w:t xml:space="preserve">Whilst the existing offence in the Brucellosis Order will </w:t>
      </w:r>
      <w:r w:rsidR="00F57106">
        <w:t xml:space="preserve">be extended to include producer </w:t>
      </w:r>
      <w:r>
        <w:t xml:space="preserve">retailers, it is not anticipated that the change in policy approach will have an impact on the Courts and Tribunals Service or National Offender Management Service. This is because we consider the risk of non-compliance to be low; particularly as maintaining OBF status results in trade benefits for industry. </w:t>
      </w:r>
      <w:r w:rsidR="008E688E">
        <w:t>Clearance was obtained from the Ministry of Justice on the 17</w:t>
      </w:r>
      <w:r w:rsidR="008E688E" w:rsidRPr="008E688E">
        <w:rPr>
          <w:vertAlign w:val="superscript"/>
        </w:rPr>
        <w:t>th</w:t>
      </w:r>
      <w:r w:rsidR="008E688E">
        <w:t xml:space="preserve"> February 2014.</w:t>
      </w:r>
    </w:p>
    <w:p w:rsidR="00A21C39" w:rsidRDefault="00A21C39" w:rsidP="00A27908"/>
    <w:p w:rsidR="00A21C39" w:rsidRDefault="00A21C39" w:rsidP="00A27908"/>
    <w:p w:rsidR="001A5C37" w:rsidRDefault="001A5C37">
      <w:pPr>
        <w:rPr>
          <w:b/>
        </w:rPr>
      </w:pPr>
      <w:r>
        <w:rPr>
          <w:b/>
        </w:rPr>
        <w:br w:type="page"/>
      </w:r>
    </w:p>
    <w:p w:rsidR="00A7439C" w:rsidRDefault="00A7439C" w:rsidP="00A27908">
      <w:pPr>
        <w:rPr>
          <w:b/>
        </w:rPr>
      </w:pPr>
    </w:p>
    <w:p w:rsidR="00A21C39" w:rsidRDefault="00A21C39" w:rsidP="00A27908">
      <w:pPr>
        <w:rPr>
          <w:b/>
        </w:rPr>
      </w:pPr>
      <w:r>
        <w:rPr>
          <w:b/>
        </w:rPr>
        <w:t>Annex 1: Ranges for the benefits of each policy option</w:t>
      </w:r>
    </w:p>
    <w:p w:rsidR="00A21C39" w:rsidRDefault="00A21C39" w:rsidP="00A27908">
      <w:pPr>
        <w:rPr>
          <w:b/>
        </w:rPr>
      </w:pPr>
    </w:p>
    <w:p w:rsidR="00192519" w:rsidRPr="00A7439C" w:rsidRDefault="00E343F0" w:rsidP="00A27908">
      <w:pPr>
        <w:rPr>
          <w:sz w:val="22"/>
          <w:szCs w:val="22"/>
        </w:rPr>
      </w:pPr>
      <w:r w:rsidRPr="00E343F0">
        <w:rPr>
          <w:sz w:val="22"/>
          <w:szCs w:val="22"/>
        </w:rPr>
        <w:t>A range of benefits is given</w:t>
      </w:r>
      <w:r w:rsidR="00FA7461">
        <w:rPr>
          <w:sz w:val="22"/>
          <w:szCs w:val="22"/>
        </w:rPr>
        <w:t>,</w:t>
      </w:r>
      <w:r w:rsidRPr="00E343F0">
        <w:rPr>
          <w:sz w:val="22"/>
          <w:szCs w:val="22"/>
        </w:rPr>
        <w:t xml:space="preserve"> as the number of milk tanks/vats in England</w:t>
      </w:r>
      <w:r w:rsidR="00C1206F">
        <w:rPr>
          <w:sz w:val="22"/>
          <w:szCs w:val="22"/>
        </w:rPr>
        <w:t xml:space="preserve"> and Wales</w:t>
      </w:r>
      <w:r w:rsidRPr="00E343F0">
        <w:rPr>
          <w:sz w:val="22"/>
          <w:szCs w:val="22"/>
        </w:rPr>
        <w:t xml:space="preserve"> from which samples are taken is uncertain. The high estimate of 1</w:t>
      </w:r>
      <w:r w:rsidR="00C1206F">
        <w:rPr>
          <w:sz w:val="22"/>
          <w:szCs w:val="22"/>
        </w:rPr>
        <w:t>4</w:t>
      </w:r>
      <w:r w:rsidRPr="00E343F0">
        <w:rPr>
          <w:sz w:val="22"/>
          <w:szCs w:val="22"/>
        </w:rPr>
        <w:t>,</w:t>
      </w:r>
      <w:r w:rsidR="00C1206F">
        <w:rPr>
          <w:sz w:val="22"/>
          <w:szCs w:val="22"/>
        </w:rPr>
        <w:t>1</w:t>
      </w:r>
      <w:r w:rsidRPr="00E343F0">
        <w:rPr>
          <w:sz w:val="22"/>
          <w:szCs w:val="22"/>
        </w:rPr>
        <w:t xml:space="preserve">00 </w:t>
      </w:r>
      <w:r w:rsidR="00C011B6">
        <w:rPr>
          <w:sz w:val="22"/>
          <w:szCs w:val="22"/>
        </w:rPr>
        <w:t xml:space="preserve">milk tanks/vats </w:t>
      </w:r>
      <w:r w:rsidRPr="00E343F0">
        <w:rPr>
          <w:sz w:val="22"/>
          <w:szCs w:val="22"/>
        </w:rPr>
        <w:t>was a preliminary estimate provided by AHVLA. The low estimate of 10,4</w:t>
      </w:r>
      <w:r w:rsidR="00C1206F">
        <w:rPr>
          <w:sz w:val="22"/>
          <w:szCs w:val="22"/>
        </w:rPr>
        <w:t>16</w:t>
      </w:r>
      <w:r w:rsidRPr="00E343F0">
        <w:rPr>
          <w:sz w:val="22"/>
          <w:szCs w:val="22"/>
        </w:rPr>
        <w:t xml:space="preserve"> </w:t>
      </w:r>
      <w:r w:rsidR="00C011B6">
        <w:rPr>
          <w:sz w:val="22"/>
          <w:szCs w:val="22"/>
        </w:rPr>
        <w:t xml:space="preserve">milk tanks/vats </w:t>
      </w:r>
      <w:r w:rsidRPr="00E343F0">
        <w:rPr>
          <w:sz w:val="22"/>
          <w:szCs w:val="22"/>
        </w:rPr>
        <w:t>is based on the number of holdings in England and Wales</w:t>
      </w:r>
      <w:r w:rsidR="00082B69">
        <w:rPr>
          <w:sz w:val="22"/>
          <w:szCs w:val="22"/>
        </w:rPr>
        <w:t xml:space="preserve">. </w:t>
      </w:r>
      <w:r w:rsidRPr="00E343F0">
        <w:rPr>
          <w:sz w:val="22"/>
          <w:szCs w:val="22"/>
        </w:rPr>
        <w:t xml:space="preserve">The best estimate, used in the analysis above, is </w:t>
      </w:r>
      <w:r w:rsidR="00C1206F">
        <w:rPr>
          <w:sz w:val="22"/>
          <w:szCs w:val="22"/>
        </w:rPr>
        <w:t>11,117</w:t>
      </w:r>
      <w:r w:rsidR="00082B69">
        <w:rPr>
          <w:sz w:val="22"/>
          <w:szCs w:val="22"/>
        </w:rPr>
        <w:t xml:space="preserve"> milk tanks/vats in England</w:t>
      </w:r>
      <w:r w:rsidR="00C1206F">
        <w:rPr>
          <w:sz w:val="22"/>
          <w:szCs w:val="22"/>
        </w:rPr>
        <w:t xml:space="preserve"> and Wales</w:t>
      </w:r>
      <w:r w:rsidR="00E20E66">
        <w:rPr>
          <w:sz w:val="22"/>
          <w:szCs w:val="22"/>
        </w:rPr>
        <w:t>,</w:t>
      </w:r>
      <w:r w:rsidR="00C1206F">
        <w:rPr>
          <w:sz w:val="22"/>
          <w:szCs w:val="22"/>
        </w:rPr>
        <w:t xml:space="preserve"> with an </w:t>
      </w:r>
      <w:r w:rsidRPr="00E343F0">
        <w:rPr>
          <w:sz w:val="22"/>
          <w:szCs w:val="22"/>
        </w:rPr>
        <w:t>estimate of the number of holdings with more than one tank.</w:t>
      </w:r>
      <w:r w:rsidR="008E56BD">
        <w:rPr>
          <w:sz w:val="22"/>
          <w:szCs w:val="22"/>
        </w:rPr>
        <w:t xml:space="preserve"> (Source: AHVLA management records, incorporating data from National Milk Records). </w:t>
      </w:r>
    </w:p>
    <w:p w:rsidR="00192519" w:rsidRDefault="00192519" w:rsidP="00A27908">
      <w:pPr>
        <w:rPr>
          <w:sz w:val="22"/>
          <w:szCs w:val="22"/>
          <w:u w:val="single"/>
        </w:rPr>
      </w:pPr>
    </w:p>
    <w:p w:rsidR="00A21C39" w:rsidRDefault="00E343F0" w:rsidP="00A27908">
      <w:pPr>
        <w:rPr>
          <w:sz w:val="22"/>
          <w:szCs w:val="22"/>
          <w:u w:val="single"/>
        </w:rPr>
      </w:pPr>
      <w:r w:rsidRPr="00E343F0">
        <w:rPr>
          <w:sz w:val="22"/>
          <w:szCs w:val="22"/>
          <w:u w:val="single"/>
        </w:rPr>
        <w:t xml:space="preserve">Table A1: </w:t>
      </w:r>
      <w:r w:rsidR="00A21C39">
        <w:rPr>
          <w:sz w:val="22"/>
          <w:szCs w:val="22"/>
          <w:u w:val="single"/>
        </w:rPr>
        <w:t>Benefits of Option 1 (high estimate)</w:t>
      </w:r>
    </w:p>
    <w:p w:rsidR="00A21C39" w:rsidRDefault="00A21C39" w:rsidP="00A27908">
      <w:pPr>
        <w:rPr>
          <w:sz w:val="22"/>
          <w:szCs w:val="22"/>
          <w:u w:val="single"/>
        </w:rPr>
      </w:pP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2B6A18" w:rsidRPr="002B6A18" w:rsidTr="002B6A18">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Total</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85552</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114070</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1112179</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Staff time accompanying AHVLA visits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3769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48999</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Industry Total:</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89321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119095</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1161178</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nil"/>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307178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409571</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3993318</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AHVLA visits to producer retailers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47743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620658</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Gov. Total:</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354921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473228</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4613976</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benefits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444243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592324</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5775154</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444243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572293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552940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534242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516176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498721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481856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465561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449817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434606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4950454</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Direct submission of samples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1200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15605</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3050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39646</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costs</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4250</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55251</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4250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5475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5290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5111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4938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4771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4610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4454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4303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4158</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47361</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net value</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439993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586657</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5719904</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NPV: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439993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566818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547650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529131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511237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493949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477246</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461107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445514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430448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4903093</w:t>
            </w:r>
          </w:p>
        </w:tc>
      </w:tr>
    </w:tbl>
    <w:p w:rsidR="00F23B9B" w:rsidRDefault="00F23B9B" w:rsidP="00A27908">
      <w:pPr>
        <w:rPr>
          <w:sz w:val="22"/>
          <w:szCs w:val="22"/>
          <w:u w:val="single"/>
        </w:rPr>
      </w:pPr>
    </w:p>
    <w:p w:rsidR="00A21C39" w:rsidRDefault="00A21C39" w:rsidP="00A27908">
      <w:pPr>
        <w:rPr>
          <w:sz w:val="22"/>
          <w:szCs w:val="22"/>
          <w:u w:val="single"/>
        </w:rPr>
      </w:pPr>
      <w:r>
        <w:rPr>
          <w:sz w:val="22"/>
          <w:szCs w:val="22"/>
          <w:u w:val="single"/>
        </w:rPr>
        <w:t>Table A2: Benefits of Option 1 (low estimate)</w:t>
      </w:r>
    </w:p>
    <w:p w:rsidR="00A21C39" w:rsidRDefault="00A21C39" w:rsidP="00A27908">
      <w:pPr>
        <w:rPr>
          <w:sz w:val="22"/>
          <w:szCs w:val="22"/>
          <w:u w:val="single"/>
        </w:rPr>
      </w:pP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2B6A18" w:rsidRPr="002B6A18" w:rsidTr="002B6A18">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Total</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59725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79633</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776420</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Staff time accompanying AHVLA visits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3769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5026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48999</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Industry Total:</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63494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84658</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825419</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nil"/>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280557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374076</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3647242</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AHVLA visits to producer retailers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47743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63657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620658</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Gov. Total:</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328300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437733</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4267900</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benefits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391794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522392</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5093319</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391794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504726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487658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471167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455234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439840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424966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410595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396710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383295</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4365986</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Direct submission of samples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1200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1601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15605</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3050</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4066</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39646</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costs</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4250</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60" w:type="dxa"/>
            <w:tcBorders>
              <w:top w:val="single" w:sz="4" w:space="0" w:color="auto"/>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5667</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55251</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4250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5475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5290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5111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4938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4771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4610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4454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4303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4158</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47361</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net value</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387544</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516725</w:t>
            </w:r>
          </w:p>
        </w:tc>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5038068</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NPV: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387544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499251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482368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466056</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450296</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435069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420356</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406141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392407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379137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4318625</w:t>
            </w:r>
          </w:p>
        </w:tc>
      </w:tr>
    </w:tbl>
    <w:p w:rsidR="00900413" w:rsidRDefault="00900413" w:rsidP="00A27908">
      <w:pPr>
        <w:rPr>
          <w:sz w:val="22"/>
          <w:szCs w:val="22"/>
          <w:u w:val="single"/>
        </w:rPr>
      </w:pPr>
    </w:p>
    <w:p w:rsidR="002B6A18" w:rsidRDefault="002B6A18" w:rsidP="00A27908">
      <w:pPr>
        <w:rPr>
          <w:sz w:val="22"/>
          <w:szCs w:val="22"/>
          <w:u w:val="single"/>
        </w:rPr>
      </w:pPr>
    </w:p>
    <w:p w:rsidR="002B6A18" w:rsidRDefault="002B6A18" w:rsidP="00A27908">
      <w:pPr>
        <w:rPr>
          <w:sz w:val="22"/>
          <w:szCs w:val="22"/>
          <w:u w:val="single"/>
        </w:rPr>
      </w:pPr>
    </w:p>
    <w:p w:rsidR="002B6A18" w:rsidRDefault="002B6A18" w:rsidP="00A27908">
      <w:pPr>
        <w:rPr>
          <w:sz w:val="22"/>
          <w:szCs w:val="22"/>
          <w:u w:val="single"/>
        </w:rPr>
      </w:pPr>
    </w:p>
    <w:p w:rsidR="00900413" w:rsidRDefault="00900413" w:rsidP="00A21C39">
      <w:pPr>
        <w:rPr>
          <w:sz w:val="22"/>
          <w:szCs w:val="22"/>
          <w:u w:val="single"/>
        </w:rPr>
      </w:pPr>
    </w:p>
    <w:p w:rsidR="00900413" w:rsidRDefault="00900413" w:rsidP="00A21C39">
      <w:pPr>
        <w:rPr>
          <w:sz w:val="22"/>
          <w:szCs w:val="22"/>
          <w:u w:val="single"/>
        </w:rPr>
      </w:pPr>
    </w:p>
    <w:p w:rsidR="00A21C39" w:rsidRDefault="00A21C39" w:rsidP="00A21C39">
      <w:pPr>
        <w:rPr>
          <w:sz w:val="22"/>
          <w:szCs w:val="22"/>
          <w:u w:val="single"/>
        </w:rPr>
      </w:pPr>
      <w:r>
        <w:rPr>
          <w:sz w:val="22"/>
          <w:szCs w:val="22"/>
          <w:u w:val="single"/>
        </w:rPr>
        <w:t>Table A3: Benefits of Option 2 (high estimate)</w:t>
      </w:r>
    </w:p>
    <w:p w:rsidR="00900413" w:rsidRDefault="00900413" w:rsidP="00A21C39">
      <w:pPr>
        <w:rPr>
          <w:sz w:val="22"/>
          <w:szCs w:val="22"/>
          <w:u w:val="single"/>
        </w:rPr>
      </w:pP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2B6A18" w:rsidRPr="002B6A18" w:rsidTr="002B6A18">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Total</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124051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165401</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1612659</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Staff time accompanying AHVLA visits (p-rs)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4043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52563</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Industry Total:</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128094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170792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1665222</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 </w:t>
            </w:r>
          </w:p>
        </w:tc>
      </w:tr>
      <w:tr w:rsidR="002B6A18" w:rsidRPr="002B6A18" w:rsidTr="002B6A18">
        <w:trPr>
          <w:trHeight w:val="255"/>
        </w:trPr>
        <w:tc>
          <w:tcPr>
            <w:tcW w:w="2920" w:type="dxa"/>
            <w:tcBorders>
              <w:top w:val="nil"/>
              <w:left w:val="nil"/>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461279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615039</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5996625</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AHVLA visits to producer retailers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51215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665797</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Gov. Total:</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512494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683325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6662422</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benefits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640588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854117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8327644</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640588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825234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797328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770365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744314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719144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694825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671329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648627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626692</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7138445</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Direct submission of samples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1020</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7777</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costs</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8797</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889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859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830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802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775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748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723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699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675</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7516</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net value</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640071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853197</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8318847</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NPV: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640071</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824345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796469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769535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743512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718369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694077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670605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647928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626017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7130929</w:t>
            </w:r>
          </w:p>
        </w:tc>
      </w:tr>
    </w:tbl>
    <w:p w:rsidR="00A21C39" w:rsidRDefault="00A21C39" w:rsidP="00A27908">
      <w:pPr>
        <w:rPr>
          <w:sz w:val="22"/>
          <w:szCs w:val="22"/>
          <w:u w:val="single"/>
        </w:rPr>
      </w:pPr>
    </w:p>
    <w:p w:rsidR="00900413" w:rsidRDefault="00900413" w:rsidP="00A27908">
      <w:pPr>
        <w:rPr>
          <w:sz w:val="22"/>
          <w:szCs w:val="22"/>
          <w:u w:val="single"/>
        </w:rPr>
      </w:pPr>
    </w:p>
    <w:p w:rsidR="00A21C39" w:rsidRDefault="00A21C39" w:rsidP="00A21C39">
      <w:pPr>
        <w:rPr>
          <w:sz w:val="22"/>
          <w:szCs w:val="22"/>
          <w:u w:val="single"/>
        </w:rPr>
      </w:pPr>
      <w:r>
        <w:rPr>
          <w:sz w:val="22"/>
          <w:szCs w:val="22"/>
          <w:u w:val="single"/>
        </w:rPr>
        <w:t>Table A4: Benefits of Option 2 (low estimate)</w:t>
      </w:r>
    </w:p>
    <w:p w:rsidR="00900413" w:rsidRDefault="00900413" w:rsidP="00A21C39">
      <w:pPr>
        <w:rPr>
          <w:sz w:val="22"/>
          <w:szCs w:val="22"/>
          <w:u w:val="single"/>
        </w:rPr>
      </w:pPr>
    </w:p>
    <w:tbl>
      <w:tblPr>
        <w:tblW w:w="10200" w:type="dxa"/>
        <w:tblInd w:w="93" w:type="dxa"/>
        <w:tblLook w:val="04A0" w:firstRow="1" w:lastRow="0" w:firstColumn="1" w:lastColumn="0" w:noHBand="0" w:noVBand="1"/>
      </w:tblPr>
      <w:tblGrid>
        <w:gridCol w:w="2920"/>
        <w:gridCol w:w="660"/>
        <w:gridCol w:w="660"/>
        <w:gridCol w:w="660"/>
        <w:gridCol w:w="660"/>
        <w:gridCol w:w="660"/>
        <w:gridCol w:w="660"/>
        <w:gridCol w:w="660"/>
        <w:gridCol w:w="660"/>
        <w:gridCol w:w="660"/>
        <w:gridCol w:w="660"/>
        <w:gridCol w:w="727"/>
      </w:tblGrid>
      <w:tr w:rsidR="002B6A18" w:rsidRPr="002B6A18" w:rsidTr="002B6A18">
        <w:trPr>
          <w:trHeight w:val="255"/>
        </w:trPr>
        <w:tc>
          <w:tcPr>
            <w:tcW w:w="2920" w:type="dxa"/>
            <w:tcBorders>
              <w:top w:val="single" w:sz="4" w:space="0" w:color="auto"/>
              <w:left w:val="single" w:sz="4" w:space="0" w:color="auto"/>
              <w:bottom w:val="single" w:sz="4" w:space="0" w:color="auto"/>
              <w:right w:val="nil"/>
            </w:tcBorders>
            <w:shd w:val="clear" w:color="000000" w:fill="BFBFBF"/>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 </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2014</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2015</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2016</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2017</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2018</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2019</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2020</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2021</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2022</w:t>
            </w:r>
          </w:p>
        </w:tc>
        <w:tc>
          <w:tcPr>
            <w:tcW w:w="660" w:type="dxa"/>
            <w:tcBorders>
              <w:top w:val="single" w:sz="4" w:space="0" w:color="auto"/>
              <w:left w:val="nil"/>
              <w:bottom w:val="single" w:sz="4" w:space="0" w:color="auto"/>
              <w:right w:val="nil"/>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2023</w:t>
            </w:r>
          </w:p>
        </w:tc>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Total</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Submission of samples (larger producers)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86601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115468</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1125809</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Staff time accompanying AHVLA visits (p-rs)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4043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5391</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52563</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Industry Total:</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90644</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120859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1178372</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benefits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 </w:t>
            </w:r>
          </w:p>
        </w:tc>
      </w:tr>
      <w:tr w:rsidR="002B6A18" w:rsidRPr="002B6A18" w:rsidTr="002B6A18">
        <w:trPr>
          <w:trHeight w:val="255"/>
        </w:trPr>
        <w:tc>
          <w:tcPr>
            <w:tcW w:w="2920" w:type="dxa"/>
            <w:tcBorders>
              <w:top w:val="nil"/>
              <w:left w:val="nil"/>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Variable costs of testing</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421347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561796</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5477510</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AHVLA visits to producer retailers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51215</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68287</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665797</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Gov. Total:</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472562</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630083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6143307</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benefits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563206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750941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7321678</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563206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725547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701012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677306</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654402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632272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610891</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590233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570274</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550989</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6276133</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Industry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 </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Direct submission of samples (p-rs)</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60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107</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1020</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Government costs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 </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Postage of sample pots</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457</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813</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7777</w:t>
            </w:r>
          </w:p>
        </w:tc>
      </w:tr>
      <w:tr w:rsidR="002B6A18" w:rsidRPr="002B6A18" w:rsidTr="002B6A18">
        <w:trPr>
          <w:trHeight w:val="255"/>
        </w:trPr>
        <w:tc>
          <w:tcPr>
            <w:tcW w:w="292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costs</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517</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920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8797</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PV:</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517</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889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859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830</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802</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775</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748</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723</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699</w:t>
            </w:r>
          </w:p>
        </w:tc>
        <w:tc>
          <w:tcPr>
            <w:tcW w:w="660" w:type="dxa"/>
            <w:tcBorders>
              <w:top w:val="nil"/>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675</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7516</w:t>
            </w:r>
          </w:p>
        </w:tc>
      </w:tr>
      <w:tr w:rsidR="002B6A18" w:rsidRPr="002B6A18" w:rsidTr="002B6A18">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2B6A18" w:rsidRPr="002B6A18" w:rsidRDefault="002B6A18" w:rsidP="002B6A18">
            <w:pPr>
              <w:rPr>
                <w:rFonts w:ascii="Arial Narrow" w:hAnsi="Arial Narrow" w:cs="Arial"/>
                <w:b/>
                <w:bCs/>
                <w:sz w:val="16"/>
                <w:szCs w:val="16"/>
                <w:lang w:eastAsia="en-GB"/>
              </w:rPr>
            </w:pPr>
            <w:r w:rsidRPr="002B6A18">
              <w:rPr>
                <w:rFonts w:ascii="Arial Narrow" w:hAnsi="Arial Narrow" w:cs="Arial"/>
                <w:b/>
                <w:bCs/>
                <w:sz w:val="16"/>
                <w:szCs w:val="16"/>
                <w:lang w:eastAsia="en-GB"/>
              </w:rPr>
              <w:t>Total net value</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562689</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60" w:type="dxa"/>
            <w:tcBorders>
              <w:top w:val="nil"/>
              <w:left w:val="nil"/>
              <w:bottom w:val="nil"/>
              <w:right w:val="nil"/>
            </w:tcBorders>
            <w:shd w:val="clear" w:color="auto" w:fill="auto"/>
            <w:noWrap/>
            <w:vAlign w:val="bottom"/>
            <w:hideMark/>
          </w:tcPr>
          <w:p w:rsidR="002B6A18" w:rsidRPr="002B6A18" w:rsidRDefault="002B6A18" w:rsidP="002B6A18">
            <w:pPr>
              <w:jc w:val="center"/>
              <w:rPr>
                <w:rFonts w:ascii="Arial Narrow" w:hAnsi="Arial Narrow" w:cs="Arial"/>
                <w:color w:val="000000"/>
                <w:sz w:val="16"/>
                <w:szCs w:val="16"/>
                <w:lang w:eastAsia="en-GB"/>
              </w:rPr>
            </w:pPr>
            <w:r w:rsidRPr="002B6A18">
              <w:rPr>
                <w:rFonts w:ascii="Arial Narrow" w:hAnsi="Arial Narrow" w:cs="Arial"/>
                <w:color w:val="000000"/>
                <w:sz w:val="16"/>
                <w:szCs w:val="16"/>
                <w:lang w:eastAsia="en-GB"/>
              </w:rPr>
              <w:t>750021</w:t>
            </w:r>
          </w:p>
        </w:tc>
        <w:tc>
          <w:tcPr>
            <w:tcW w:w="680" w:type="dxa"/>
            <w:tcBorders>
              <w:top w:val="nil"/>
              <w:left w:val="single" w:sz="4" w:space="0" w:color="auto"/>
              <w:bottom w:val="nil"/>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color w:val="000000"/>
                <w:sz w:val="16"/>
                <w:szCs w:val="16"/>
                <w:lang w:eastAsia="en-GB"/>
              </w:rPr>
            </w:pPr>
            <w:r w:rsidRPr="002B6A18">
              <w:rPr>
                <w:rFonts w:ascii="Arial Narrow" w:hAnsi="Arial Narrow" w:cs="Arial"/>
                <w:b/>
                <w:bCs/>
                <w:color w:val="000000"/>
                <w:sz w:val="16"/>
                <w:szCs w:val="16"/>
                <w:lang w:eastAsia="en-GB"/>
              </w:rPr>
              <w:t>7312881</w:t>
            </w:r>
          </w:p>
        </w:tc>
      </w:tr>
      <w:tr w:rsidR="002B6A18" w:rsidRPr="002B6A18" w:rsidTr="002B6A1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rPr>
                <w:rFonts w:ascii="Arial Narrow" w:hAnsi="Arial Narrow" w:cs="Arial"/>
                <w:sz w:val="16"/>
                <w:szCs w:val="16"/>
                <w:lang w:eastAsia="en-GB"/>
              </w:rPr>
            </w:pPr>
            <w:r w:rsidRPr="002B6A18">
              <w:rPr>
                <w:rFonts w:ascii="Arial Narrow" w:hAnsi="Arial Narrow" w:cs="Arial"/>
                <w:sz w:val="16"/>
                <w:szCs w:val="16"/>
                <w:lang w:eastAsia="en-GB"/>
              </w:rPr>
              <w:t>NPV:</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562689</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724658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700153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676476</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653600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631498</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610143</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589510</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569575</w:t>
            </w:r>
          </w:p>
        </w:tc>
        <w:tc>
          <w:tcPr>
            <w:tcW w:w="660" w:type="dxa"/>
            <w:tcBorders>
              <w:top w:val="single" w:sz="4" w:space="0" w:color="auto"/>
              <w:left w:val="nil"/>
              <w:bottom w:val="single" w:sz="4" w:space="0" w:color="auto"/>
              <w:right w:val="nil"/>
            </w:tcBorders>
            <w:shd w:val="clear" w:color="auto" w:fill="auto"/>
            <w:noWrap/>
            <w:vAlign w:val="bottom"/>
            <w:hideMark/>
          </w:tcPr>
          <w:p w:rsidR="002B6A18" w:rsidRPr="002B6A18" w:rsidRDefault="002B6A18" w:rsidP="002B6A18">
            <w:pPr>
              <w:jc w:val="center"/>
              <w:rPr>
                <w:rFonts w:ascii="Arial Narrow" w:hAnsi="Arial Narrow" w:cs="Arial"/>
                <w:sz w:val="16"/>
                <w:szCs w:val="16"/>
                <w:lang w:eastAsia="en-GB"/>
              </w:rPr>
            </w:pPr>
            <w:r w:rsidRPr="002B6A18">
              <w:rPr>
                <w:rFonts w:ascii="Arial Narrow" w:hAnsi="Arial Narrow" w:cs="Arial"/>
                <w:sz w:val="16"/>
                <w:szCs w:val="16"/>
                <w:lang w:eastAsia="en-GB"/>
              </w:rPr>
              <w:t>550314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A18" w:rsidRPr="002B6A18" w:rsidRDefault="002B6A18" w:rsidP="002B6A18">
            <w:pPr>
              <w:jc w:val="center"/>
              <w:rPr>
                <w:rFonts w:ascii="Arial Narrow" w:hAnsi="Arial Narrow" w:cs="Arial"/>
                <w:b/>
                <w:bCs/>
                <w:sz w:val="16"/>
                <w:szCs w:val="16"/>
                <w:lang w:eastAsia="en-GB"/>
              </w:rPr>
            </w:pPr>
            <w:r w:rsidRPr="002B6A18">
              <w:rPr>
                <w:rFonts w:ascii="Arial Narrow" w:hAnsi="Arial Narrow" w:cs="Arial"/>
                <w:b/>
                <w:bCs/>
                <w:sz w:val="16"/>
                <w:szCs w:val="16"/>
                <w:lang w:eastAsia="en-GB"/>
              </w:rPr>
              <w:t>6268617</w:t>
            </w:r>
          </w:p>
        </w:tc>
      </w:tr>
    </w:tbl>
    <w:p w:rsidR="00A21C39" w:rsidRPr="00A21C39" w:rsidRDefault="00A21C39" w:rsidP="00A27908">
      <w:pPr>
        <w:rPr>
          <w:sz w:val="22"/>
          <w:szCs w:val="22"/>
          <w:u w:val="single"/>
        </w:rPr>
      </w:pPr>
    </w:p>
    <w:sectPr w:rsidR="00A21C39" w:rsidRPr="00A21C39" w:rsidSect="000500D5">
      <w:headerReference w:type="even" r:id="rId12"/>
      <w:footerReference w:type="default" r:id="rId13"/>
      <w:footnotePr>
        <w:numRestart w:val="eachSect"/>
      </w:footnotePr>
      <w:pgSz w:w="11907" w:h="16840" w:code="9"/>
      <w:pgMar w:top="680" w:right="851" w:bottom="0" w:left="851"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C7" w:rsidRDefault="005230C7">
      <w:r>
        <w:separator/>
      </w:r>
    </w:p>
  </w:endnote>
  <w:endnote w:type="continuationSeparator" w:id="0">
    <w:p w:rsidR="005230C7" w:rsidRDefault="0052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03" w:rsidRPr="00EB43FD" w:rsidRDefault="00AB2503"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403E13">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03" w:rsidRPr="00EB43FD" w:rsidRDefault="00AB250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403E13">
      <w:rPr>
        <w:rStyle w:val="PageNumber"/>
        <w:b w:val="0"/>
        <w:noProof/>
        <w:szCs w:val="18"/>
      </w:rPr>
      <w:t>10</w:t>
    </w:r>
    <w:r w:rsidRPr="00EB43FD">
      <w:rPr>
        <w:rStyle w:val="PageNumber"/>
        <w:b w:val="0"/>
        <w:szCs w:val="18"/>
      </w:rPr>
      <w:fldChar w:fldCharType="end"/>
    </w:r>
  </w:p>
  <w:p w:rsidR="00AB2503" w:rsidRDefault="00AB2503"/>
  <w:p w:rsidR="00AB2503" w:rsidRDefault="00AB2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C7" w:rsidRDefault="005230C7">
      <w:r>
        <w:separator/>
      </w:r>
    </w:p>
  </w:footnote>
  <w:footnote w:type="continuationSeparator" w:id="0">
    <w:p w:rsidR="005230C7" w:rsidRDefault="005230C7">
      <w:r>
        <w:continuationSeparator/>
      </w:r>
    </w:p>
  </w:footnote>
  <w:footnote w:id="1">
    <w:p w:rsidR="00AB2503" w:rsidRDefault="00AB2503">
      <w:pPr>
        <w:pStyle w:val="FootnoteText"/>
      </w:pPr>
      <w:r>
        <w:rPr>
          <w:rStyle w:val="FootnoteReference"/>
        </w:rPr>
        <w:footnoteRef/>
      </w:r>
      <w:r>
        <w:t xml:space="preserve"> </w:t>
      </w:r>
      <w:r w:rsidRPr="00EC41A6">
        <w:rPr>
          <w:szCs w:val="16"/>
        </w:rPr>
        <w:t>Producer-retailers - Producers who sell milk/milk products direct from the farm to the public or</w:t>
      </w:r>
      <w:r>
        <w:t xml:space="preserve"> </w:t>
      </w:r>
      <w:r w:rsidRPr="00EC41A6">
        <w:rPr>
          <w:szCs w:val="16"/>
        </w:rPr>
        <w:t>retailers.</w:t>
      </w:r>
      <w:r>
        <w:rPr>
          <w:szCs w:val="16"/>
        </w:rPr>
        <w:t xml:space="preserve"> T</w:t>
      </w:r>
      <w:r w:rsidRPr="00EC41A6">
        <w:rPr>
          <w:szCs w:val="16"/>
        </w:rPr>
        <w:t>his can include the sale of raw (unpasteurised) milk/milk products.</w:t>
      </w:r>
    </w:p>
  </w:footnote>
  <w:footnote w:id="2">
    <w:p w:rsidR="00AB2503" w:rsidRDefault="00AB2503">
      <w:pPr>
        <w:pStyle w:val="FootnoteText"/>
      </w:pPr>
      <w:r>
        <w:rPr>
          <w:rStyle w:val="FootnoteReference"/>
        </w:rPr>
        <w:footnoteRef/>
      </w:r>
      <w:r>
        <w:t xml:space="preserve"> Diseases which can transmit from animals to humans. </w:t>
      </w:r>
    </w:p>
  </w:footnote>
  <w:footnote w:id="3">
    <w:p w:rsidR="00AB2503" w:rsidRDefault="00AB2503">
      <w:pPr>
        <w:pStyle w:val="FootnoteText"/>
      </w:pPr>
      <w:r>
        <w:rPr>
          <w:rStyle w:val="FootnoteReference"/>
        </w:rPr>
        <w:footnoteRef/>
      </w:r>
      <w:r>
        <w:t xml:space="preserve"> Non-excludable – it is impossible to provide without it being possible for others to enjoy. Non-rival – when the good is consumed, it doesn’t reduce the amount available for others. </w:t>
      </w:r>
    </w:p>
  </w:footnote>
  <w:footnote w:id="4">
    <w:p w:rsidR="00AB2503" w:rsidRDefault="00AB2503">
      <w:pPr>
        <w:pStyle w:val="FootnoteText"/>
      </w:pPr>
      <w:r>
        <w:rPr>
          <w:rStyle w:val="FootnoteReference"/>
        </w:rPr>
        <w:footnoteRef/>
      </w:r>
      <w:r>
        <w:t xml:space="preserve"> The Brucellosis (England) Order 2000 (S.I. 2055/2000), as amended. The Brucellosis (Wales) Order 2006 (S.I. 866/2006).</w:t>
      </w:r>
    </w:p>
  </w:footnote>
  <w:footnote w:id="5">
    <w:p w:rsidR="00AB2503" w:rsidRDefault="00AB2503">
      <w:pPr>
        <w:pStyle w:val="FootnoteText"/>
      </w:pPr>
      <w:r>
        <w:rPr>
          <w:rStyle w:val="FootnoteReference"/>
        </w:rPr>
        <w:footnoteRef/>
      </w:r>
      <w:r>
        <w:t xml:space="preserve"> </w:t>
      </w:r>
      <w:hyperlink r:id="rId1" w:history="1">
        <w:r w:rsidRPr="00EE28D4">
          <w:rPr>
            <w:rStyle w:val="Hyperlink"/>
          </w:rPr>
          <w:t>http://eur-lex.europa.eu/LexUriServ/LexUriServ.do?uri=CELEX:31964L0432:en:NOT</w:t>
        </w:r>
      </w:hyperlink>
    </w:p>
    <w:p w:rsidR="00AB2503" w:rsidRDefault="00AB2503">
      <w:pPr>
        <w:pStyle w:val="FootnoteText"/>
      </w:pPr>
    </w:p>
  </w:footnote>
  <w:footnote w:id="6">
    <w:p w:rsidR="00AB2503" w:rsidRDefault="00AB2503" w:rsidP="00A27908">
      <w:pPr>
        <w:pStyle w:val="FootnoteText"/>
      </w:pPr>
      <w:r>
        <w:rPr>
          <w:rStyle w:val="FootnoteReference"/>
        </w:rPr>
        <w:footnoteRef/>
      </w:r>
      <w:r>
        <w:t xml:space="preserve"> Now part of the Australian Laboratory Services Group.</w:t>
      </w:r>
    </w:p>
  </w:footnote>
  <w:footnote w:id="7">
    <w:p w:rsidR="00AB2503" w:rsidRDefault="00AB2503">
      <w:pPr>
        <w:pStyle w:val="FootnoteText"/>
      </w:pPr>
      <w:r>
        <w:rPr>
          <w:rStyle w:val="FootnoteReference"/>
        </w:rPr>
        <w:footnoteRef/>
      </w:r>
      <w:r>
        <w:t xml:space="preserve"> Industry/labs estimate. </w:t>
      </w:r>
    </w:p>
  </w:footnote>
  <w:footnote w:id="8">
    <w:p w:rsidR="00AB2503" w:rsidRDefault="00AB2503">
      <w:pPr>
        <w:pStyle w:val="FootnoteText"/>
      </w:pPr>
      <w:r>
        <w:rPr>
          <w:rStyle w:val="FootnoteReference"/>
        </w:rPr>
        <w:footnoteRef/>
      </w:r>
      <w:r>
        <w:t xml:space="preserve"> Enzootic Bovine Leukosis (EBL) is a viral disease of cattle causing malignant tumours in affected animals. Once clinical signs of the disease appear, this rapidly leads to death of the animal. The disease does not affect humans.</w:t>
      </w:r>
    </w:p>
  </w:footnote>
  <w:footnote w:id="9">
    <w:p w:rsidR="00AB2503" w:rsidRDefault="00AB2503" w:rsidP="00A27908">
      <w:pPr>
        <w:pStyle w:val="FootnoteText"/>
      </w:pPr>
      <w:r>
        <w:rPr>
          <w:rStyle w:val="FootnoteReference"/>
        </w:rPr>
        <w:footnoteRef/>
      </w:r>
      <w:r>
        <w:t xml:space="preserve"> Safebox™: Royal Mail pre-paid and secure packaging solution for sending and receiving specimens. A pack of 12 Safeboxes costs £66, excluding VAT, for first class postage.</w:t>
      </w:r>
    </w:p>
  </w:footnote>
  <w:footnote w:id="10">
    <w:p w:rsidR="00AB2503" w:rsidRDefault="00AB2503">
      <w:pPr>
        <w:pStyle w:val="FootnoteText"/>
      </w:pPr>
      <w:r>
        <w:rPr>
          <w:rStyle w:val="FootnoteReference"/>
        </w:rPr>
        <w:footnoteRef/>
      </w:r>
      <w:r>
        <w:t xml:space="preserve"> Farmers already collect milk tank samples for other purposes (e.g. for quality tests). The time to collect an additional sample when emptying the bulk milk tank is therefore considered negligible. </w:t>
      </w:r>
    </w:p>
  </w:footnote>
  <w:footnote w:id="11">
    <w:p w:rsidR="00AB2503" w:rsidRDefault="00AB2503">
      <w:pPr>
        <w:pStyle w:val="FootnoteText"/>
      </w:pPr>
      <w:r>
        <w:rPr>
          <w:rStyle w:val="FootnoteReference"/>
        </w:rPr>
        <w:footnoteRef/>
      </w:r>
      <w:r>
        <w:t xml:space="preserve"> Industry/labs estimate. </w:t>
      </w:r>
    </w:p>
  </w:footnote>
  <w:footnote w:id="12">
    <w:p w:rsidR="00AB2503" w:rsidRDefault="00AB2503">
      <w:pPr>
        <w:pStyle w:val="FootnoteText"/>
      </w:pPr>
      <w:r>
        <w:rPr>
          <w:rStyle w:val="FootnoteReference"/>
        </w:rPr>
        <w:footnoteRef/>
      </w:r>
      <w:r>
        <w:t xml:space="preserve"> AHVLA estimate – includes costs of preparing re-agents, staff training, updating the database of milking herds, programming processors and setting up IT systems.</w:t>
      </w:r>
    </w:p>
  </w:footnote>
  <w:footnote w:id="13">
    <w:p w:rsidR="00AB2503" w:rsidRDefault="00AB2503">
      <w:pPr>
        <w:pStyle w:val="FootnoteText"/>
      </w:pPr>
      <w:r>
        <w:rPr>
          <w:rStyle w:val="FootnoteReference"/>
        </w:rPr>
        <w:footnoteRef/>
      </w:r>
      <w:r>
        <w:t xml:space="preserve"> We do </w:t>
      </w:r>
      <w:r w:rsidRPr="00633EDF">
        <w:rPr>
          <w:u w:val="single"/>
        </w:rPr>
        <w:t>not</w:t>
      </w:r>
      <w:r>
        <w:t xml:space="preserve"> expect Option 1 (quarterly testing) to result in similar costs.</w:t>
      </w:r>
    </w:p>
  </w:footnote>
  <w:footnote w:id="14">
    <w:p w:rsidR="00AB2503" w:rsidRDefault="00AB2503">
      <w:pPr>
        <w:pStyle w:val="FootnoteText"/>
      </w:pPr>
      <w:r>
        <w:rPr>
          <w:rStyle w:val="FootnoteReference"/>
        </w:rPr>
        <w:footnoteRef/>
      </w:r>
      <w:r>
        <w:t xml:space="preserve"> Not all farms are expected to have abortions every year.</w:t>
      </w:r>
    </w:p>
  </w:footnote>
  <w:footnote w:id="15">
    <w:p w:rsidR="00AB2503" w:rsidRDefault="00AB2503">
      <w:pPr>
        <w:pStyle w:val="FootnoteText"/>
      </w:pPr>
      <w:r>
        <w:rPr>
          <w:rStyle w:val="FootnoteReference"/>
        </w:rPr>
        <w:footnoteRef/>
      </w:r>
      <w:r>
        <w:t xml:space="preserve"> Each sample is estimated to cost £0.90 if submitted via a private laboratory, or £5.50 if submitted directly by post to AHVLA (approx. 1% of samples are submitted directly by post). Therefore, 88,000 fewer tests under a quarterly sampling regime saves industry approx. £85k per annum.</w:t>
      </w:r>
    </w:p>
  </w:footnote>
  <w:footnote w:id="16">
    <w:p w:rsidR="00AB2503" w:rsidRDefault="00AB2503">
      <w:pPr>
        <w:pStyle w:val="FootnoteText"/>
      </w:pPr>
      <w:r>
        <w:rPr>
          <w:rStyle w:val="FootnoteReference"/>
        </w:rPr>
        <w:footnoteRef/>
      </w:r>
      <w:r>
        <w:t xml:space="preserve"> Producer-retailers currently incur a cost to arrange and supervise AHVLA sampling visits. This is estimated at £4.70 per visit, based on the Annual Survey of Hours and Earnings (provisional results 2013); the labour rate for ‘skilled agricultural and related trades’ (SOC 51) is £8.88 per hour. Adjusting for inflation (2.1% HMT estimate) and adding 30% for overheads gives an hourly wage of £11.30 in 2012 prices. It is estimated to take 25 minutes to arrange and supervise a visit. The net saving after taking account of small new costs to submit three samples by post (at £5.50 per sample, using a Safebox) is approx. £3k per annum.</w:t>
      </w:r>
    </w:p>
  </w:footnote>
  <w:footnote w:id="17">
    <w:p w:rsidR="00AB2503" w:rsidRDefault="00AB2503">
      <w:pPr>
        <w:pStyle w:val="FootnoteText"/>
      </w:pPr>
      <w:r>
        <w:rPr>
          <w:rStyle w:val="FootnoteReference"/>
        </w:rPr>
        <w:footnoteRef/>
      </w:r>
      <w:r>
        <w:t xml:space="preserve"> The figures in these tables are given in constant prices i.e. they exclude the effect of inflation over time. </w:t>
      </w:r>
    </w:p>
  </w:footnote>
  <w:footnote w:id="18">
    <w:p w:rsidR="00AB2503" w:rsidRDefault="00AB2503" w:rsidP="00446228">
      <w:pPr>
        <w:pStyle w:val="FootnoteText"/>
      </w:pPr>
      <w:r>
        <w:rPr>
          <w:rStyle w:val="FootnoteReference"/>
        </w:rPr>
        <w:footnoteRef/>
      </w:r>
      <w:r>
        <w:t xml:space="preserve"> The figures in these tables are given in constant prices i.e. they exclude the effect of inflation over time. </w:t>
      </w:r>
    </w:p>
  </w:footnote>
  <w:footnote w:id="19">
    <w:p w:rsidR="00AB2503" w:rsidRDefault="00AB2503">
      <w:pPr>
        <w:pStyle w:val="FootnoteText"/>
      </w:pPr>
      <w:r>
        <w:rPr>
          <w:rStyle w:val="FootnoteReference"/>
        </w:rPr>
        <w:footnoteRef/>
      </w:r>
      <w:r>
        <w:t xml:space="preserve"> </w:t>
      </w:r>
      <w:hyperlink r:id="rId2" w:history="1">
        <w:r w:rsidRPr="00A86753">
          <w:rPr>
            <w:rStyle w:val="Hyperlink"/>
          </w:rPr>
          <w:t>https://www.gov.uk/government/policies/reducing-the-impact-of-regulation-on-business/supporting-pages/operating-a-one-in-two-out-rule-for-business-regulation</w:t>
        </w:r>
      </w:hyperlink>
    </w:p>
    <w:p w:rsidR="00AB2503" w:rsidRDefault="00AB25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03" w:rsidRDefault="00AB2503">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03" w:rsidRDefault="00AB2503"/>
  <w:p w:rsidR="00AB2503" w:rsidRDefault="00AB25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BA210A"/>
    <w:multiLevelType w:val="hybridMultilevel"/>
    <w:tmpl w:val="F12252D6"/>
    <w:lvl w:ilvl="0" w:tplc="506C9D4C">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5BC3B47"/>
    <w:multiLevelType w:val="hybridMultilevel"/>
    <w:tmpl w:val="2C8E89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0DD174C"/>
    <w:multiLevelType w:val="hybridMultilevel"/>
    <w:tmpl w:val="87684260"/>
    <w:lvl w:ilvl="0" w:tplc="EAB23E8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5"/>
  </w:num>
  <w:num w:numId="15">
    <w:abstractNumId w:val="14"/>
  </w:num>
  <w:num w:numId="16">
    <w:abstractNumId w:val="13"/>
  </w:num>
  <w:num w:numId="17">
    <w:abstractNumId w:val="14"/>
  </w:num>
  <w:num w:numId="18">
    <w:abstractNumId w:val="18"/>
  </w:num>
  <w:num w:numId="19">
    <w:abstractNumId w:val="18"/>
  </w:num>
  <w:num w:numId="20">
    <w:abstractNumId w:val="18"/>
  </w:num>
  <w:num w:numId="21">
    <w:abstractNumId w:val="14"/>
  </w:num>
  <w:num w:numId="22">
    <w:abstractNumId w:val="1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2"/>
  </w:num>
  <w:num w:numId="33">
    <w:abstractNumId w:val="16"/>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4.0"/>
  </w:docVars>
  <w:rsids>
    <w:rsidRoot w:val="00A27908"/>
    <w:rsid w:val="000019B2"/>
    <w:rsid w:val="00001D3E"/>
    <w:rsid w:val="00001E72"/>
    <w:rsid w:val="0000505F"/>
    <w:rsid w:val="000071A5"/>
    <w:rsid w:val="0000747F"/>
    <w:rsid w:val="000079C0"/>
    <w:rsid w:val="00010950"/>
    <w:rsid w:val="00010EE1"/>
    <w:rsid w:val="00012458"/>
    <w:rsid w:val="00013D1A"/>
    <w:rsid w:val="000142F1"/>
    <w:rsid w:val="0001460F"/>
    <w:rsid w:val="0001694B"/>
    <w:rsid w:val="00020313"/>
    <w:rsid w:val="00021306"/>
    <w:rsid w:val="000222F1"/>
    <w:rsid w:val="00022BE0"/>
    <w:rsid w:val="00022F52"/>
    <w:rsid w:val="00023080"/>
    <w:rsid w:val="0002370C"/>
    <w:rsid w:val="000239A7"/>
    <w:rsid w:val="00023E62"/>
    <w:rsid w:val="00024171"/>
    <w:rsid w:val="000251D0"/>
    <w:rsid w:val="00025A1A"/>
    <w:rsid w:val="00025B18"/>
    <w:rsid w:val="00026555"/>
    <w:rsid w:val="00026AC0"/>
    <w:rsid w:val="00027B97"/>
    <w:rsid w:val="0003144C"/>
    <w:rsid w:val="000334C7"/>
    <w:rsid w:val="000359A7"/>
    <w:rsid w:val="00037111"/>
    <w:rsid w:val="0003786D"/>
    <w:rsid w:val="0004016B"/>
    <w:rsid w:val="000407D8"/>
    <w:rsid w:val="00045828"/>
    <w:rsid w:val="00045BAD"/>
    <w:rsid w:val="000463B5"/>
    <w:rsid w:val="000500D5"/>
    <w:rsid w:val="00051403"/>
    <w:rsid w:val="00052392"/>
    <w:rsid w:val="00052F44"/>
    <w:rsid w:val="00052F96"/>
    <w:rsid w:val="00053B8C"/>
    <w:rsid w:val="00056EE6"/>
    <w:rsid w:val="0006047F"/>
    <w:rsid w:val="0006053F"/>
    <w:rsid w:val="000610D3"/>
    <w:rsid w:val="00063E62"/>
    <w:rsid w:val="000671A2"/>
    <w:rsid w:val="00067980"/>
    <w:rsid w:val="00070EEB"/>
    <w:rsid w:val="00071299"/>
    <w:rsid w:val="00072272"/>
    <w:rsid w:val="00075474"/>
    <w:rsid w:val="000767AC"/>
    <w:rsid w:val="0007695E"/>
    <w:rsid w:val="00076A78"/>
    <w:rsid w:val="00076C08"/>
    <w:rsid w:val="00082659"/>
    <w:rsid w:val="00082B69"/>
    <w:rsid w:val="00082BAC"/>
    <w:rsid w:val="000860CC"/>
    <w:rsid w:val="00086128"/>
    <w:rsid w:val="0008646C"/>
    <w:rsid w:val="00086AFE"/>
    <w:rsid w:val="0008731F"/>
    <w:rsid w:val="00093598"/>
    <w:rsid w:val="0009381F"/>
    <w:rsid w:val="00094680"/>
    <w:rsid w:val="00094D44"/>
    <w:rsid w:val="000956FD"/>
    <w:rsid w:val="00097CC8"/>
    <w:rsid w:val="000A0A67"/>
    <w:rsid w:val="000A36EE"/>
    <w:rsid w:val="000A79FC"/>
    <w:rsid w:val="000B07A1"/>
    <w:rsid w:val="000B1176"/>
    <w:rsid w:val="000B1818"/>
    <w:rsid w:val="000B3E49"/>
    <w:rsid w:val="000B7F9E"/>
    <w:rsid w:val="000C031E"/>
    <w:rsid w:val="000C165A"/>
    <w:rsid w:val="000C1D45"/>
    <w:rsid w:val="000C2EBF"/>
    <w:rsid w:val="000C30D8"/>
    <w:rsid w:val="000C4589"/>
    <w:rsid w:val="000C57D5"/>
    <w:rsid w:val="000C6A87"/>
    <w:rsid w:val="000C796C"/>
    <w:rsid w:val="000D1CB0"/>
    <w:rsid w:val="000D55B5"/>
    <w:rsid w:val="000D58BD"/>
    <w:rsid w:val="000D5ED5"/>
    <w:rsid w:val="000D61DE"/>
    <w:rsid w:val="000D7F7C"/>
    <w:rsid w:val="000E3308"/>
    <w:rsid w:val="000E3FD7"/>
    <w:rsid w:val="000E452D"/>
    <w:rsid w:val="000E689C"/>
    <w:rsid w:val="000F004E"/>
    <w:rsid w:val="000F0840"/>
    <w:rsid w:val="000F37BB"/>
    <w:rsid w:val="000F4481"/>
    <w:rsid w:val="000F57BB"/>
    <w:rsid w:val="000F58DE"/>
    <w:rsid w:val="000F7B3C"/>
    <w:rsid w:val="00101961"/>
    <w:rsid w:val="00102870"/>
    <w:rsid w:val="001032FE"/>
    <w:rsid w:val="00110396"/>
    <w:rsid w:val="001110DB"/>
    <w:rsid w:val="00115D70"/>
    <w:rsid w:val="00116A69"/>
    <w:rsid w:val="00120113"/>
    <w:rsid w:val="00120EB4"/>
    <w:rsid w:val="001235DD"/>
    <w:rsid w:val="0012369A"/>
    <w:rsid w:val="001243CD"/>
    <w:rsid w:val="00126569"/>
    <w:rsid w:val="00127373"/>
    <w:rsid w:val="001301F5"/>
    <w:rsid w:val="00131639"/>
    <w:rsid w:val="001324EE"/>
    <w:rsid w:val="00133A17"/>
    <w:rsid w:val="00133C58"/>
    <w:rsid w:val="001365F4"/>
    <w:rsid w:val="0014140D"/>
    <w:rsid w:val="00141B6F"/>
    <w:rsid w:val="0014336D"/>
    <w:rsid w:val="0014364C"/>
    <w:rsid w:val="001477D1"/>
    <w:rsid w:val="00150DAE"/>
    <w:rsid w:val="00152082"/>
    <w:rsid w:val="0015254E"/>
    <w:rsid w:val="00152C60"/>
    <w:rsid w:val="001535F3"/>
    <w:rsid w:val="00156E0C"/>
    <w:rsid w:val="00160691"/>
    <w:rsid w:val="00165113"/>
    <w:rsid w:val="001709E2"/>
    <w:rsid w:val="00170B37"/>
    <w:rsid w:val="00174C10"/>
    <w:rsid w:val="00175447"/>
    <w:rsid w:val="00176B4B"/>
    <w:rsid w:val="00182B85"/>
    <w:rsid w:val="00183038"/>
    <w:rsid w:val="00183882"/>
    <w:rsid w:val="0018397C"/>
    <w:rsid w:val="001844B6"/>
    <w:rsid w:val="001851A3"/>
    <w:rsid w:val="001851B9"/>
    <w:rsid w:val="001855B1"/>
    <w:rsid w:val="0019021E"/>
    <w:rsid w:val="00190F9A"/>
    <w:rsid w:val="00192519"/>
    <w:rsid w:val="00194050"/>
    <w:rsid w:val="00194745"/>
    <w:rsid w:val="00194E96"/>
    <w:rsid w:val="001A07F1"/>
    <w:rsid w:val="001A2441"/>
    <w:rsid w:val="001A3B0B"/>
    <w:rsid w:val="001A4332"/>
    <w:rsid w:val="001A4432"/>
    <w:rsid w:val="001A478E"/>
    <w:rsid w:val="001A509E"/>
    <w:rsid w:val="001A50EA"/>
    <w:rsid w:val="001A5A3E"/>
    <w:rsid w:val="001A5C37"/>
    <w:rsid w:val="001A5EC8"/>
    <w:rsid w:val="001A6A1B"/>
    <w:rsid w:val="001A6FE6"/>
    <w:rsid w:val="001A7B61"/>
    <w:rsid w:val="001A7D41"/>
    <w:rsid w:val="001A7D6D"/>
    <w:rsid w:val="001B2528"/>
    <w:rsid w:val="001B305C"/>
    <w:rsid w:val="001B34EB"/>
    <w:rsid w:val="001B5765"/>
    <w:rsid w:val="001C0644"/>
    <w:rsid w:val="001C0B58"/>
    <w:rsid w:val="001C2176"/>
    <w:rsid w:val="001C3363"/>
    <w:rsid w:val="001C7C39"/>
    <w:rsid w:val="001D09CC"/>
    <w:rsid w:val="001D0AF4"/>
    <w:rsid w:val="001D12D6"/>
    <w:rsid w:val="001D195A"/>
    <w:rsid w:val="001D2096"/>
    <w:rsid w:val="001D3A43"/>
    <w:rsid w:val="001D3C11"/>
    <w:rsid w:val="001D4AA8"/>
    <w:rsid w:val="001D4D42"/>
    <w:rsid w:val="001D5EC9"/>
    <w:rsid w:val="001D6B90"/>
    <w:rsid w:val="001E152A"/>
    <w:rsid w:val="001E1DA0"/>
    <w:rsid w:val="001F317F"/>
    <w:rsid w:val="001F4352"/>
    <w:rsid w:val="001F5423"/>
    <w:rsid w:val="001F5DD9"/>
    <w:rsid w:val="001F69E9"/>
    <w:rsid w:val="001F71C9"/>
    <w:rsid w:val="0020104C"/>
    <w:rsid w:val="0020151D"/>
    <w:rsid w:val="002016F0"/>
    <w:rsid w:val="00201B79"/>
    <w:rsid w:val="00202E56"/>
    <w:rsid w:val="002033D6"/>
    <w:rsid w:val="00203758"/>
    <w:rsid w:val="00205E05"/>
    <w:rsid w:val="0020708B"/>
    <w:rsid w:val="00207B21"/>
    <w:rsid w:val="00207D2A"/>
    <w:rsid w:val="00211257"/>
    <w:rsid w:val="002144F0"/>
    <w:rsid w:val="00216810"/>
    <w:rsid w:val="00216F02"/>
    <w:rsid w:val="0021731F"/>
    <w:rsid w:val="00217CA1"/>
    <w:rsid w:val="00217CB7"/>
    <w:rsid w:val="00220F29"/>
    <w:rsid w:val="00221FAD"/>
    <w:rsid w:val="0022490F"/>
    <w:rsid w:val="00224C4E"/>
    <w:rsid w:val="00225384"/>
    <w:rsid w:val="00225F9C"/>
    <w:rsid w:val="002274E5"/>
    <w:rsid w:val="0022767B"/>
    <w:rsid w:val="0023186B"/>
    <w:rsid w:val="00231EE9"/>
    <w:rsid w:val="0023355B"/>
    <w:rsid w:val="002347A2"/>
    <w:rsid w:val="00241738"/>
    <w:rsid w:val="0024235D"/>
    <w:rsid w:val="002425C2"/>
    <w:rsid w:val="00242C41"/>
    <w:rsid w:val="002437A8"/>
    <w:rsid w:val="00246360"/>
    <w:rsid w:val="00250259"/>
    <w:rsid w:val="00251ED1"/>
    <w:rsid w:val="002530A8"/>
    <w:rsid w:val="002532E0"/>
    <w:rsid w:val="00253F4D"/>
    <w:rsid w:val="00255417"/>
    <w:rsid w:val="0026191F"/>
    <w:rsid w:val="00262437"/>
    <w:rsid w:val="00265153"/>
    <w:rsid w:val="002718D6"/>
    <w:rsid w:val="00272539"/>
    <w:rsid w:val="00272F62"/>
    <w:rsid w:val="00273A3C"/>
    <w:rsid w:val="00274558"/>
    <w:rsid w:val="00275C5C"/>
    <w:rsid w:val="0027739B"/>
    <w:rsid w:val="00281E7E"/>
    <w:rsid w:val="00282EFA"/>
    <w:rsid w:val="002837FC"/>
    <w:rsid w:val="002847F4"/>
    <w:rsid w:val="00284C30"/>
    <w:rsid w:val="00286282"/>
    <w:rsid w:val="00286CD5"/>
    <w:rsid w:val="00286E92"/>
    <w:rsid w:val="0028755A"/>
    <w:rsid w:val="00287BA8"/>
    <w:rsid w:val="00287D21"/>
    <w:rsid w:val="00290335"/>
    <w:rsid w:val="0029158C"/>
    <w:rsid w:val="002971BD"/>
    <w:rsid w:val="002A06DA"/>
    <w:rsid w:val="002A456F"/>
    <w:rsid w:val="002A6E2B"/>
    <w:rsid w:val="002B02E5"/>
    <w:rsid w:val="002B2572"/>
    <w:rsid w:val="002B4D79"/>
    <w:rsid w:val="002B5531"/>
    <w:rsid w:val="002B6A18"/>
    <w:rsid w:val="002B7335"/>
    <w:rsid w:val="002B77F5"/>
    <w:rsid w:val="002B79B6"/>
    <w:rsid w:val="002C1D0C"/>
    <w:rsid w:val="002C1EC2"/>
    <w:rsid w:val="002C331D"/>
    <w:rsid w:val="002D1AE9"/>
    <w:rsid w:val="002D2D7E"/>
    <w:rsid w:val="002D3103"/>
    <w:rsid w:val="002D4104"/>
    <w:rsid w:val="002D4177"/>
    <w:rsid w:val="002D548B"/>
    <w:rsid w:val="002D66B1"/>
    <w:rsid w:val="002D6A79"/>
    <w:rsid w:val="002D7ECF"/>
    <w:rsid w:val="002E1736"/>
    <w:rsid w:val="002E1C94"/>
    <w:rsid w:val="002E3227"/>
    <w:rsid w:val="002E3EEE"/>
    <w:rsid w:val="002E46DE"/>
    <w:rsid w:val="002E5406"/>
    <w:rsid w:val="002E6FE7"/>
    <w:rsid w:val="002E78D7"/>
    <w:rsid w:val="002F0490"/>
    <w:rsid w:val="002F0F4D"/>
    <w:rsid w:val="002F1CB1"/>
    <w:rsid w:val="002F3609"/>
    <w:rsid w:val="002F3633"/>
    <w:rsid w:val="002F5B67"/>
    <w:rsid w:val="002F653C"/>
    <w:rsid w:val="002F7D4C"/>
    <w:rsid w:val="00300CED"/>
    <w:rsid w:val="00300D77"/>
    <w:rsid w:val="00301FE3"/>
    <w:rsid w:val="003030E1"/>
    <w:rsid w:val="00304677"/>
    <w:rsid w:val="00304966"/>
    <w:rsid w:val="00304C1D"/>
    <w:rsid w:val="003069E8"/>
    <w:rsid w:val="00307E85"/>
    <w:rsid w:val="00310269"/>
    <w:rsid w:val="00310E67"/>
    <w:rsid w:val="003111DB"/>
    <w:rsid w:val="00311373"/>
    <w:rsid w:val="00311CCB"/>
    <w:rsid w:val="00313937"/>
    <w:rsid w:val="0031396B"/>
    <w:rsid w:val="00314466"/>
    <w:rsid w:val="003149E9"/>
    <w:rsid w:val="00316B83"/>
    <w:rsid w:val="00317DAD"/>
    <w:rsid w:val="003203C7"/>
    <w:rsid w:val="00320415"/>
    <w:rsid w:val="003215D1"/>
    <w:rsid w:val="0032212A"/>
    <w:rsid w:val="00322E0B"/>
    <w:rsid w:val="00323107"/>
    <w:rsid w:val="00323955"/>
    <w:rsid w:val="00323C5A"/>
    <w:rsid w:val="00324485"/>
    <w:rsid w:val="00325013"/>
    <w:rsid w:val="00325C81"/>
    <w:rsid w:val="00327061"/>
    <w:rsid w:val="00331984"/>
    <w:rsid w:val="00331DCE"/>
    <w:rsid w:val="00332055"/>
    <w:rsid w:val="00332280"/>
    <w:rsid w:val="003323DB"/>
    <w:rsid w:val="00332B05"/>
    <w:rsid w:val="003330C7"/>
    <w:rsid w:val="00335C9A"/>
    <w:rsid w:val="00337E50"/>
    <w:rsid w:val="003409BF"/>
    <w:rsid w:val="00344B7D"/>
    <w:rsid w:val="00345525"/>
    <w:rsid w:val="003468E9"/>
    <w:rsid w:val="00347372"/>
    <w:rsid w:val="00351302"/>
    <w:rsid w:val="00355E73"/>
    <w:rsid w:val="00356841"/>
    <w:rsid w:val="0035790C"/>
    <w:rsid w:val="003625DA"/>
    <w:rsid w:val="00364715"/>
    <w:rsid w:val="00365687"/>
    <w:rsid w:val="003657AB"/>
    <w:rsid w:val="00367E3E"/>
    <w:rsid w:val="00370A03"/>
    <w:rsid w:val="00372A69"/>
    <w:rsid w:val="00376491"/>
    <w:rsid w:val="00380189"/>
    <w:rsid w:val="00380A15"/>
    <w:rsid w:val="00381107"/>
    <w:rsid w:val="00381308"/>
    <w:rsid w:val="003818E8"/>
    <w:rsid w:val="003848EF"/>
    <w:rsid w:val="00384905"/>
    <w:rsid w:val="00385BF8"/>
    <w:rsid w:val="00386560"/>
    <w:rsid w:val="003870B0"/>
    <w:rsid w:val="00387D1E"/>
    <w:rsid w:val="00392AAE"/>
    <w:rsid w:val="0039311B"/>
    <w:rsid w:val="00395DFD"/>
    <w:rsid w:val="00395F95"/>
    <w:rsid w:val="00396C1A"/>
    <w:rsid w:val="003A151C"/>
    <w:rsid w:val="003A53C5"/>
    <w:rsid w:val="003A5EEC"/>
    <w:rsid w:val="003A6079"/>
    <w:rsid w:val="003A68AB"/>
    <w:rsid w:val="003A7572"/>
    <w:rsid w:val="003B04F0"/>
    <w:rsid w:val="003B05B2"/>
    <w:rsid w:val="003B1336"/>
    <w:rsid w:val="003B20FC"/>
    <w:rsid w:val="003B30DD"/>
    <w:rsid w:val="003B3840"/>
    <w:rsid w:val="003B3E18"/>
    <w:rsid w:val="003B4D71"/>
    <w:rsid w:val="003B72CF"/>
    <w:rsid w:val="003B78AB"/>
    <w:rsid w:val="003C2DEE"/>
    <w:rsid w:val="003C4286"/>
    <w:rsid w:val="003C6C81"/>
    <w:rsid w:val="003D023A"/>
    <w:rsid w:val="003D11C0"/>
    <w:rsid w:val="003D2341"/>
    <w:rsid w:val="003D2D82"/>
    <w:rsid w:val="003D33A3"/>
    <w:rsid w:val="003D41C5"/>
    <w:rsid w:val="003D572E"/>
    <w:rsid w:val="003D57B2"/>
    <w:rsid w:val="003D6960"/>
    <w:rsid w:val="003D77EE"/>
    <w:rsid w:val="003E0510"/>
    <w:rsid w:val="003E1BBB"/>
    <w:rsid w:val="003E2295"/>
    <w:rsid w:val="003E54B6"/>
    <w:rsid w:val="003E58BD"/>
    <w:rsid w:val="003E66BB"/>
    <w:rsid w:val="003E7A4D"/>
    <w:rsid w:val="003F1F49"/>
    <w:rsid w:val="003F2FA0"/>
    <w:rsid w:val="003F3862"/>
    <w:rsid w:val="003F42A7"/>
    <w:rsid w:val="003F6045"/>
    <w:rsid w:val="003F71C5"/>
    <w:rsid w:val="004016DE"/>
    <w:rsid w:val="004025DC"/>
    <w:rsid w:val="00402E80"/>
    <w:rsid w:val="00403E13"/>
    <w:rsid w:val="004041B8"/>
    <w:rsid w:val="00404828"/>
    <w:rsid w:val="00405ACA"/>
    <w:rsid w:val="004118C7"/>
    <w:rsid w:val="00411F19"/>
    <w:rsid w:val="00413202"/>
    <w:rsid w:val="00415552"/>
    <w:rsid w:val="00416050"/>
    <w:rsid w:val="00417259"/>
    <w:rsid w:val="004175D4"/>
    <w:rsid w:val="004227BD"/>
    <w:rsid w:val="004240A9"/>
    <w:rsid w:val="0042494E"/>
    <w:rsid w:val="00424FCC"/>
    <w:rsid w:val="00425B20"/>
    <w:rsid w:val="00426AB3"/>
    <w:rsid w:val="0043034B"/>
    <w:rsid w:val="00430F85"/>
    <w:rsid w:val="00432445"/>
    <w:rsid w:val="0043446F"/>
    <w:rsid w:val="00436701"/>
    <w:rsid w:val="0043683F"/>
    <w:rsid w:val="004406D1"/>
    <w:rsid w:val="004422A6"/>
    <w:rsid w:val="004442E2"/>
    <w:rsid w:val="00445634"/>
    <w:rsid w:val="00446228"/>
    <w:rsid w:val="0045253C"/>
    <w:rsid w:val="00452B35"/>
    <w:rsid w:val="00452D04"/>
    <w:rsid w:val="00452FB3"/>
    <w:rsid w:val="00454686"/>
    <w:rsid w:val="004547EA"/>
    <w:rsid w:val="00455EAA"/>
    <w:rsid w:val="00456494"/>
    <w:rsid w:val="004573D1"/>
    <w:rsid w:val="00457408"/>
    <w:rsid w:val="004577E1"/>
    <w:rsid w:val="0045799A"/>
    <w:rsid w:val="00463490"/>
    <w:rsid w:val="004638E0"/>
    <w:rsid w:val="00466326"/>
    <w:rsid w:val="00470048"/>
    <w:rsid w:val="00470BEA"/>
    <w:rsid w:val="00471060"/>
    <w:rsid w:val="004716AC"/>
    <w:rsid w:val="00471E07"/>
    <w:rsid w:val="004720F3"/>
    <w:rsid w:val="00474C4C"/>
    <w:rsid w:val="004753B4"/>
    <w:rsid w:val="00475A32"/>
    <w:rsid w:val="004763AF"/>
    <w:rsid w:val="00476BAF"/>
    <w:rsid w:val="0048196D"/>
    <w:rsid w:val="00481DBF"/>
    <w:rsid w:val="00482A0E"/>
    <w:rsid w:val="00483E1A"/>
    <w:rsid w:val="00483FB7"/>
    <w:rsid w:val="00485114"/>
    <w:rsid w:val="0048578A"/>
    <w:rsid w:val="004860C0"/>
    <w:rsid w:val="00487074"/>
    <w:rsid w:val="0049072A"/>
    <w:rsid w:val="00490F71"/>
    <w:rsid w:val="00490FF7"/>
    <w:rsid w:val="00491BC1"/>
    <w:rsid w:val="004930F6"/>
    <w:rsid w:val="0049416F"/>
    <w:rsid w:val="004948C9"/>
    <w:rsid w:val="00495404"/>
    <w:rsid w:val="00497931"/>
    <w:rsid w:val="004A14BC"/>
    <w:rsid w:val="004A2DCB"/>
    <w:rsid w:val="004A3D93"/>
    <w:rsid w:val="004A3EFD"/>
    <w:rsid w:val="004A3F27"/>
    <w:rsid w:val="004A7E39"/>
    <w:rsid w:val="004B1880"/>
    <w:rsid w:val="004B1953"/>
    <w:rsid w:val="004B257F"/>
    <w:rsid w:val="004B258B"/>
    <w:rsid w:val="004B3B7B"/>
    <w:rsid w:val="004B5251"/>
    <w:rsid w:val="004B5B4E"/>
    <w:rsid w:val="004B7981"/>
    <w:rsid w:val="004C1BBB"/>
    <w:rsid w:val="004C4C8F"/>
    <w:rsid w:val="004C5754"/>
    <w:rsid w:val="004C63BE"/>
    <w:rsid w:val="004C7055"/>
    <w:rsid w:val="004D0574"/>
    <w:rsid w:val="004D0C7C"/>
    <w:rsid w:val="004D0CDB"/>
    <w:rsid w:val="004D118B"/>
    <w:rsid w:val="004D3880"/>
    <w:rsid w:val="004D50D0"/>
    <w:rsid w:val="004D6369"/>
    <w:rsid w:val="004D6A72"/>
    <w:rsid w:val="004E1174"/>
    <w:rsid w:val="004E29C6"/>
    <w:rsid w:val="004E33A1"/>
    <w:rsid w:val="004E3E8F"/>
    <w:rsid w:val="004E4095"/>
    <w:rsid w:val="004E4117"/>
    <w:rsid w:val="004E5E6C"/>
    <w:rsid w:val="004E6683"/>
    <w:rsid w:val="004F5E43"/>
    <w:rsid w:val="004F7BA3"/>
    <w:rsid w:val="00500698"/>
    <w:rsid w:val="00500C9D"/>
    <w:rsid w:val="00503C39"/>
    <w:rsid w:val="005040CF"/>
    <w:rsid w:val="00505EF8"/>
    <w:rsid w:val="00506528"/>
    <w:rsid w:val="00507986"/>
    <w:rsid w:val="00510AC6"/>
    <w:rsid w:val="005116B1"/>
    <w:rsid w:val="0051408A"/>
    <w:rsid w:val="00517351"/>
    <w:rsid w:val="00520444"/>
    <w:rsid w:val="005230C7"/>
    <w:rsid w:val="0052463E"/>
    <w:rsid w:val="00525511"/>
    <w:rsid w:val="005262C4"/>
    <w:rsid w:val="00526B28"/>
    <w:rsid w:val="00527387"/>
    <w:rsid w:val="00527A7D"/>
    <w:rsid w:val="00533D7B"/>
    <w:rsid w:val="005409C5"/>
    <w:rsid w:val="00540A7C"/>
    <w:rsid w:val="00541EB7"/>
    <w:rsid w:val="00544292"/>
    <w:rsid w:val="005456EC"/>
    <w:rsid w:val="00547154"/>
    <w:rsid w:val="00547754"/>
    <w:rsid w:val="005530CD"/>
    <w:rsid w:val="00554795"/>
    <w:rsid w:val="00556DEA"/>
    <w:rsid w:val="00560465"/>
    <w:rsid w:val="00560972"/>
    <w:rsid w:val="00560DCA"/>
    <w:rsid w:val="00563F7B"/>
    <w:rsid w:val="005640A6"/>
    <w:rsid w:val="0056664A"/>
    <w:rsid w:val="00570F04"/>
    <w:rsid w:val="00570F8E"/>
    <w:rsid w:val="005719FD"/>
    <w:rsid w:val="00571B06"/>
    <w:rsid w:val="00572118"/>
    <w:rsid w:val="00573359"/>
    <w:rsid w:val="00574A89"/>
    <w:rsid w:val="00575FFA"/>
    <w:rsid w:val="005761CA"/>
    <w:rsid w:val="00576F30"/>
    <w:rsid w:val="005820BB"/>
    <w:rsid w:val="00583787"/>
    <w:rsid w:val="00586BBC"/>
    <w:rsid w:val="00586CE4"/>
    <w:rsid w:val="00586D82"/>
    <w:rsid w:val="005875FD"/>
    <w:rsid w:val="005879B8"/>
    <w:rsid w:val="00591130"/>
    <w:rsid w:val="00593648"/>
    <w:rsid w:val="005938B5"/>
    <w:rsid w:val="00594141"/>
    <w:rsid w:val="00594AC6"/>
    <w:rsid w:val="00594F99"/>
    <w:rsid w:val="00596F19"/>
    <w:rsid w:val="005970B5"/>
    <w:rsid w:val="005978D0"/>
    <w:rsid w:val="005A0026"/>
    <w:rsid w:val="005A0B86"/>
    <w:rsid w:val="005A2FC0"/>
    <w:rsid w:val="005A3880"/>
    <w:rsid w:val="005A66F6"/>
    <w:rsid w:val="005A6E17"/>
    <w:rsid w:val="005A7A14"/>
    <w:rsid w:val="005B341F"/>
    <w:rsid w:val="005B36E5"/>
    <w:rsid w:val="005B44D6"/>
    <w:rsid w:val="005B5651"/>
    <w:rsid w:val="005B5BBF"/>
    <w:rsid w:val="005B5FA8"/>
    <w:rsid w:val="005B613F"/>
    <w:rsid w:val="005C0E7F"/>
    <w:rsid w:val="005D14E6"/>
    <w:rsid w:val="005D27B8"/>
    <w:rsid w:val="005D2E03"/>
    <w:rsid w:val="005D4544"/>
    <w:rsid w:val="005D4A97"/>
    <w:rsid w:val="005D4F09"/>
    <w:rsid w:val="005D5178"/>
    <w:rsid w:val="005D601C"/>
    <w:rsid w:val="005D6753"/>
    <w:rsid w:val="005D6EA8"/>
    <w:rsid w:val="005D6F05"/>
    <w:rsid w:val="005E10E3"/>
    <w:rsid w:val="005E3FC7"/>
    <w:rsid w:val="005E4988"/>
    <w:rsid w:val="005E4B7C"/>
    <w:rsid w:val="005F32E7"/>
    <w:rsid w:val="005F54D7"/>
    <w:rsid w:val="005F58E2"/>
    <w:rsid w:val="005F698B"/>
    <w:rsid w:val="00600956"/>
    <w:rsid w:val="006011E1"/>
    <w:rsid w:val="00602401"/>
    <w:rsid w:val="00604158"/>
    <w:rsid w:val="0060590F"/>
    <w:rsid w:val="0060666C"/>
    <w:rsid w:val="00606C5F"/>
    <w:rsid w:val="0061244E"/>
    <w:rsid w:val="00615CA5"/>
    <w:rsid w:val="00615D43"/>
    <w:rsid w:val="00616BCC"/>
    <w:rsid w:val="0061761A"/>
    <w:rsid w:val="00623952"/>
    <w:rsid w:val="00623DFF"/>
    <w:rsid w:val="00624299"/>
    <w:rsid w:val="006243EB"/>
    <w:rsid w:val="00625536"/>
    <w:rsid w:val="00625AC1"/>
    <w:rsid w:val="006267F8"/>
    <w:rsid w:val="00630966"/>
    <w:rsid w:val="00630EC4"/>
    <w:rsid w:val="00630EC9"/>
    <w:rsid w:val="00631B4C"/>
    <w:rsid w:val="00631E10"/>
    <w:rsid w:val="00632522"/>
    <w:rsid w:val="006326FE"/>
    <w:rsid w:val="006328B1"/>
    <w:rsid w:val="00632CB9"/>
    <w:rsid w:val="00633EDF"/>
    <w:rsid w:val="00634D87"/>
    <w:rsid w:val="00635BAE"/>
    <w:rsid w:val="00637997"/>
    <w:rsid w:val="00641D5A"/>
    <w:rsid w:val="00643B89"/>
    <w:rsid w:val="00644531"/>
    <w:rsid w:val="00645936"/>
    <w:rsid w:val="00646433"/>
    <w:rsid w:val="00646B92"/>
    <w:rsid w:val="00647402"/>
    <w:rsid w:val="00650282"/>
    <w:rsid w:val="00650A11"/>
    <w:rsid w:val="006511BB"/>
    <w:rsid w:val="0065281C"/>
    <w:rsid w:val="006531EF"/>
    <w:rsid w:val="00656305"/>
    <w:rsid w:val="00656E3F"/>
    <w:rsid w:val="0066034A"/>
    <w:rsid w:val="00661B51"/>
    <w:rsid w:val="006631B8"/>
    <w:rsid w:val="006635CC"/>
    <w:rsid w:val="006656EC"/>
    <w:rsid w:val="00665B98"/>
    <w:rsid w:val="00666049"/>
    <w:rsid w:val="006662EE"/>
    <w:rsid w:val="00667977"/>
    <w:rsid w:val="00667DBB"/>
    <w:rsid w:val="00671172"/>
    <w:rsid w:val="006725A4"/>
    <w:rsid w:val="00673799"/>
    <w:rsid w:val="00674043"/>
    <w:rsid w:val="0067720E"/>
    <w:rsid w:val="00677C65"/>
    <w:rsid w:val="0068051F"/>
    <w:rsid w:val="006807CE"/>
    <w:rsid w:val="006812CF"/>
    <w:rsid w:val="006824EE"/>
    <w:rsid w:val="00682BBC"/>
    <w:rsid w:val="00683679"/>
    <w:rsid w:val="00684490"/>
    <w:rsid w:val="006867B7"/>
    <w:rsid w:val="00686F5E"/>
    <w:rsid w:val="00687E32"/>
    <w:rsid w:val="006914EF"/>
    <w:rsid w:val="00691BAF"/>
    <w:rsid w:val="00692DE8"/>
    <w:rsid w:val="00693A56"/>
    <w:rsid w:val="0069403E"/>
    <w:rsid w:val="006945C8"/>
    <w:rsid w:val="006A0557"/>
    <w:rsid w:val="006A0782"/>
    <w:rsid w:val="006A1B09"/>
    <w:rsid w:val="006A250F"/>
    <w:rsid w:val="006A2A2C"/>
    <w:rsid w:val="006A2D92"/>
    <w:rsid w:val="006A5457"/>
    <w:rsid w:val="006A56C1"/>
    <w:rsid w:val="006A5A2E"/>
    <w:rsid w:val="006A6F33"/>
    <w:rsid w:val="006A7287"/>
    <w:rsid w:val="006B04D1"/>
    <w:rsid w:val="006B3C41"/>
    <w:rsid w:val="006B4257"/>
    <w:rsid w:val="006B50C0"/>
    <w:rsid w:val="006C0521"/>
    <w:rsid w:val="006C16D9"/>
    <w:rsid w:val="006C2CBC"/>
    <w:rsid w:val="006C5CE3"/>
    <w:rsid w:val="006C7426"/>
    <w:rsid w:val="006D055B"/>
    <w:rsid w:val="006D1474"/>
    <w:rsid w:val="006D1F7D"/>
    <w:rsid w:val="006D29CD"/>
    <w:rsid w:val="006D2BE3"/>
    <w:rsid w:val="006D2BEB"/>
    <w:rsid w:val="006D2BF3"/>
    <w:rsid w:val="006D37CF"/>
    <w:rsid w:val="006E11EC"/>
    <w:rsid w:val="006E17B6"/>
    <w:rsid w:val="006E28F7"/>
    <w:rsid w:val="006E3E2F"/>
    <w:rsid w:val="006E60D9"/>
    <w:rsid w:val="006E7242"/>
    <w:rsid w:val="006F001C"/>
    <w:rsid w:val="006F0945"/>
    <w:rsid w:val="006F3BB8"/>
    <w:rsid w:val="006F7E43"/>
    <w:rsid w:val="00701693"/>
    <w:rsid w:val="00703D2D"/>
    <w:rsid w:val="00704093"/>
    <w:rsid w:val="00704D1B"/>
    <w:rsid w:val="00706FE9"/>
    <w:rsid w:val="00710BF9"/>
    <w:rsid w:val="00712914"/>
    <w:rsid w:val="00712B3B"/>
    <w:rsid w:val="00712F8F"/>
    <w:rsid w:val="0071360C"/>
    <w:rsid w:val="0071367B"/>
    <w:rsid w:val="007139B6"/>
    <w:rsid w:val="0071468E"/>
    <w:rsid w:val="0071686F"/>
    <w:rsid w:val="00716D5C"/>
    <w:rsid w:val="00716E66"/>
    <w:rsid w:val="00717760"/>
    <w:rsid w:val="00717800"/>
    <w:rsid w:val="007208D9"/>
    <w:rsid w:val="00720AF5"/>
    <w:rsid w:val="00720C9D"/>
    <w:rsid w:val="00720FFE"/>
    <w:rsid w:val="00724C0F"/>
    <w:rsid w:val="00727F07"/>
    <w:rsid w:val="00732185"/>
    <w:rsid w:val="0073258B"/>
    <w:rsid w:val="00732BA8"/>
    <w:rsid w:val="0073350E"/>
    <w:rsid w:val="00733F8C"/>
    <w:rsid w:val="00734B42"/>
    <w:rsid w:val="00734E99"/>
    <w:rsid w:val="007359A7"/>
    <w:rsid w:val="00736A54"/>
    <w:rsid w:val="00736F10"/>
    <w:rsid w:val="00744ECC"/>
    <w:rsid w:val="0074553B"/>
    <w:rsid w:val="0074677C"/>
    <w:rsid w:val="00746923"/>
    <w:rsid w:val="00746E21"/>
    <w:rsid w:val="0074740B"/>
    <w:rsid w:val="00747E73"/>
    <w:rsid w:val="0075393B"/>
    <w:rsid w:val="0075471A"/>
    <w:rsid w:val="0075771C"/>
    <w:rsid w:val="007608D7"/>
    <w:rsid w:val="00763D76"/>
    <w:rsid w:val="00764104"/>
    <w:rsid w:val="00764FAA"/>
    <w:rsid w:val="007671FA"/>
    <w:rsid w:val="00767A04"/>
    <w:rsid w:val="00773491"/>
    <w:rsid w:val="00773719"/>
    <w:rsid w:val="00773B58"/>
    <w:rsid w:val="00774343"/>
    <w:rsid w:val="00774E68"/>
    <w:rsid w:val="007754E1"/>
    <w:rsid w:val="00777487"/>
    <w:rsid w:val="007777A1"/>
    <w:rsid w:val="0078003D"/>
    <w:rsid w:val="0078273E"/>
    <w:rsid w:val="00782DCD"/>
    <w:rsid w:val="00782F88"/>
    <w:rsid w:val="00783BE4"/>
    <w:rsid w:val="0078471D"/>
    <w:rsid w:val="00784EC0"/>
    <w:rsid w:val="0078730F"/>
    <w:rsid w:val="0078760F"/>
    <w:rsid w:val="007913FD"/>
    <w:rsid w:val="007915EA"/>
    <w:rsid w:val="0079221B"/>
    <w:rsid w:val="007925C2"/>
    <w:rsid w:val="00796A50"/>
    <w:rsid w:val="007A01AF"/>
    <w:rsid w:val="007A01E1"/>
    <w:rsid w:val="007A28FB"/>
    <w:rsid w:val="007A49C2"/>
    <w:rsid w:val="007A4BDD"/>
    <w:rsid w:val="007B05B3"/>
    <w:rsid w:val="007B14CE"/>
    <w:rsid w:val="007B1EB8"/>
    <w:rsid w:val="007B24DB"/>
    <w:rsid w:val="007B33D7"/>
    <w:rsid w:val="007C08F8"/>
    <w:rsid w:val="007C1837"/>
    <w:rsid w:val="007C2377"/>
    <w:rsid w:val="007C293A"/>
    <w:rsid w:val="007D0CC0"/>
    <w:rsid w:val="007D537B"/>
    <w:rsid w:val="007D6F3F"/>
    <w:rsid w:val="007E0C4A"/>
    <w:rsid w:val="007E1522"/>
    <w:rsid w:val="007E6CF8"/>
    <w:rsid w:val="007E6ECC"/>
    <w:rsid w:val="007E7B9C"/>
    <w:rsid w:val="007F03BC"/>
    <w:rsid w:val="007F082C"/>
    <w:rsid w:val="007F0ABE"/>
    <w:rsid w:val="007F0ED9"/>
    <w:rsid w:val="007F25A7"/>
    <w:rsid w:val="007F2645"/>
    <w:rsid w:val="007F4668"/>
    <w:rsid w:val="007F571B"/>
    <w:rsid w:val="007F64C7"/>
    <w:rsid w:val="008021FC"/>
    <w:rsid w:val="008031EC"/>
    <w:rsid w:val="008054F0"/>
    <w:rsid w:val="00805BD3"/>
    <w:rsid w:val="00807DB6"/>
    <w:rsid w:val="00810FC8"/>
    <w:rsid w:val="0081274C"/>
    <w:rsid w:val="00815425"/>
    <w:rsid w:val="008155E3"/>
    <w:rsid w:val="00815D6B"/>
    <w:rsid w:val="00817638"/>
    <w:rsid w:val="0082092B"/>
    <w:rsid w:val="008228A5"/>
    <w:rsid w:val="00822B3C"/>
    <w:rsid w:val="00825D7B"/>
    <w:rsid w:val="00830ED9"/>
    <w:rsid w:val="00834367"/>
    <w:rsid w:val="00835FC0"/>
    <w:rsid w:val="008369A3"/>
    <w:rsid w:val="00837300"/>
    <w:rsid w:val="00837F65"/>
    <w:rsid w:val="00840592"/>
    <w:rsid w:val="008410B6"/>
    <w:rsid w:val="00844AC1"/>
    <w:rsid w:val="00845B33"/>
    <w:rsid w:val="0084625C"/>
    <w:rsid w:val="008478CE"/>
    <w:rsid w:val="00847C2B"/>
    <w:rsid w:val="00847E7D"/>
    <w:rsid w:val="00847F14"/>
    <w:rsid w:val="00850CF7"/>
    <w:rsid w:val="00852012"/>
    <w:rsid w:val="00854B37"/>
    <w:rsid w:val="00854B58"/>
    <w:rsid w:val="0085583B"/>
    <w:rsid w:val="00857235"/>
    <w:rsid w:val="00857E85"/>
    <w:rsid w:val="00860E75"/>
    <w:rsid w:val="0086103A"/>
    <w:rsid w:val="008617EA"/>
    <w:rsid w:val="0086208D"/>
    <w:rsid w:val="008629E3"/>
    <w:rsid w:val="00864321"/>
    <w:rsid w:val="00865DC8"/>
    <w:rsid w:val="00865F99"/>
    <w:rsid w:val="008671C2"/>
    <w:rsid w:val="00870D58"/>
    <w:rsid w:val="00872621"/>
    <w:rsid w:val="008727AA"/>
    <w:rsid w:val="008729DD"/>
    <w:rsid w:val="00873250"/>
    <w:rsid w:val="00873825"/>
    <w:rsid w:val="008739EF"/>
    <w:rsid w:val="00873ADE"/>
    <w:rsid w:val="00875263"/>
    <w:rsid w:val="00876F9A"/>
    <w:rsid w:val="00877C17"/>
    <w:rsid w:val="008839E5"/>
    <w:rsid w:val="00886313"/>
    <w:rsid w:val="0088761A"/>
    <w:rsid w:val="00892576"/>
    <w:rsid w:val="00894601"/>
    <w:rsid w:val="00894873"/>
    <w:rsid w:val="00894CD3"/>
    <w:rsid w:val="00895D49"/>
    <w:rsid w:val="0089699B"/>
    <w:rsid w:val="008A4654"/>
    <w:rsid w:val="008A6491"/>
    <w:rsid w:val="008A6708"/>
    <w:rsid w:val="008A67CA"/>
    <w:rsid w:val="008A7CF1"/>
    <w:rsid w:val="008B0674"/>
    <w:rsid w:val="008B0CFF"/>
    <w:rsid w:val="008B2043"/>
    <w:rsid w:val="008B20C2"/>
    <w:rsid w:val="008B333C"/>
    <w:rsid w:val="008B3CD2"/>
    <w:rsid w:val="008B3DD6"/>
    <w:rsid w:val="008B3FA3"/>
    <w:rsid w:val="008B5C6E"/>
    <w:rsid w:val="008B75E1"/>
    <w:rsid w:val="008C011F"/>
    <w:rsid w:val="008C0805"/>
    <w:rsid w:val="008C096C"/>
    <w:rsid w:val="008C0B6E"/>
    <w:rsid w:val="008C1CAA"/>
    <w:rsid w:val="008C26F4"/>
    <w:rsid w:val="008C4888"/>
    <w:rsid w:val="008C624A"/>
    <w:rsid w:val="008D1DB1"/>
    <w:rsid w:val="008D1DF0"/>
    <w:rsid w:val="008D3892"/>
    <w:rsid w:val="008D39AA"/>
    <w:rsid w:val="008D3B1A"/>
    <w:rsid w:val="008D5118"/>
    <w:rsid w:val="008D55F9"/>
    <w:rsid w:val="008D6A9C"/>
    <w:rsid w:val="008E0D56"/>
    <w:rsid w:val="008E1AE9"/>
    <w:rsid w:val="008E2B2F"/>
    <w:rsid w:val="008E348C"/>
    <w:rsid w:val="008E4DFF"/>
    <w:rsid w:val="008E549E"/>
    <w:rsid w:val="008E56BD"/>
    <w:rsid w:val="008E5E23"/>
    <w:rsid w:val="008E67C0"/>
    <w:rsid w:val="008E688E"/>
    <w:rsid w:val="008E7F9F"/>
    <w:rsid w:val="008F09FE"/>
    <w:rsid w:val="008F1046"/>
    <w:rsid w:val="008F18B3"/>
    <w:rsid w:val="008F1E40"/>
    <w:rsid w:val="008F281A"/>
    <w:rsid w:val="008F2DC7"/>
    <w:rsid w:val="008F4841"/>
    <w:rsid w:val="008F5890"/>
    <w:rsid w:val="008F5B59"/>
    <w:rsid w:val="008F6E9D"/>
    <w:rsid w:val="00900413"/>
    <w:rsid w:val="00900C12"/>
    <w:rsid w:val="009013AC"/>
    <w:rsid w:val="00901EDF"/>
    <w:rsid w:val="009039F6"/>
    <w:rsid w:val="00903CAE"/>
    <w:rsid w:val="009048EB"/>
    <w:rsid w:val="00904B02"/>
    <w:rsid w:val="00904BBF"/>
    <w:rsid w:val="009050B9"/>
    <w:rsid w:val="00905752"/>
    <w:rsid w:val="00906288"/>
    <w:rsid w:val="00906E14"/>
    <w:rsid w:val="009076FD"/>
    <w:rsid w:val="009128E8"/>
    <w:rsid w:val="00917B4D"/>
    <w:rsid w:val="00920962"/>
    <w:rsid w:val="00920A27"/>
    <w:rsid w:val="009222BD"/>
    <w:rsid w:val="009254DE"/>
    <w:rsid w:val="0092726F"/>
    <w:rsid w:val="009308F0"/>
    <w:rsid w:val="00936C94"/>
    <w:rsid w:val="00937CD8"/>
    <w:rsid w:val="00937DFB"/>
    <w:rsid w:val="00941D69"/>
    <w:rsid w:val="009421A6"/>
    <w:rsid w:val="009438A6"/>
    <w:rsid w:val="00944597"/>
    <w:rsid w:val="00944936"/>
    <w:rsid w:val="00944AA7"/>
    <w:rsid w:val="00946AD7"/>
    <w:rsid w:val="00947C30"/>
    <w:rsid w:val="00947F91"/>
    <w:rsid w:val="00951AD9"/>
    <w:rsid w:val="00952D7C"/>
    <w:rsid w:val="009540D9"/>
    <w:rsid w:val="009546F6"/>
    <w:rsid w:val="009562D0"/>
    <w:rsid w:val="009569C9"/>
    <w:rsid w:val="00956BA1"/>
    <w:rsid w:val="00961356"/>
    <w:rsid w:val="00962C9F"/>
    <w:rsid w:val="0096325E"/>
    <w:rsid w:val="00963B2F"/>
    <w:rsid w:val="00963DA9"/>
    <w:rsid w:val="0096455D"/>
    <w:rsid w:val="00964F55"/>
    <w:rsid w:val="0096516B"/>
    <w:rsid w:val="00965CBF"/>
    <w:rsid w:val="009661E3"/>
    <w:rsid w:val="00966271"/>
    <w:rsid w:val="0097372C"/>
    <w:rsid w:val="0097527A"/>
    <w:rsid w:val="009769C6"/>
    <w:rsid w:val="00977F47"/>
    <w:rsid w:val="00980FD2"/>
    <w:rsid w:val="009815F3"/>
    <w:rsid w:val="00982D41"/>
    <w:rsid w:val="009837EF"/>
    <w:rsid w:val="00983A60"/>
    <w:rsid w:val="00983B4B"/>
    <w:rsid w:val="00984BDC"/>
    <w:rsid w:val="00985777"/>
    <w:rsid w:val="009857E0"/>
    <w:rsid w:val="00987A1D"/>
    <w:rsid w:val="009918FB"/>
    <w:rsid w:val="00991CE2"/>
    <w:rsid w:val="009924B0"/>
    <w:rsid w:val="00992525"/>
    <w:rsid w:val="00993140"/>
    <w:rsid w:val="009A0168"/>
    <w:rsid w:val="009A0497"/>
    <w:rsid w:val="009A1835"/>
    <w:rsid w:val="009A1A9A"/>
    <w:rsid w:val="009A2D21"/>
    <w:rsid w:val="009B157C"/>
    <w:rsid w:val="009B2293"/>
    <w:rsid w:val="009B36BF"/>
    <w:rsid w:val="009B4ED3"/>
    <w:rsid w:val="009B5872"/>
    <w:rsid w:val="009B5A80"/>
    <w:rsid w:val="009B671B"/>
    <w:rsid w:val="009B6ACF"/>
    <w:rsid w:val="009B6B48"/>
    <w:rsid w:val="009B7123"/>
    <w:rsid w:val="009C0CEB"/>
    <w:rsid w:val="009C1429"/>
    <w:rsid w:val="009C2624"/>
    <w:rsid w:val="009C26AE"/>
    <w:rsid w:val="009C2A0C"/>
    <w:rsid w:val="009C3E19"/>
    <w:rsid w:val="009C41A2"/>
    <w:rsid w:val="009C5CA1"/>
    <w:rsid w:val="009C6150"/>
    <w:rsid w:val="009C74B5"/>
    <w:rsid w:val="009C7BD2"/>
    <w:rsid w:val="009D0E47"/>
    <w:rsid w:val="009D1F1C"/>
    <w:rsid w:val="009D2334"/>
    <w:rsid w:val="009D2902"/>
    <w:rsid w:val="009D3AEC"/>
    <w:rsid w:val="009D4475"/>
    <w:rsid w:val="009D6FF6"/>
    <w:rsid w:val="009D7957"/>
    <w:rsid w:val="009D7CE6"/>
    <w:rsid w:val="009E008F"/>
    <w:rsid w:val="009E0870"/>
    <w:rsid w:val="009E262C"/>
    <w:rsid w:val="009E3B03"/>
    <w:rsid w:val="009E6430"/>
    <w:rsid w:val="009E720C"/>
    <w:rsid w:val="009E771F"/>
    <w:rsid w:val="009F48BD"/>
    <w:rsid w:val="009F56A0"/>
    <w:rsid w:val="009F6692"/>
    <w:rsid w:val="009F7AEF"/>
    <w:rsid w:val="00A00F82"/>
    <w:rsid w:val="00A02AB8"/>
    <w:rsid w:val="00A05393"/>
    <w:rsid w:val="00A05924"/>
    <w:rsid w:val="00A12337"/>
    <w:rsid w:val="00A127AE"/>
    <w:rsid w:val="00A14195"/>
    <w:rsid w:val="00A150A3"/>
    <w:rsid w:val="00A17D82"/>
    <w:rsid w:val="00A212FC"/>
    <w:rsid w:val="00A21C39"/>
    <w:rsid w:val="00A21C3A"/>
    <w:rsid w:val="00A21E63"/>
    <w:rsid w:val="00A22274"/>
    <w:rsid w:val="00A223AF"/>
    <w:rsid w:val="00A2267C"/>
    <w:rsid w:val="00A23419"/>
    <w:rsid w:val="00A24B1F"/>
    <w:rsid w:val="00A26A0A"/>
    <w:rsid w:val="00A27908"/>
    <w:rsid w:val="00A32793"/>
    <w:rsid w:val="00A376D1"/>
    <w:rsid w:val="00A412A4"/>
    <w:rsid w:val="00A42647"/>
    <w:rsid w:val="00A44E29"/>
    <w:rsid w:val="00A46BA8"/>
    <w:rsid w:val="00A54607"/>
    <w:rsid w:val="00A566F7"/>
    <w:rsid w:val="00A60664"/>
    <w:rsid w:val="00A624D4"/>
    <w:rsid w:val="00A63795"/>
    <w:rsid w:val="00A63817"/>
    <w:rsid w:val="00A64DFC"/>
    <w:rsid w:val="00A64E67"/>
    <w:rsid w:val="00A65708"/>
    <w:rsid w:val="00A71A03"/>
    <w:rsid w:val="00A728CE"/>
    <w:rsid w:val="00A7439C"/>
    <w:rsid w:val="00A74FE2"/>
    <w:rsid w:val="00A75DAF"/>
    <w:rsid w:val="00A80316"/>
    <w:rsid w:val="00A80DCD"/>
    <w:rsid w:val="00A82FE5"/>
    <w:rsid w:val="00A8360B"/>
    <w:rsid w:val="00A852D6"/>
    <w:rsid w:val="00A857D9"/>
    <w:rsid w:val="00A861F3"/>
    <w:rsid w:val="00A90A64"/>
    <w:rsid w:val="00A91448"/>
    <w:rsid w:val="00A92245"/>
    <w:rsid w:val="00A93A78"/>
    <w:rsid w:val="00A9627B"/>
    <w:rsid w:val="00AA25A1"/>
    <w:rsid w:val="00AA2B6A"/>
    <w:rsid w:val="00AA30D9"/>
    <w:rsid w:val="00AA4AA5"/>
    <w:rsid w:val="00AA4B70"/>
    <w:rsid w:val="00AA7756"/>
    <w:rsid w:val="00AB1258"/>
    <w:rsid w:val="00AB2503"/>
    <w:rsid w:val="00AB2960"/>
    <w:rsid w:val="00AB574B"/>
    <w:rsid w:val="00AB59B1"/>
    <w:rsid w:val="00AB6DF3"/>
    <w:rsid w:val="00AB79EC"/>
    <w:rsid w:val="00AC06AD"/>
    <w:rsid w:val="00AC1849"/>
    <w:rsid w:val="00AC1DB2"/>
    <w:rsid w:val="00AC23DD"/>
    <w:rsid w:val="00AC3156"/>
    <w:rsid w:val="00AC4436"/>
    <w:rsid w:val="00AC6D7C"/>
    <w:rsid w:val="00AC758F"/>
    <w:rsid w:val="00AD01BB"/>
    <w:rsid w:val="00AD02B4"/>
    <w:rsid w:val="00AD4CDC"/>
    <w:rsid w:val="00AD5C7A"/>
    <w:rsid w:val="00AD640D"/>
    <w:rsid w:val="00AD65F8"/>
    <w:rsid w:val="00AD6B21"/>
    <w:rsid w:val="00AD6D7F"/>
    <w:rsid w:val="00AE0DAF"/>
    <w:rsid w:val="00AE1C61"/>
    <w:rsid w:val="00AE1E77"/>
    <w:rsid w:val="00AE311C"/>
    <w:rsid w:val="00AE32FC"/>
    <w:rsid w:val="00AE3926"/>
    <w:rsid w:val="00AE46AA"/>
    <w:rsid w:val="00AE6061"/>
    <w:rsid w:val="00AF0329"/>
    <w:rsid w:val="00AF0388"/>
    <w:rsid w:val="00AF05EF"/>
    <w:rsid w:val="00AF0863"/>
    <w:rsid w:val="00AF1AF5"/>
    <w:rsid w:val="00AF29BB"/>
    <w:rsid w:val="00AF2B88"/>
    <w:rsid w:val="00AF5F2E"/>
    <w:rsid w:val="00AF63A9"/>
    <w:rsid w:val="00AF739D"/>
    <w:rsid w:val="00B006A9"/>
    <w:rsid w:val="00B00C9F"/>
    <w:rsid w:val="00B01ECE"/>
    <w:rsid w:val="00B06148"/>
    <w:rsid w:val="00B068F2"/>
    <w:rsid w:val="00B120B9"/>
    <w:rsid w:val="00B12922"/>
    <w:rsid w:val="00B13310"/>
    <w:rsid w:val="00B1337A"/>
    <w:rsid w:val="00B154EA"/>
    <w:rsid w:val="00B16720"/>
    <w:rsid w:val="00B20969"/>
    <w:rsid w:val="00B2109F"/>
    <w:rsid w:val="00B221BF"/>
    <w:rsid w:val="00B22390"/>
    <w:rsid w:val="00B2258D"/>
    <w:rsid w:val="00B225B0"/>
    <w:rsid w:val="00B318B0"/>
    <w:rsid w:val="00B31E83"/>
    <w:rsid w:val="00B3230A"/>
    <w:rsid w:val="00B325B0"/>
    <w:rsid w:val="00B328FC"/>
    <w:rsid w:val="00B33973"/>
    <w:rsid w:val="00B3411C"/>
    <w:rsid w:val="00B34523"/>
    <w:rsid w:val="00B4136C"/>
    <w:rsid w:val="00B417D0"/>
    <w:rsid w:val="00B4271C"/>
    <w:rsid w:val="00B42A04"/>
    <w:rsid w:val="00B43453"/>
    <w:rsid w:val="00B450F8"/>
    <w:rsid w:val="00B47A0F"/>
    <w:rsid w:val="00B47CFD"/>
    <w:rsid w:val="00B501C2"/>
    <w:rsid w:val="00B50649"/>
    <w:rsid w:val="00B50F58"/>
    <w:rsid w:val="00B51DCA"/>
    <w:rsid w:val="00B51EDA"/>
    <w:rsid w:val="00B5400D"/>
    <w:rsid w:val="00B549E8"/>
    <w:rsid w:val="00B557B6"/>
    <w:rsid w:val="00B55E3F"/>
    <w:rsid w:val="00B60A1E"/>
    <w:rsid w:val="00B6113D"/>
    <w:rsid w:val="00B61595"/>
    <w:rsid w:val="00B657A0"/>
    <w:rsid w:val="00B65FA8"/>
    <w:rsid w:val="00B66384"/>
    <w:rsid w:val="00B664D8"/>
    <w:rsid w:val="00B7014D"/>
    <w:rsid w:val="00B7017B"/>
    <w:rsid w:val="00B722B5"/>
    <w:rsid w:val="00B73C03"/>
    <w:rsid w:val="00B73F2E"/>
    <w:rsid w:val="00B74113"/>
    <w:rsid w:val="00B75894"/>
    <w:rsid w:val="00B80A0C"/>
    <w:rsid w:val="00B827C5"/>
    <w:rsid w:val="00B83D1F"/>
    <w:rsid w:val="00B84190"/>
    <w:rsid w:val="00B8469A"/>
    <w:rsid w:val="00B9057D"/>
    <w:rsid w:val="00B91546"/>
    <w:rsid w:val="00B91D3B"/>
    <w:rsid w:val="00B93466"/>
    <w:rsid w:val="00B94293"/>
    <w:rsid w:val="00B94B1E"/>
    <w:rsid w:val="00B964C4"/>
    <w:rsid w:val="00B9718C"/>
    <w:rsid w:val="00B97288"/>
    <w:rsid w:val="00BA1691"/>
    <w:rsid w:val="00BA2C46"/>
    <w:rsid w:val="00BA326C"/>
    <w:rsid w:val="00BA3FB2"/>
    <w:rsid w:val="00BA76E8"/>
    <w:rsid w:val="00BB1709"/>
    <w:rsid w:val="00BB249D"/>
    <w:rsid w:val="00BB7076"/>
    <w:rsid w:val="00BB76DF"/>
    <w:rsid w:val="00BC17BE"/>
    <w:rsid w:val="00BC22AB"/>
    <w:rsid w:val="00BC2FCC"/>
    <w:rsid w:val="00BC468A"/>
    <w:rsid w:val="00BC7D24"/>
    <w:rsid w:val="00BD0413"/>
    <w:rsid w:val="00BD0C96"/>
    <w:rsid w:val="00BD2E17"/>
    <w:rsid w:val="00BD3234"/>
    <w:rsid w:val="00BD483E"/>
    <w:rsid w:val="00BD6E3E"/>
    <w:rsid w:val="00BD7B1A"/>
    <w:rsid w:val="00BE22F4"/>
    <w:rsid w:val="00BE2ED0"/>
    <w:rsid w:val="00BE4286"/>
    <w:rsid w:val="00BE4622"/>
    <w:rsid w:val="00BE5F3B"/>
    <w:rsid w:val="00BE5FB9"/>
    <w:rsid w:val="00BE647C"/>
    <w:rsid w:val="00BE650A"/>
    <w:rsid w:val="00BE655B"/>
    <w:rsid w:val="00BE67B0"/>
    <w:rsid w:val="00BE7CC4"/>
    <w:rsid w:val="00BF268F"/>
    <w:rsid w:val="00BF30AD"/>
    <w:rsid w:val="00BF385C"/>
    <w:rsid w:val="00BF4F20"/>
    <w:rsid w:val="00BF6B96"/>
    <w:rsid w:val="00C011B6"/>
    <w:rsid w:val="00C02BC2"/>
    <w:rsid w:val="00C0349A"/>
    <w:rsid w:val="00C04A7D"/>
    <w:rsid w:val="00C06A01"/>
    <w:rsid w:val="00C079DC"/>
    <w:rsid w:val="00C1206F"/>
    <w:rsid w:val="00C120C0"/>
    <w:rsid w:val="00C13270"/>
    <w:rsid w:val="00C13EF0"/>
    <w:rsid w:val="00C15A21"/>
    <w:rsid w:val="00C17AAA"/>
    <w:rsid w:val="00C202C8"/>
    <w:rsid w:val="00C21590"/>
    <w:rsid w:val="00C22EBB"/>
    <w:rsid w:val="00C2545A"/>
    <w:rsid w:val="00C30AB4"/>
    <w:rsid w:val="00C31CC0"/>
    <w:rsid w:val="00C3203A"/>
    <w:rsid w:val="00C33045"/>
    <w:rsid w:val="00C35AA5"/>
    <w:rsid w:val="00C364F8"/>
    <w:rsid w:val="00C40536"/>
    <w:rsid w:val="00C41786"/>
    <w:rsid w:val="00C41A41"/>
    <w:rsid w:val="00C42032"/>
    <w:rsid w:val="00C4306B"/>
    <w:rsid w:val="00C45162"/>
    <w:rsid w:val="00C47A0C"/>
    <w:rsid w:val="00C509D3"/>
    <w:rsid w:val="00C50B8F"/>
    <w:rsid w:val="00C517D8"/>
    <w:rsid w:val="00C522A9"/>
    <w:rsid w:val="00C56F82"/>
    <w:rsid w:val="00C60BBD"/>
    <w:rsid w:val="00C626FA"/>
    <w:rsid w:val="00C63643"/>
    <w:rsid w:val="00C63CA5"/>
    <w:rsid w:val="00C65F69"/>
    <w:rsid w:val="00C67CDD"/>
    <w:rsid w:val="00C7183B"/>
    <w:rsid w:val="00C73225"/>
    <w:rsid w:val="00C734E1"/>
    <w:rsid w:val="00C74661"/>
    <w:rsid w:val="00C75C12"/>
    <w:rsid w:val="00C83620"/>
    <w:rsid w:val="00C850F4"/>
    <w:rsid w:val="00C8797D"/>
    <w:rsid w:val="00C902D7"/>
    <w:rsid w:val="00C90407"/>
    <w:rsid w:val="00C94463"/>
    <w:rsid w:val="00C94CD6"/>
    <w:rsid w:val="00C9661C"/>
    <w:rsid w:val="00C971CD"/>
    <w:rsid w:val="00C9769D"/>
    <w:rsid w:val="00C97A4B"/>
    <w:rsid w:val="00CA10EB"/>
    <w:rsid w:val="00CA31D5"/>
    <w:rsid w:val="00CA6695"/>
    <w:rsid w:val="00CA70B9"/>
    <w:rsid w:val="00CB511B"/>
    <w:rsid w:val="00CB5AFB"/>
    <w:rsid w:val="00CC00F1"/>
    <w:rsid w:val="00CC3809"/>
    <w:rsid w:val="00CC5393"/>
    <w:rsid w:val="00CC76B1"/>
    <w:rsid w:val="00CC7744"/>
    <w:rsid w:val="00CD01EA"/>
    <w:rsid w:val="00CD058E"/>
    <w:rsid w:val="00CD2C94"/>
    <w:rsid w:val="00CD3F58"/>
    <w:rsid w:val="00CD44C8"/>
    <w:rsid w:val="00CE209E"/>
    <w:rsid w:val="00CE30A6"/>
    <w:rsid w:val="00CE42A1"/>
    <w:rsid w:val="00CE4C60"/>
    <w:rsid w:val="00CE6738"/>
    <w:rsid w:val="00CE7C01"/>
    <w:rsid w:val="00CF2024"/>
    <w:rsid w:val="00CF3FBF"/>
    <w:rsid w:val="00CF44C9"/>
    <w:rsid w:val="00CF4AD8"/>
    <w:rsid w:val="00CF61B6"/>
    <w:rsid w:val="00CF671F"/>
    <w:rsid w:val="00D00503"/>
    <w:rsid w:val="00D00846"/>
    <w:rsid w:val="00D01950"/>
    <w:rsid w:val="00D01A3C"/>
    <w:rsid w:val="00D03B5E"/>
    <w:rsid w:val="00D04919"/>
    <w:rsid w:val="00D052B4"/>
    <w:rsid w:val="00D068C0"/>
    <w:rsid w:val="00D10076"/>
    <w:rsid w:val="00D10D38"/>
    <w:rsid w:val="00D12778"/>
    <w:rsid w:val="00D13B5A"/>
    <w:rsid w:val="00D13CB4"/>
    <w:rsid w:val="00D1488F"/>
    <w:rsid w:val="00D16690"/>
    <w:rsid w:val="00D20645"/>
    <w:rsid w:val="00D20D4C"/>
    <w:rsid w:val="00D22AD5"/>
    <w:rsid w:val="00D23A87"/>
    <w:rsid w:val="00D2449C"/>
    <w:rsid w:val="00D24AAD"/>
    <w:rsid w:val="00D252D1"/>
    <w:rsid w:val="00D2758D"/>
    <w:rsid w:val="00D3177D"/>
    <w:rsid w:val="00D337D1"/>
    <w:rsid w:val="00D33EFF"/>
    <w:rsid w:val="00D357D2"/>
    <w:rsid w:val="00D35E5E"/>
    <w:rsid w:val="00D406B9"/>
    <w:rsid w:val="00D420DA"/>
    <w:rsid w:val="00D43142"/>
    <w:rsid w:val="00D43E31"/>
    <w:rsid w:val="00D478C9"/>
    <w:rsid w:val="00D50283"/>
    <w:rsid w:val="00D5127D"/>
    <w:rsid w:val="00D51B86"/>
    <w:rsid w:val="00D5563A"/>
    <w:rsid w:val="00D6600D"/>
    <w:rsid w:val="00D66025"/>
    <w:rsid w:val="00D675F9"/>
    <w:rsid w:val="00D6772B"/>
    <w:rsid w:val="00D706F0"/>
    <w:rsid w:val="00D71375"/>
    <w:rsid w:val="00D71F7D"/>
    <w:rsid w:val="00D71F97"/>
    <w:rsid w:val="00D72310"/>
    <w:rsid w:val="00D7239D"/>
    <w:rsid w:val="00D73421"/>
    <w:rsid w:val="00D7450E"/>
    <w:rsid w:val="00D74A41"/>
    <w:rsid w:val="00D76068"/>
    <w:rsid w:val="00D76907"/>
    <w:rsid w:val="00D773AD"/>
    <w:rsid w:val="00D81644"/>
    <w:rsid w:val="00D82A62"/>
    <w:rsid w:val="00D85D6C"/>
    <w:rsid w:val="00D87118"/>
    <w:rsid w:val="00D9441D"/>
    <w:rsid w:val="00DA04ED"/>
    <w:rsid w:val="00DA09D2"/>
    <w:rsid w:val="00DA166D"/>
    <w:rsid w:val="00DA35CD"/>
    <w:rsid w:val="00DA664C"/>
    <w:rsid w:val="00DA791C"/>
    <w:rsid w:val="00DB17A2"/>
    <w:rsid w:val="00DB1D74"/>
    <w:rsid w:val="00DB214B"/>
    <w:rsid w:val="00DB25E4"/>
    <w:rsid w:val="00DB35F3"/>
    <w:rsid w:val="00DB36C2"/>
    <w:rsid w:val="00DB45EC"/>
    <w:rsid w:val="00DB5F07"/>
    <w:rsid w:val="00DB6524"/>
    <w:rsid w:val="00DB6D0F"/>
    <w:rsid w:val="00DB7B62"/>
    <w:rsid w:val="00DC14F0"/>
    <w:rsid w:val="00DC1945"/>
    <w:rsid w:val="00DC41C3"/>
    <w:rsid w:val="00DC68C9"/>
    <w:rsid w:val="00DD1B1B"/>
    <w:rsid w:val="00DD321F"/>
    <w:rsid w:val="00DD32DC"/>
    <w:rsid w:val="00DD617D"/>
    <w:rsid w:val="00DD7C99"/>
    <w:rsid w:val="00DE04E0"/>
    <w:rsid w:val="00DE06E0"/>
    <w:rsid w:val="00DE208C"/>
    <w:rsid w:val="00DE55FF"/>
    <w:rsid w:val="00DE5B06"/>
    <w:rsid w:val="00DE5F6F"/>
    <w:rsid w:val="00DE7F03"/>
    <w:rsid w:val="00DF0C23"/>
    <w:rsid w:val="00DF2F4B"/>
    <w:rsid w:val="00DF71A3"/>
    <w:rsid w:val="00E00448"/>
    <w:rsid w:val="00E00B23"/>
    <w:rsid w:val="00E0117D"/>
    <w:rsid w:val="00E0310F"/>
    <w:rsid w:val="00E03125"/>
    <w:rsid w:val="00E04D95"/>
    <w:rsid w:val="00E0769B"/>
    <w:rsid w:val="00E10B5C"/>
    <w:rsid w:val="00E11645"/>
    <w:rsid w:val="00E11760"/>
    <w:rsid w:val="00E119E8"/>
    <w:rsid w:val="00E12973"/>
    <w:rsid w:val="00E141EC"/>
    <w:rsid w:val="00E14792"/>
    <w:rsid w:val="00E14DAE"/>
    <w:rsid w:val="00E155FA"/>
    <w:rsid w:val="00E169CD"/>
    <w:rsid w:val="00E205A2"/>
    <w:rsid w:val="00E20E66"/>
    <w:rsid w:val="00E217A2"/>
    <w:rsid w:val="00E228DE"/>
    <w:rsid w:val="00E23208"/>
    <w:rsid w:val="00E23384"/>
    <w:rsid w:val="00E24758"/>
    <w:rsid w:val="00E26E98"/>
    <w:rsid w:val="00E2763D"/>
    <w:rsid w:val="00E27E4E"/>
    <w:rsid w:val="00E343F0"/>
    <w:rsid w:val="00E345DB"/>
    <w:rsid w:val="00E34B19"/>
    <w:rsid w:val="00E3545D"/>
    <w:rsid w:val="00E3574A"/>
    <w:rsid w:val="00E35A46"/>
    <w:rsid w:val="00E40533"/>
    <w:rsid w:val="00E405B8"/>
    <w:rsid w:val="00E435D8"/>
    <w:rsid w:val="00E4448D"/>
    <w:rsid w:val="00E46F96"/>
    <w:rsid w:val="00E475AC"/>
    <w:rsid w:val="00E50129"/>
    <w:rsid w:val="00E50D28"/>
    <w:rsid w:val="00E51807"/>
    <w:rsid w:val="00E5378C"/>
    <w:rsid w:val="00E53896"/>
    <w:rsid w:val="00E54D38"/>
    <w:rsid w:val="00E5597A"/>
    <w:rsid w:val="00E55ABB"/>
    <w:rsid w:val="00E56001"/>
    <w:rsid w:val="00E56522"/>
    <w:rsid w:val="00E5686D"/>
    <w:rsid w:val="00E56AFA"/>
    <w:rsid w:val="00E6038C"/>
    <w:rsid w:val="00E60BCA"/>
    <w:rsid w:val="00E60C74"/>
    <w:rsid w:val="00E61D09"/>
    <w:rsid w:val="00E62FEA"/>
    <w:rsid w:val="00E63783"/>
    <w:rsid w:val="00E64602"/>
    <w:rsid w:val="00E659E5"/>
    <w:rsid w:val="00E66BF7"/>
    <w:rsid w:val="00E67B60"/>
    <w:rsid w:val="00E67D90"/>
    <w:rsid w:val="00E70F91"/>
    <w:rsid w:val="00E72931"/>
    <w:rsid w:val="00E74DC5"/>
    <w:rsid w:val="00E75380"/>
    <w:rsid w:val="00E7609C"/>
    <w:rsid w:val="00E7665D"/>
    <w:rsid w:val="00E766DF"/>
    <w:rsid w:val="00E80837"/>
    <w:rsid w:val="00E8172C"/>
    <w:rsid w:val="00E82A56"/>
    <w:rsid w:val="00E82AAF"/>
    <w:rsid w:val="00E82B1A"/>
    <w:rsid w:val="00E83D8A"/>
    <w:rsid w:val="00E90731"/>
    <w:rsid w:val="00E91D70"/>
    <w:rsid w:val="00E92178"/>
    <w:rsid w:val="00E94C19"/>
    <w:rsid w:val="00E95A84"/>
    <w:rsid w:val="00E96CB5"/>
    <w:rsid w:val="00E9789E"/>
    <w:rsid w:val="00E97BF4"/>
    <w:rsid w:val="00EA0B74"/>
    <w:rsid w:val="00EA2A88"/>
    <w:rsid w:val="00EA78FF"/>
    <w:rsid w:val="00EB002B"/>
    <w:rsid w:val="00EB094A"/>
    <w:rsid w:val="00EB279B"/>
    <w:rsid w:val="00EB2CA5"/>
    <w:rsid w:val="00EB43FD"/>
    <w:rsid w:val="00EB44BE"/>
    <w:rsid w:val="00EB4682"/>
    <w:rsid w:val="00EB477D"/>
    <w:rsid w:val="00EB583A"/>
    <w:rsid w:val="00EB6841"/>
    <w:rsid w:val="00EB7FCF"/>
    <w:rsid w:val="00EC28E5"/>
    <w:rsid w:val="00EC6350"/>
    <w:rsid w:val="00EC6B93"/>
    <w:rsid w:val="00EC741D"/>
    <w:rsid w:val="00ED00A3"/>
    <w:rsid w:val="00ED5142"/>
    <w:rsid w:val="00ED7F16"/>
    <w:rsid w:val="00EE0868"/>
    <w:rsid w:val="00EE1372"/>
    <w:rsid w:val="00EE1BFF"/>
    <w:rsid w:val="00EE1F4E"/>
    <w:rsid w:val="00EE20E8"/>
    <w:rsid w:val="00EF0768"/>
    <w:rsid w:val="00EF0B62"/>
    <w:rsid w:val="00EF0C34"/>
    <w:rsid w:val="00EF16E4"/>
    <w:rsid w:val="00EF1989"/>
    <w:rsid w:val="00EF3A40"/>
    <w:rsid w:val="00EF468B"/>
    <w:rsid w:val="00EF5429"/>
    <w:rsid w:val="00EF62BD"/>
    <w:rsid w:val="00F02857"/>
    <w:rsid w:val="00F03424"/>
    <w:rsid w:val="00F04C3F"/>
    <w:rsid w:val="00F04CDD"/>
    <w:rsid w:val="00F0606D"/>
    <w:rsid w:val="00F071A7"/>
    <w:rsid w:val="00F0778D"/>
    <w:rsid w:val="00F077D3"/>
    <w:rsid w:val="00F07E0C"/>
    <w:rsid w:val="00F1328C"/>
    <w:rsid w:val="00F13939"/>
    <w:rsid w:val="00F13B21"/>
    <w:rsid w:val="00F14181"/>
    <w:rsid w:val="00F14463"/>
    <w:rsid w:val="00F1653E"/>
    <w:rsid w:val="00F17FE9"/>
    <w:rsid w:val="00F2128C"/>
    <w:rsid w:val="00F23291"/>
    <w:rsid w:val="00F23B9B"/>
    <w:rsid w:val="00F240E0"/>
    <w:rsid w:val="00F25284"/>
    <w:rsid w:val="00F26CA1"/>
    <w:rsid w:val="00F31416"/>
    <w:rsid w:val="00F33190"/>
    <w:rsid w:val="00F332A2"/>
    <w:rsid w:val="00F337B2"/>
    <w:rsid w:val="00F33CC8"/>
    <w:rsid w:val="00F33D36"/>
    <w:rsid w:val="00F414AB"/>
    <w:rsid w:val="00F45799"/>
    <w:rsid w:val="00F47107"/>
    <w:rsid w:val="00F4755A"/>
    <w:rsid w:val="00F50A11"/>
    <w:rsid w:val="00F547A2"/>
    <w:rsid w:val="00F555C6"/>
    <w:rsid w:val="00F57106"/>
    <w:rsid w:val="00F60297"/>
    <w:rsid w:val="00F60CC6"/>
    <w:rsid w:val="00F622E8"/>
    <w:rsid w:val="00F63895"/>
    <w:rsid w:val="00F63F4E"/>
    <w:rsid w:val="00F64822"/>
    <w:rsid w:val="00F649B7"/>
    <w:rsid w:val="00F65CB3"/>
    <w:rsid w:val="00F66B4C"/>
    <w:rsid w:val="00F6759D"/>
    <w:rsid w:val="00F701F8"/>
    <w:rsid w:val="00F707E3"/>
    <w:rsid w:val="00F70A77"/>
    <w:rsid w:val="00F71CD0"/>
    <w:rsid w:val="00F71FC5"/>
    <w:rsid w:val="00F72B6A"/>
    <w:rsid w:val="00F73049"/>
    <w:rsid w:val="00F7378F"/>
    <w:rsid w:val="00F76979"/>
    <w:rsid w:val="00F77609"/>
    <w:rsid w:val="00F80AE5"/>
    <w:rsid w:val="00F83017"/>
    <w:rsid w:val="00F83C2B"/>
    <w:rsid w:val="00F9065F"/>
    <w:rsid w:val="00F9142F"/>
    <w:rsid w:val="00F91F5A"/>
    <w:rsid w:val="00F929FF"/>
    <w:rsid w:val="00F92F01"/>
    <w:rsid w:val="00F941C2"/>
    <w:rsid w:val="00F946F2"/>
    <w:rsid w:val="00F95B2C"/>
    <w:rsid w:val="00F971E5"/>
    <w:rsid w:val="00FA0181"/>
    <w:rsid w:val="00FA0AA1"/>
    <w:rsid w:val="00FA2CED"/>
    <w:rsid w:val="00FA509B"/>
    <w:rsid w:val="00FA7461"/>
    <w:rsid w:val="00FB0F81"/>
    <w:rsid w:val="00FB17F6"/>
    <w:rsid w:val="00FB2D40"/>
    <w:rsid w:val="00FB3263"/>
    <w:rsid w:val="00FB5CFE"/>
    <w:rsid w:val="00FB6ED3"/>
    <w:rsid w:val="00FB79D5"/>
    <w:rsid w:val="00FC07D5"/>
    <w:rsid w:val="00FC0D50"/>
    <w:rsid w:val="00FC20F4"/>
    <w:rsid w:val="00FC3832"/>
    <w:rsid w:val="00FC4754"/>
    <w:rsid w:val="00FC656B"/>
    <w:rsid w:val="00FC6BFA"/>
    <w:rsid w:val="00FD1F2A"/>
    <w:rsid w:val="00FD5FBF"/>
    <w:rsid w:val="00FD666C"/>
    <w:rsid w:val="00FD79CB"/>
    <w:rsid w:val="00FE0DE9"/>
    <w:rsid w:val="00FE1DF6"/>
    <w:rsid w:val="00FE371F"/>
    <w:rsid w:val="00FE41CB"/>
    <w:rsid w:val="00FE43FE"/>
    <w:rsid w:val="00FE574F"/>
    <w:rsid w:val="00FE610F"/>
    <w:rsid w:val="00FF029E"/>
    <w:rsid w:val="00FF03AD"/>
    <w:rsid w:val="00FF0918"/>
    <w:rsid w:val="00FF0A78"/>
    <w:rsid w:val="00FF0F36"/>
    <w:rsid w:val="00FF2332"/>
    <w:rsid w:val="00FF2D4A"/>
    <w:rsid w:val="00FF48DF"/>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basedOn w:val="IATableLabelChar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basedOn w:val="IATableNotes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basedOn w:val="IAHeadLabel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basedOn w:val="DefaultParagraphFont"/>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basedOn w:val="DefaultParagraphFont"/>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basedOn w:val="DefaultParagraphFont"/>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basedOn w:val="IATableLabelChar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basedOn w:val="IATableLabelChar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basedOn w:val="IATableLabelChar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basedOn w:val="IATableLabelChar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basedOn w:val="IATableLabelChar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basedOn w:val="IATableLabelChar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basedOn w:val="IATableText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basedOn w:val="IAHeadDept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basedOn w:val="IAHeadTitle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basedOn w:val="IATableLabelChar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basedOn w:val="IATableLabelChar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basedOn w:val="IATableLabelChar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basedOn w:val="IATableLabelChar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basedOn w:val="IATableLines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basedOn w:val="IATableLabelCharChar"/>
    <w:link w:val="IAStage"/>
    <w:rsid w:val="00174C10"/>
    <w:rPr>
      <w:rFonts w:ascii="Arial" w:eastAsia="SimSun" w:hAnsi="Arial"/>
      <w:b/>
      <w:color w:val="000000"/>
      <w:spacing w:val="-5"/>
      <w:sz w:val="22"/>
      <w:lang w:val="en-GB" w:eastAsia="zh-CN" w:bidi="ar-SA"/>
    </w:rPr>
  </w:style>
  <w:style w:type="character" w:customStyle="1" w:styleId="IASOIChar">
    <w:name w:val="IASOI Char"/>
    <w:basedOn w:val="IATableLabelCharChar"/>
    <w:link w:val="IASOI"/>
    <w:rsid w:val="00174C10"/>
    <w:rPr>
      <w:rFonts w:ascii="Arial" w:eastAsia="SimSun" w:hAnsi="Arial"/>
      <w:b/>
      <w:color w:val="000000"/>
      <w:spacing w:val="-5"/>
      <w:sz w:val="22"/>
      <w:lang w:val="en-GB" w:eastAsia="zh-CN" w:bidi="ar-SA"/>
    </w:rPr>
  </w:style>
  <w:style w:type="character" w:customStyle="1" w:styleId="IATOMChar">
    <w:name w:val="IATOM Char"/>
    <w:basedOn w:val="IATableLabelCharChar"/>
    <w:link w:val="IATOM"/>
    <w:rsid w:val="00174C10"/>
    <w:rPr>
      <w:rFonts w:ascii="Arial" w:eastAsia="SimSun" w:hAnsi="Arial"/>
      <w:b/>
      <w:color w:val="000000"/>
      <w:spacing w:val="-5"/>
      <w:sz w:val="22"/>
      <w:lang w:val="en-GB" w:eastAsia="zh-CN" w:bidi="ar-SA"/>
    </w:rPr>
  </w:style>
  <w:style w:type="character" w:customStyle="1" w:styleId="TitleChar">
    <w:name w:val="Title Char"/>
    <w:basedOn w:val="DefaultParagraphFont"/>
    <w:link w:val="Title"/>
    <w:rsid w:val="00174C10"/>
    <w:rPr>
      <w:rFonts w:ascii="Arial" w:hAnsi="Arial" w:cs="Arial"/>
      <w:bCs/>
      <w:color w:val="FFFFFF"/>
      <w:kern w:val="28"/>
      <w:sz w:val="32"/>
      <w:szCs w:val="32"/>
      <w:lang w:val="en-GB" w:eastAsia="en-US" w:bidi="ar-SA"/>
    </w:rPr>
  </w:style>
  <w:style w:type="character" w:customStyle="1" w:styleId="IARPCChar">
    <w:name w:val="IARPC Char"/>
    <w:basedOn w:val="Title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basedOn w:val="IATableLabelCharChar"/>
    <w:link w:val="IAIOCO2Traded"/>
    <w:rsid w:val="00D478C9"/>
    <w:rPr>
      <w:rFonts w:ascii="Arial" w:eastAsia="SimSun" w:hAnsi="Arial"/>
      <w:b/>
      <w:color w:val="000000"/>
      <w:spacing w:val="-5"/>
      <w:sz w:val="22"/>
      <w:lang w:val="en-GB" w:eastAsia="zh-CN" w:bidi="ar-SA"/>
    </w:rPr>
  </w:style>
  <w:style w:type="character" w:styleId="CommentReference">
    <w:name w:val="annotation reference"/>
    <w:basedOn w:val="DefaultParagraphFont"/>
    <w:rsid w:val="00A27908"/>
    <w:rPr>
      <w:sz w:val="16"/>
      <w:szCs w:val="16"/>
    </w:rPr>
  </w:style>
  <w:style w:type="character" w:customStyle="1" w:styleId="IALabel">
    <w:name w:val="IALabel"/>
    <w:basedOn w:val="DefaultParagraphFont"/>
    <w:rsid w:val="009F6692"/>
    <w:rPr>
      <w:color w:val="000000"/>
      <w:sz w:val="20"/>
    </w:rPr>
  </w:style>
  <w:style w:type="paragraph" w:styleId="CommentText">
    <w:name w:val="annotation text"/>
    <w:basedOn w:val="Normal"/>
    <w:link w:val="CommentTextChar"/>
    <w:rsid w:val="00A27908"/>
    <w:rPr>
      <w:sz w:val="20"/>
      <w:szCs w:val="20"/>
    </w:rPr>
  </w:style>
  <w:style w:type="character" w:customStyle="1" w:styleId="CommentTextChar">
    <w:name w:val="Comment Text Char"/>
    <w:basedOn w:val="DefaultParagraphFont"/>
    <w:link w:val="CommentText"/>
    <w:rsid w:val="00A27908"/>
    <w:rPr>
      <w:rFonts w:ascii="Arial" w:hAnsi="Arial"/>
      <w:lang w:eastAsia="en-US"/>
    </w:rPr>
  </w:style>
  <w:style w:type="paragraph" w:styleId="CommentSubject">
    <w:name w:val="annotation subject"/>
    <w:basedOn w:val="CommentText"/>
    <w:next w:val="CommentText"/>
    <w:link w:val="CommentSubjectChar"/>
    <w:rsid w:val="00BA76E8"/>
    <w:rPr>
      <w:b/>
      <w:bCs/>
    </w:rPr>
  </w:style>
  <w:style w:type="character" w:customStyle="1" w:styleId="CommentSubjectChar">
    <w:name w:val="Comment Subject Char"/>
    <w:basedOn w:val="CommentTextChar"/>
    <w:link w:val="CommentSubject"/>
    <w:rsid w:val="00BA76E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basedOn w:val="IATableLabelChar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basedOn w:val="IATableNotes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basedOn w:val="IAHeadLabel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basedOn w:val="DefaultParagraphFont"/>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basedOn w:val="DefaultParagraphFont"/>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basedOn w:val="DefaultParagraphFont"/>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basedOn w:val="IATableLabelChar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basedOn w:val="IATableLabelChar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basedOn w:val="IATableLabelChar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basedOn w:val="IATableLabelChar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basedOn w:val="IATableLabelChar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basedOn w:val="IATableLabelChar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basedOn w:val="IATableText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basedOn w:val="IAHeadDept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basedOn w:val="IAHeadTitle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basedOn w:val="IATableLabelChar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basedOn w:val="IATableLabelChar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basedOn w:val="IATableLabelChar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basedOn w:val="IATableLabelChar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basedOn w:val="IATableLines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basedOn w:val="IATableLabelCharChar"/>
    <w:link w:val="IAStage"/>
    <w:rsid w:val="00174C10"/>
    <w:rPr>
      <w:rFonts w:ascii="Arial" w:eastAsia="SimSun" w:hAnsi="Arial"/>
      <w:b/>
      <w:color w:val="000000"/>
      <w:spacing w:val="-5"/>
      <w:sz w:val="22"/>
      <w:lang w:val="en-GB" w:eastAsia="zh-CN" w:bidi="ar-SA"/>
    </w:rPr>
  </w:style>
  <w:style w:type="character" w:customStyle="1" w:styleId="IASOIChar">
    <w:name w:val="IASOI Char"/>
    <w:basedOn w:val="IATableLabelCharChar"/>
    <w:link w:val="IASOI"/>
    <w:rsid w:val="00174C10"/>
    <w:rPr>
      <w:rFonts w:ascii="Arial" w:eastAsia="SimSun" w:hAnsi="Arial"/>
      <w:b/>
      <w:color w:val="000000"/>
      <w:spacing w:val="-5"/>
      <w:sz w:val="22"/>
      <w:lang w:val="en-GB" w:eastAsia="zh-CN" w:bidi="ar-SA"/>
    </w:rPr>
  </w:style>
  <w:style w:type="character" w:customStyle="1" w:styleId="IATOMChar">
    <w:name w:val="IATOM Char"/>
    <w:basedOn w:val="IATableLabelCharChar"/>
    <w:link w:val="IATOM"/>
    <w:rsid w:val="00174C10"/>
    <w:rPr>
      <w:rFonts w:ascii="Arial" w:eastAsia="SimSun" w:hAnsi="Arial"/>
      <w:b/>
      <w:color w:val="000000"/>
      <w:spacing w:val="-5"/>
      <w:sz w:val="22"/>
      <w:lang w:val="en-GB" w:eastAsia="zh-CN" w:bidi="ar-SA"/>
    </w:rPr>
  </w:style>
  <w:style w:type="character" w:customStyle="1" w:styleId="TitleChar">
    <w:name w:val="Title Char"/>
    <w:basedOn w:val="DefaultParagraphFont"/>
    <w:link w:val="Title"/>
    <w:rsid w:val="00174C10"/>
    <w:rPr>
      <w:rFonts w:ascii="Arial" w:hAnsi="Arial" w:cs="Arial"/>
      <w:bCs/>
      <w:color w:val="FFFFFF"/>
      <w:kern w:val="28"/>
      <w:sz w:val="32"/>
      <w:szCs w:val="32"/>
      <w:lang w:val="en-GB" w:eastAsia="en-US" w:bidi="ar-SA"/>
    </w:rPr>
  </w:style>
  <w:style w:type="character" w:customStyle="1" w:styleId="IARPCChar">
    <w:name w:val="IARPC Char"/>
    <w:basedOn w:val="Title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basedOn w:val="IATableLabelCharChar"/>
    <w:link w:val="IAIOCO2Traded"/>
    <w:rsid w:val="00D478C9"/>
    <w:rPr>
      <w:rFonts w:ascii="Arial" w:eastAsia="SimSun" w:hAnsi="Arial"/>
      <w:b/>
      <w:color w:val="000000"/>
      <w:spacing w:val="-5"/>
      <w:sz w:val="22"/>
      <w:lang w:val="en-GB" w:eastAsia="zh-CN" w:bidi="ar-SA"/>
    </w:rPr>
  </w:style>
  <w:style w:type="character" w:styleId="CommentReference">
    <w:name w:val="annotation reference"/>
    <w:basedOn w:val="DefaultParagraphFont"/>
    <w:rsid w:val="00A27908"/>
    <w:rPr>
      <w:sz w:val="16"/>
      <w:szCs w:val="16"/>
    </w:rPr>
  </w:style>
  <w:style w:type="character" w:customStyle="1" w:styleId="IALabel">
    <w:name w:val="IALabel"/>
    <w:basedOn w:val="DefaultParagraphFont"/>
    <w:rsid w:val="009F6692"/>
    <w:rPr>
      <w:color w:val="000000"/>
      <w:sz w:val="20"/>
    </w:rPr>
  </w:style>
  <w:style w:type="paragraph" w:styleId="CommentText">
    <w:name w:val="annotation text"/>
    <w:basedOn w:val="Normal"/>
    <w:link w:val="CommentTextChar"/>
    <w:rsid w:val="00A27908"/>
    <w:rPr>
      <w:sz w:val="20"/>
      <w:szCs w:val="20"/>
    </w:rPr>
  </w:style>
  <w:style w:type="character" w:customStyle="1" w:styleId="CommentTextChar">
    <w:name w:val="Comment Text Char"/>
    <w:basedOn w:val="DefaultParagraphFont"/>
    <w:link w:val="CommentText"/>
    <w:rsid w:val="00A27908"/>
    <w:rPr>
      <w:rFonts w:ascii="Arial" w:hAnsi="Arial"/>
      <w:lang w:eastAsia="en-US"/>
    </w:rPr>
  </w:style>
  <w:style w:type="paragraph" w:styleId="CommentSubject">
    <w:name w:val="annotation subject"/>
    <w:basedOn w:val="CommentText"/>
    <w:next w:val="CommentText"/>
    <w:link w:val="CommentSubjectChar"/>
    <w:rsid w:val="00BA76E8"/>
    <w:rPr>
      <w:b/>
      <w:bCs/>
    </w:rPr>
  </w:style>
  <w:style w:type="character" w:customStyle="1" w:styleId="CommentSubjectChar">
    <w:name w:val="Comment Subject Char"/>
    <w:basedOn w:val="CommentTextChar"/>
    <w:link w:val="CommentSubject"/>
    <w:rsid w:val="00BA76E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8880">
      <w:bodyDiv w:val="1"/>
      <w:marLeft w:val="0"/>
      <w:marRight w:val="0"/>
      <w:marTop w:val="0"/>
      <w:marBottom w:val="0"/>
      <w:divBdr>
        <w:top w:val="none" w:sz="0" w:space="0" w:color="auto"/>
        <w:left w:val="none" w:sz="0" w:space="0" w:color="auto"/>
        <w:bottom w:val="none" w:sz="0" w:space="0" w:color="auto"/>
        <w:right w:val="none" w:sz="0" w:space="0" w:color="auto"/>
      </w:divBdr>
    </w:div>
    <w:div w:id="75177150">
      <w:bodyDiv w:val="1"/>
      <w:marLeft w:val="0"/>
      <w:marRight w:val="0"/>
      <w:marTop w:val="0"/>
      <w:marBottom w:val="0"/>
      <w:divBdr>
        <w:top w:val="none" w:sz="0" w:space="0" w:color="auto"/>
        <w:left w:val="none" w:sz="0" w:space="0" w:color="auto"/>
        <w:bottom w:val="none" w:sz="0" w:space="0" w:color="auto"/>
        <w:right w:val="none" w:sz="0" w:space="0" w:color="auto"/>
      </w:divBdr>
    </w:div>
    <w:div w:id="89401519">
      <w:bodyDiv w:val="1"/>
      <w:marLeft w:val="0"/>
      <w:marRight w:val="0"/>
      <w:marTop w:val="0"/>
      <w:marBottom w:val="0"/>
      <w:divBdr>
        <w:top w:val="none" w:sz="0" w:space="0" w:color="auto"/>
        <w:left w:val="none" w:sz="0" w:space="0" w:color="auto"/>
        <w:bottom w:val="none" w:sz="0" w:space="0" w:color="auto"/>
        <w:right w:val="none" w:sz="0" w:space="0" w:color="auto"/>
      </w:divBdr>
    </w:div>
    <w:div w:id="168568859">
      <w:bodyDiv w:val="1"/>
      <w:marLeft w:val="0"/>
      <w:marRight w:val="0"/>
      <w:marTop w:val="0"/>
      <w:marBottom w:val="0"/>
      <w:divBdr>
        <w:top w:val="none" w:sz="0" w:space="0" w:color="auto"/>
        <w:left w:val="none" w:sz="0" w:space="0" w:color="auto"/>
        <w:bottom w:val="none" w:sz="0" w:space="0" w:color="auto"/>
        <w:right w:val="none" w:sz="0" w:space="0" w:color="auto"/>
      </w:divBdr>
    </w:div>
    <w:div w:id="179316890">
      <w:bodyDiv w:val="1"/>
      <w:marLeft w:val="0"/>
      <w:marRight w:val="0"/>
      <w:marTop w:val="0"/>
      <w:marBottom w:val="0"/>
      <w:divBdr>
        <w:top w:val="none" w:sz="0" w:space="0" w:color="auto"/>
        <w:left w:val="none" w:sz="0" w:space="0" w:color="auto"/>
        <w:bottom w:val="none" w:sz="0" w:space="0" w:color="auto"/>
        <w:right w:val="none" w:sz="0" w:space="0" w:color="auto"/>
      </w:divBdr>
    </w:div>
    <w:div w:id="220095650">
      <w:bodyDiv w:val="1"/>
      <w:marLeft w:val="0"/>
      <w:marRight w:val="0"/>
      <w:marTop w:val="0"/>
      <w:marBottom w:val="0"/>
      <w:divBdr>
        <w:top w:val="none" w:sz="0" w:space="0" w:color="auto"/>
        <w:left w:val="none" w:sz="0" w:space="0" w:color="auto"/>
        <w:bottom w:val="none" w:sz="0" w:space="0" w:color="auto"/>
        <w:right w:val="none" w:sz="0" w:space="0" w:color="auto"/>
      </w:divBdr>
    </w:div>
    <w:div w:id="360477655">
      <w:bodyDiv w:val="1"/>
      <w:marLeft w:val="0"/>
      <w:marRight w:val="0"/>
      <w:marTop w:val="0"/>
      <w:marBottom w:val="0"/>
      <w:divBdr>
        <w:top w:val="none" w:sz="0" w:space="0" w:color="auto"/>
        <w:left w:val="none" w:sz="0" w:space="0" w:color="auto"/>
        <w:bottom w:val="none" w:sz="0" w:space="0" w:color="auto"/>
        <w:right w:val="none" w:sz="0" w:space="0" w:color="auto"/>
      </w:divBdr>
    </w:div>
    <w:div w:id="403844280">
      <w:bodyDiv w:val="1"/>
      <w:marLeft w:val="0"/>
      <w:marRight w:val="0"/>
      <w:marTop w:val="0"/>
      <w:marBottom w:val="0"/>
      <w:divBdr>
        <w:top w:val="none" w:sz="0" w:space="0" w:color="auto"/>
        <w:left w:val="none" w:sz="0" w:space="0" w:color="auto"/>
        <w:bottom w:val="none" w:sz="0" w:space="0" w:color="auto"/>
        <w:right w:val="none" w:sz="0" w:space="0" w:color="auto"/>
      </w:divBdr>
    </w:div>
    <w:div w:id="414516410">
      <w:bodyDiv w:val="1"/>
      <w:marLeft w:val="0"/>
      <w:marRight w:val="0"/>
      <w:marTop w:val="0"/>
      <w:marBottom w:val="0"/>
      <w:divBdr>
        <w:top w:val="none" w:sz="0" w:space="0" w:color="auto"/>
        <w:left w:val="none" w:sz="0" w:space="0" w:color="auto"/>
        <w:bottom w:val="none" w:sz="0" w:space="0" w:color="auto"/>
        <w:right w:val="none" w:sz="0" w:space="0" w:color="auto"/>
      </w:divBdr>
    </w:div>
    <w:div w:id="443498272">
      <w:bodyDiv w:val="1"/>
      <w:marLeft w:val="0"/>
      <w:marRight w:val="0"/>
      <w:marTop w:val="0"/>
      <w:marBottom w:val="0"/>
      <w:divBdr>
        <w:top w:val="none" w:sz="0" w:space="0" w:color="auto"/>
        <w:left w:val="none" w:sz="0" w:space="0" w:color="auto"/>
        <w:bottom w:val="none" w:sz="0" w:space="0" w:color="auto"/>
        <w:right w:val="none" w:sz="0" w:space="0" w:color="auto"/>
      </w:divBdr>
    </w:div>
    <w:div w:id="453989513">
      <w:bodyDiv w:val="1"/>
      <w:marLeft w:val="0"/>
      <w:marRight w:val="0"/>
      <w:marTop w:val="0"/>
      <w:marBottom w:val="0"/>
      <w:divBdr>
        <w:top w:val="none" w:sz="0" w:space="0" w:color="auto"/>
        <w:left w:val="none" w:sz="0" w:space="0" w:color="auto"/>
        <w:bottom w:val="none" w:sz="0" w:space="0" w:color="auto"/>
        <w:right w:val="none" w:sz="0" w:space="0" w:color="auto"/>
      </w:divBdr>
    </w:div>
    <w:div w:id="469978182">
      <w:bodyDiv w:val="1"/>
      <w:marLeft w:val="0"/>
      <w:marRight w:val="0"/>
      <w:marTop w:val="0"/>
      <w:marBottom w:val="0"/>
      <w:divBdr>
        <w:top w:val="none" w:sz="0" w:space="0" w:color="auto"/>
        <w:left w:val="none" w:sz="0" w:space="0" w:color="auto"/>
        <w:bottom w:val="none" w:sz="0" w:space="0" w:color="auto"/>
        <w:right w:val="none" w:sz="0" w:space="0" w:color="auto"/>
      </w:divBdr>
    </w:div>
    <w:div w:id="484929726">
      <w:bodyDiv w:val="1"/>
      <w:marLeft w:val="0"/>
      <w:marRight w:val="0"/>
      <w:marTop w:val="0"/>
      <w:marBottom w:val="0"/>
      <w:divBdr>
        <w:top w:val="none" w:sz="0" w:space="0" w:color="auto"/>
        <w:left w:val="none" w:sz="0" w:space="0" w:color="auto"/>
        <w:bottom w:val="none" w:sz="0" w:space="0" w:color="auto"/>
        <w:right w:val="none" w:sz="0" w:space="0" w:color="auto"/>
      </w:divBdr>
    </w:div>
    <w:div w:id="503667087">
      <w:bodyDiv w:val="1"/>
      <w:marLeft w:val="0"/>
      <w:marRight w:val="0"/>
      <w:marTop w:val="0"/>
      <w:marBottom w:val="0"/>
      <w:divBdr>
        <w:top w:val="none" w:sz="0" w:space="0" w:color="auto"/>
        <w:left w:val="none" w:sz="0" w:space="0" w:color="auto"/>
        <w:bottom w:val="none" w:sz="0" w:space="0" w:color="auto"/>
        <w:right w:val="none" w:sz="0" w:space="0" w:color="auto"/>
      </w:divBdr>
    </w:div>
    <w:div w:id="519977462">
      <w:bodyDiv w:val="1"/>
      <w:marLeft w:val="0"/>
      <w:marRight w:val="0"/>
      <w:marTop w:val="0"/>
      <w:marBottom w:val="0"/>
      <w:divBdr>
        <w:top w:val="none" w:sz="0" w:space="0" w:color="auto"/>
        <w:left w:val="none" w:sz="0" w:space="0" w:color="auto"/>
        <w:bottom w:val="none" w:sz="0" w:space="0" w:color="auto"/>
        <w:right w:val="none" w:sz="0" w:space="0" w:color="auto"/>
      </w:divBdr>
    </w:div>
    <w:div w:id="522668706">
      <w:bodyDiv w:val="1"/>
      <w:marLeft w:val="0"/>
      <w:marRight w:val="0"/>
      <w:marTop w:val="0"/>
      <w:marBottom w:val="0"/>
      <w:divBdr>
        <w:top w:val="none" w:sz="0" w:space="0" w:color="auto"/>
        <w:left w:val="none" w:sz="0" w:space="0" w:color="auto"/>
        <w:bottom w:val="none" w:sz="0" w:space="0" w:color="auto"/>
        <w:right w:val="none" w:sz="0" w:space="0" w:color="auto"/>
      </w:divBdr>
    </w:div>
    <w:div w:id="538398701">
      <w:bodyDiv w:val="1"/>
      <w:marLeft w:val="0"/>
      <w:marRight w:val="0"/>
      <w:marTop w:val="0"/>
      <w:marBottom w:val="0"/>
      <w:divBdr>
        <w:top w:val="none" w:sz="0" w:space="0" w:color="auto"/>
        <w:left w:val="none" w:sz="0" w:space="0" w:color="auto"/>
        <w:bottom w:val="none" w:sz="0" w:space="0" w:color="auto"/>
        <w:right w:val="none" w:sz="0" w:space="0" w:color="auto"/>
      </w:divBdr>
    </w:div>
    <w:div w:id="610479083">
      <w:bodyDiv w:val="1"/>
      <w:marLeft w:val="0"/>
      <w:marRight w:val="0"/>
      <w:marTop w:val="0"/>
      <w:marBottom w:val="0"/>
      <w:divBdr>
        <w:top w:val="none" w:sz="0" w:space="0" w:color="auto"/>
        <w:left w:val="none" w:sz="0" w:space="0" w:color="auto"/>
        <w:bottom w:val="none" w:sz="0" w:space="0" w:color="auto"/>
        <w:right w:val="none" w:sz="0" w:space="0" w:color="auto"/>
      </w:divBdr>
    </w:div>
    <w:div w:id="611018694">
      <w:bodyDiv w:val="1"/>
      <w:marLeft w:val="0"/>
      <w:marRight w:val="0"/>
      <w:marTop w:val="0"/>
      <w:marBottom w:val="0"/>
      <w:divBdr>
        <w:top w:val="none" w:sz="0" w:space="0" w:color="auto"/>
        <w:left w:val="none" w:sz="0" w:space="0" w:color="auto"/>
        <w:bottom w:val="none" w:sz="0" w:space="0" w:color="auto"/>
        <w:right w:val="none" w:sz="0" w:space="0" w:color="auto"/>
      </w:divBdr>
    </w:div>
    <w:div w:id="636110486">
      <w:bodyDiv w:val="1"/>
      <w:marLeft w:val="0"/>
      <w:marRight w:val="0"/>
      <w:marTop w:val="0"/>
      <w:marBottom w:val="0"/>
      <w:divBdr>
        <w:top w:val="none" w:sz="0" w:space="0" w:color="auto"/>
        <w:left w:val="none" w:sz="0" w:space="0" w:color="auto"/>
        <w:bottom w:val="none" w:sz="0" w:space="0" w:color="auto"/>
        <w:right w:val="none" w:sz="0" w:space="0" w:color="auto"/>
      </w:divBdr>
    </w:div>
    <w:div w:id="693582559">
      <w:bodyDiv w:val="1"/>
      <w:marLeft w:val="0"/>
      <w:marRight w:val="0"/>
      <w:marTop w:val="0"/>
      <w:marBottom w:val="0"/>
      <w:divBdr>
        <w:top w:val="none" w:sz="0" w:space="0" w:color="auto"/>
        <w:left w:val="none" w:sz="0" w:space="0" w:color="auto"/>
        <w:bottom w:val="none" w:sz="0" w:space="0" w:color="auto"/>
        <w:right w:val="none" w:sz="0" w:space="0" w:color="auto"/>
      </w:divBdr>
    </w:div>
    <w:div w:id="695425525">
      <w:bodyDiv w:val="1"/>
      <w:marLeft w:val="0"/>
      <w:marRight w:val="0"/>
      <w:marTop w:val="0"/>
      <w:marBottom w:val="0"/>
      <w:divBdr>
        <w:top w:val="none" w:sz="0" w:space="0" w:color="auto"/>
        <w:left w:val="none" w:sz="0" w:space="0" w:color="auto"/>
        <w:bottom w:val="none" w:sz="0" w:space="0" w:color="auto"/>
        <w:right w:val="none" w:sz="0" w:space="0" w:color="auto"/>
      </w:divBdr>
    </w:div>
    <w:div w:id="706024024">
      <w:bodyDiv w:val="1"/>
      <w:marLeft w:val="0"/>
      <w:marRight w:val="0"/>
      <w:marTop w:val="0"/>
      <w:marBottom w:val="0"/>
      <w:divBdr>
        <w:top w:val="none" w:sz="0" w:space="0" w:color="auto"/>
        <w:left w:val="none" w:sz="0" w:space="0" w:color="auto"/>
        <w:bottom w:val="none" w:sz="0" w:space="0" w:color="auto"/>
        <w:right w:val="none" w:sz="0" w:space="0" w:color="auto"/>
      </w:divBdr>
    </w:div>
    <w:div w:id="750857439">
      <w:bodyDiv w:val="1"/>
      <w:marLeft w:val="0"/>
      <w:marRight w:val="0"/>
      <w:marTop w:val="0"/>
      <w:marBottom w:val="0"/>
      <w:divBdr>
        <w:top w:val="none" w:sz="0" w:space="0" w:color="auto"/>
        <w:left w:val="none" w:sz="0" w:space="0" w:color="auto"/>
        <w:bottom w:val="none" w:sz="0" w:space="0" w:color="auto"/>
        <w:right w:val="none" w:sz="0" w:space="0" w:color="auto"/>
      </w:divBdr>
    </w:div>
    <w:div w:id="781072177">
      <w:bodyDiv w:val="1"/>
      <w:marLeft w:val="0"/>
      <w:marRight w:val="0"/>
      <w:marTop w:val="0"/>
      <w:marBottom w:val="0"/>
      <w:divBdr>
        <w:top w:val="none" w:sz="0" w:space="0" w:color="auto"/>
        <w:left w:val="none" w:sz="0" w:space="0" w:color="auto"/>
        <w:bottom w:val="none" w:sz="0" w:space="0" w:color="auto"/>
        <w:right w:val="none" w:sz="0" w:space="0" w:color="auto"/>
      </w:divBdr>
    </w:div>
    <w:div w:id="790977207">
      <w:bodyDiv w:val="1"/>
      <w:marLeft w:val="0"/>
      <w:marRight w:val="0"/>
      <w:marTop w:val="0"/>
      <w:marBottom w:val="0"/>
      <w:divBdr>
        <w:top w:val="none" w:sz="0" w:space="0" w:color="auto"/>
        <w:left w:val="none" w:sz="0" w:space="0" w:color="auto"/>
        <w:bottom w:val="none" w:sz="0" w:space="0" w:color="auto"/>
        <w:right w:val="none" w:sz="0" w:space="0" w:color="auto"/>
      </w:divBdr>
    </w:div>
    <w:div w:id="797644052">
      <w:bodyDiv w:val="1"/>
      <w:marLeft w:val="0"/>
      <w:marRight w:val="0"/>
      <w:marTop w:val="0"/>
      <w:marBottom w:val="0"/>
      <w:divBdr>
        <w:top w:val="none" w:sz="0" w:space="0" w:color="auto"/>
        <w:left w:val="none" w:sz="0" w:space="0" w:color="auto"/>
        <w:bottom w:val="none" w:sz="0" w:space="0" w:color="auto"/>
        <w:right w:val="none" w:sz="0" w:space="0" w:color="auto"/>
      </w:divBdr>
    </w:div>
    <w:div w:id="848907823">
      <w:bodyDiv w:val="1"/>
      <w:marLeft w:val="0"/>
      <w:marRight w:val="0"/>
      <w:marTop w:val="0"/>
      <w:marBottom w:val="0"/>
      <w:divBdr>
        <w:top w:val="none" w:sz="0" w:space="0" w:color="auto"/>
        <w:left w:val="none" w:sz="0" w:space="0" w:color="auto"/>
        <w:bottom w:val="none" w:sz="0" w:space="0" w:color="auto"/>
        <w:right w:val="none" w:sz="0" w:space="0" w:color="auto"/>
      </w:divBdr>
    </w:div>
    <w:div w:id="911740861">
      <w:bodyDiv w:val="1"/>
      <w:marLeft w:val="0"/>
      <w:marRight w:val="0"/>
      <w:marTop w:val="0"/>
      <w:marBottom w:val="0"/>
      <w:divBdr>
        <w:top w:val="none" w:sz="0" w:space="0" w:color="auto"/>
        <w:left w:val="none" w:sz="0" w:space="0" w:color="auto"/>
        <w:bottom w:val="none" w:sz="0" w:space="0" w:color="auto"/>
        <w:right w:val="none" w:sz="0" w:space="0" w:color="auto"/>
      </w:divBdr>
    </w:div>
    <w:div w:id="922683752">
      <w:bodyDiv w:val="1"/>
      <w:marLeft w:val="0"/>
      <w:marRight w:val="0"/>
      <w:marTop w:val="0"/>
      <w:marBottom w:val="0"/>
      <w:divBdr>
        <w:top w:val="none" w:sz="0" w:space="0" w:color="auto"/>
        <w:left w:val="none" w:sz="0" w:space="0" w:color="auto"/>
        <w:bottom w:val="none" w:sz="0" w:space="0" w:color="auto"/>
        <w:right w:val="none" w:sz="0" w:space="0" w:color="auto"/>
      </w:divBdr>
    </w:div>
    <w:div w:id="934051150">
      <w:bodyDiv w:val="1"/>
      <w:marLeft w:val="0"/>
      <w:marRight w:val="0"/>
      <w:marTop w:val="0"/>
      <w:marBottom w:val="0"/>
      <w:divBdr>
        <w:top w:val="none" w:sz="0" w:space="0" w:color="auto"/>
        <w:left w:val="none" w:sz="0" w:space="0" w:color="auto"/>
        <w:bottom w:val="none" w:sz="0" w:space="0" w:color="auto"/>
        <w:right w:val="none" w:sz="0" w:space="0" w:color="auto"/>
      </w:divBdr>
    </w:div>
    <w:div w:id="945112709">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963343310">
      <w:bodyDiv w:val="1"/>
      <w:marLeft w:val="0"/>
      <w:marRight w:val="0"/>
      <w:marTop w:val="0"/>
      <w:marBottom w:val="0"/>
      <w:divBdr>
        <w:top w:val="none" w:sz="0" w:space="0" w:color="auto"/>
        <w:left w:val="none" w:sz="0" w:space="0" w:color="auto"/>
        <w:bottom w:val="none" w:sz="0" w:space="0" w:color="auto"/>
        <w:right w:val="none" w:sz="0" w:space="0" w:color="auto"/>
      </w:divBdr>
    </w:div>
    <w:div w:id="967588204">
      <w:bodyDiv w:val="1"/>
      <w:marLeft w:val="0"/>
      <w:marRight w:val="0"/>
      <w:marTop w:val="0"/>
      <w:marBottom w:val="0"/>
      <w:divBdr>
        <w:top w:val="none" w:sz="0" w:space="0" w:color="auto"/>
        <w:left w:val="none" w:sz="0" w:space="0" w:color="auto"/>
        <w:bottom w:val="none" w:sz="0" w:space="0" w:color="auto"/>
        <w:right w:val="none" w:sz="0" w:space="0" w:color="auto"/>
      </w:divBdr>
    </w:div>
    <w:div w:id="980814453">
      <w:bodyDiv w:val="1"/>
      <w:marLeft w:val="0"/>
      <w:marRight w:val="0"/>
      <w:marTop w:val="0"/>
      <w:marBottom w:val="0"/>
      <w:divBdr>
        <w:top w:val="none" w:sz="0" w:space="0" w:color="auto"/>
        <w:left w:val="none" w:sz="0" w:space="0" w:color="auto"/>
        <w:bottom w:val="none" w:sz="0" w:space="0" w:color="auto"/>
        <w:right w:val="none" w:sz="0" w:space="0" w:color="auto"/>
      </w:divBdr>
    </w:div>
    <w:div w:id="1008482361">
      <w:bodyDiv w:val="1"/>
      <w:marLeft w:val="0"/>
      <w:marRight w:val="0"/>
      <w:marTop w:val="0"/>
      <w:marBottom w:val="0"/>
      <w:divBdr>
        <w:top w:val="none" w:sz="0" w:space="0" w:color="auto"/>
        <w:left w:val="none" w:sz="0" w:space="0" w:color="auto"/>
        <w:bottom w:val="none" w:sz="0" w:space="0" w:color="auto"/>
        <w:right w:val="none" w:sz="0" w:space="0" w:color="auto"/>
      </w:divBdr>
    </w:div>
    <w:div w:id="1107579715">
      <w:bodyDiv w:val="1"/>
      <w:marLeft w:val="0"/>
      <w:marRight w:val="0"/>
      <w:marTop w:val="0"/>
      <w:marBottom w:val="0"/>
      <w:divBdr>
        <w:top w:val="none" w:sz="0" w:space="0" w:color="auto"/>
        <w:left w:val="none" w:sz="0" w:space="0" w:color="auto"/>
        <w:bottom w:val="none" w:sz="0" w:space="0" w:color="auto"/>
        <w:right w:val="none" w:sz="0" w:space="0" w:color="auto"/>
      </w:divBdr>
    </w:div>
    <w:div w:id="1241796526">
      <w:bodyDiv w:val="1"/>
      <w:marLeft w:val="0"/>
      <w:marRight w:val="0"/>
      <w:marTop w:val="0"/>
      <w:marBottom w:val="0"/>
      <w:divBdr>
        <w:top w:val="none" w:sz="0" w:space="0" w:color="auto"/>
        <w:left w:val="none" w:sz="0" w:space="0" w:color="auto"/>
        <w:bottom w:val="none" w:sz="0" w:space="0" w:color="auto"/>
        <w:right w:val="none" w:sz="0" w:space="0" w:color="auto"/>
      </w:divBdr>
    </w:div>
    <w:div w:id="1241938345">
      <w:bodyDiv w:val="1"/>
      <w:marLeft w:val="0"/>
      <w:marRight w:val="0"/>
      <w:marTop w:val="0"/>
      <w:marBottom w:val="0"/>
      <w:divBdr>
        <w:top w:val="none" w:sz="0" w:space="0" w:color="auto"/>
        <w:left w:val="none" w:sz="0" w:space="0" w:color="auto"/>
        <w:bottom w:val="none" w:sz="0" w:space="0" w:color="auto"/>
        <w:right w:val="none" w:sz="0" w:space="0" w:color="auto"/>
      </w:divBdr>
    </w:div>
    <w:div w:id="1256668500">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279801140">
      <w:bodyDiv w:val="1"/>
      <w:marLeft w:val="0"/>
      <w:marRight w:val="0"/>
      <w:marTop w:val="0"/>
      <w:marBottom w:val="0"/>
      <w:divBdr>
        <w:top w:val="none" w:sz="0" w:space="0" w:color="auto"/>
        <w:left w:val="none" w:sz="0" w:space="0" w:color="auto"/>
        <w:bottom w:val="none" w:sz="0" w:space="0" w:color="auto"/>
        <w:right w:val="none" w:sz="0" w:space="0" w:color="auto"/>
      </w:divBdr>
    </w:div>
    <w:div w:id="1319114047">
      <w:bodyDiv w:val="1"/>
      <w:marLeft w:val="0"/>
      <w:marRight w:val="0"/>
      <w:marTop w:val="0"/>
      <w:marBottom w:val="0"/>
      <w:divBdr>
        <w:top w:val="none" w:sz="0" w:space="0" w:color="auto"/>
        <w:left w:val="none" w:sz="0" w:space="0" w:color="auto"/>
        <w:bottom w:val="none" w:sz="0" w:space="0" w:color="auto"/>
        <w:right w:val="none" w:sz="0" w:space="0" w:color="auto"/>
      </w:divBdr>
    </w:div>
    <w:div w:id="1339962970">
      <w:bodyDiv w:val="1"/>
      <w:marLeft w:val="0"/>
      <w:marRight w:val="0"/>
      <w:marTop w:val="0"/>
      <w:marBottom w:val="0"/>
      <w:divBdr>
        <w:top w:val="none" w:sz="0" w:space="0" w:color="auto"/>
        <w:left w:val="none" w:sz="0" w:space="0" w:color="auto"/>
        <w:bottom w:val="none" w:sz="0" w:space="0" w:color="auto"/>
        <w:right w:val="none" w:sz="0" w:space="0" w:color="auto"/>
      </w:divBdr>
    </w:div>
    <w:div w:id="1348144240">
      <w:bodyDiv w:val="1"/>
      <w:marLeft w:val="0"/>
      <w:marRight w:val="0"/>
      <w:marTop w:val="0"/>
      <w:marBottom w:val="0"/>
      <w:divBdr>
        <w:top w:val="none" w:sz="0" w:space="0" w:color="auto"/>
        <w:left w:val="none" w:sz="0" w:space="0" w:color="auto"/>
        <w:bottom w:val="none" w:sz="0" w:space="0" w:color="auto"/>
        <w:right w:val="none" w:sz="0" w:space="0" w:color="auto"/>
      </w:divBdr>
    </w:div>
    <w:div w:id="1361660996">
      <w:bodyDiv w:val="1"/>
      <w:marLeft w:val="0"/>
      <w:marRight w:val="0"/>
      <w:marTop w:val="0"/>
      <w:marBottom w:val="0"/>
      <w:divBdr>
        <w:top w:val="none" w:sz="0" w:space="0" w:color="auto"/>
        <w:left w:val="none" w:sz="0" w:space="0" w:color="auto"/>
        <w:bottom w:val="none" w:sz="0" w:space="0" w:color="auto"/>
        <w:right w:val="none" w:sz="0" w:space="0" w:color="auto"/>
      </w:divBdr>
    </w:div>
    <w:div w:id="1412777259">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469319976">
      <w:bodyDiv w:val="1"/>
      <w:marLeft w:val="0"/>
      <w:marRight w:val="0"/>
      <w:marTop w:val="0"/>
      <w:marBottom w:val="0"/>
      <w:divBdr>
        <w:top w:val="none" w:sz="0" w:space="0" w:color="auto"/>
        <w:left w:val="none" w:sz="0" w:space="0" w:color="auto"/>
        <w:bottom w:val="none" w:sz="0" w:space="0" w:color="auto"/>
        <w:right w:val="none" w:sz="0" w:space="0" w:color="auto"/>
      </w:divBdr>
    </w:div>
    <w:div w:id="1545602579">
      <w:bodyDiv w:val="1"/>
      <w:marLeft w:val="0"/>
      <w:marRight w:val="0"/>
      <w:marTop w:val="0"/>
      <w:marBottom w:val="0"/>
      <w:divBdr>
        <w:top w:val="none" w:sz="0" w:space="0" w:color="auto"/>
        <w:left w:val="none" w:sz="0" w:space="0" w:color="auto"/>
        <w:bottom w:val="none" w:sz="0" w:space="0" w:color="auto"/>
        <w:right w:val="none" w:sz="0" w:space="0" w:color="auto"/>
      </w:divBdr>
    </w:div>
    <w:div w:id="1545750304">
      <w:bodyDiv w:val="1"/>
      <w:marLeft w:val="0"/>
      <w:marRight w:val="0"/>
      <w:marTop w:val="0"/>
      <w:marBottom w:val="0"/>
      <w:divBdr>
        <w:top w:val="none" w:sz="0" w:space="0" w:color="auto"/>
        <w:left w:val="none" w:sz="0" w:space="0" w:color="auto"/>
        <w:bottom w:val="none" w:sz="0" w:space="0" w:color="auto"/>
        <w:right w:val="none" w:sz="0" w:space="0" w:color="auto"/>
      </w:divBdr>
    </w:div>
    <w:div w:id="1559901075">
      <w:bodyDiv w:val="1"/>
      <w:marLeft w:val="0"/>
      <w:marRight w:val="0"/>
      <w:marTop w:val="0"/>
      <w:marBottom w:val="0"/>
      <w:divBdr>
        <w:top w:val="none" w:sz="0" w:space="0" w:color="auto"/>
        <w:left w:val="none" w:sz="0" w:space="0" w:color="auto"/>
        <w:bottom w:val="none" w:sz="0" w:space="0" w:color="auto"/>
        <w:right w:val="none" w:sz="0" w:space="0" w:color="auto"/>
      </w:divBdr>
    </w:div>
    <w:div w:id="1629580023">
      <w:bodyDiv w:val="1"/>
      <w:marLeft w:val="0"/>
      <w:marRight w:val="0"/>
      <w:marTop w:val="0"/>
      <w:marBottom w:val="0"/>
      <w:divBdr>
        <w:top w:val="none" w:sz="0" w:space="0" w:color="auto"/>
        <w:left w:val="none" w:sz="0" w:space="0" w:color="auto"/>
        <w:bottom w:val="none" w:sz="0" w:space="0" w:color="auto"/>
        <w:right w:val="none" w:sz="0" w:space="0" w:color="auto"/>
      </w:divBdr>
    </w:div>
    <w:div w:id="1695037562">
      <w:bodyDiv w:val="1"/>
      <w:marLeft w:val="0"/>
      <w:marRight w:val="0"/>
      <w:marTop w:val="0"/>
      <w:marBottom w:val="0"/>
      <w:divBdr>
        <w:top w:val="none" w:sz="0" w:space="0" w:color="auto"/>
        <w:left w:val="none" w:sz="0" w:space="0" w:color="auto"/>
        <w:bottom w:val="none" w:sz="0" w:space="0" w:color="auto"/>
        <w:right w:val="none" w:sz="0" w:space="0" w:color="auto"/>
      </w:divBdr>
    </w:div>
    <w:div w:id="1717968255">
      <w:bodyDiv w:val="1"/>
      <w:marLeft w:val="0"/>
      <w:marRight w:val="0"/>
      <w:marTop w:val="0"/>
      <w:marBottom w:val="0"/>
      <w:divBdr>
        <w:top w:val="none" w:sz="0" w:space="0" w:color="auto"/>
        <w:left w:val="none" w:sz="0" w:space="0" w:color="auto"/>
        <w:bottom w:val="none" w:sz="0" w:space="0" w:color="auto"/>
        <w:right w:val="none" w:sz="0" w:space="0" w:color="auto"/>
      </w:divBdr>
    </w:div>
    <w:div w:id="1761831821">
      <w:bodyDiv w:val="1"/>
      <w:marLeft w:val="0"/>
      <w:marRight w:val="0"/>
      <w:marTop w:val="0"/>
      <w:marBottom w:val="0"/>
      <w:divBdr>
        <w:top w:val="none" w:sz="0" w:space="0" w:color="auto"/>
        <w:left w:val="none" w:sz="0" w:space="0" w:color="auto"/>
        <w:bottom w:val="none" w:sz="0" w:space="0" w:color="auto"/>
        <w:right w:val="none" w:sz="0" w:space="0" w:color="auto"/>
      </w:divBdr>
    </w:div>
    <w:div w:id="1811745514">
      <w:bodyDiv w:val="1"/>
      <w:marLeft w:val="0"/>
      <w:marRight w:val="0"/>
      <w:marTop w:val="0"/>
      <w:marBottom w:val="0"/>
      <w:divBdr>
        <w:top w:val="none" w:sz="0" w:space="0" w:color="auto"/>
        <w:left w:val="none" w:sz="0" w:space="0" w:color="auto"/>
        <w:bottom w:val="none" w:sz="0" w:space="0" w:color="auto"/>
        <w:right w:val="none" w:sz="0" w:space="0" w:color="auto"/>
      </w:divBdr>
    </w:div>
    <w:div w:id="1825388698">
      <w:bodyDiv w:val="1"/>
      <w:marLeft w:val="0"/>
      <w:marRight w:val="0"/>
      <w:marTop w:val="0"/>
      <w:marBottom w:val="0"/>
      <w:divBdr>
        <w:top w:val="none" w:sz="0" w:space="0" w:color="auto"/>
        <w:left w:val="none" w:sz="0" w:space="0" w:color="auto"/>
        <w:bottom w:val="none" w:sz="0" w:space="0" w:color="auto"/>
        <w:right w:val="none" w:sz="0" w:space="0" w:color="auto"/>
      </w:divBdr>
    </w:div>
    <w:div w:id="1852991786">
      <w:bodyDiv w:val="1"/>
      <w:marLeft w:val="0"/>
      <w:marRight w:val="0"/>
      <w:marTop w:val="0"/>
      <w:marBottom w:val="0"/>
      <w:divBdr>
        <w:top w:val="none" w:sz="0" w:space="0" w:color="auto"/>
        <w:left w:val="none" w:sz="0" w:space="0" w:color="auto"/>
        <w:bottom w:val="none" w:sz="0" w:space="0" w:color="auto"/>
        <w:right w:val="none" w:sz="0" w:space="0" w:color="auto"/>
      </w:divBdr>
    </w:div>
    <w:div w:id="1864828938">
      <w:bodyDiv w:val="1"/>
      <w:marLeft w:val="0"/>
      <w:marRight w:val="0"/>
      <w:marTop w:val="0"/>
      <w:marBottom w:val="0"/>
      <w:divBdr>
        <w:top w:val="none" w:sz="0" w:space="0" w:color="auto"/>
        <w:left w:val="none" w:sz="0" w:space="0" w:color="auto"/>
        <w:bottom w:val="none" w:sz="0" w:space="0" w:color="auto"/>
        <w:right w:val="none" w:sz="0" w:space="0" w:color="auto"/>
      </w:divBdr>
    </w:div>
    <w:div w:id="1865095562">
      <w:bodyDiv w:val="1"/>
      <w:marLeft w:val="0"/>
      <w:marRight w:val="0"/>
      <w:marTop w:val="0"/>
      <w:marBottom w:val="0"/>
      <w:divBdr>
        <w:top w:val="none" w:sz="0" w:space="0" w:color="auto"/>
        <w:left w:val="none" w:sz="0" w:space="0" w:color="auto"/>
        <w:bottom w:val="none" w:sz="0" w:space="0" w:color="auto"/>
        <w:right w:val="none" w:sz="0" w:space="0" w:color="auto"/>
      </w:divBdr>
    </w:div>
    <w:div w:id="1868448156">
      <w:bodyDiv w:val="1"/>
      <w:marLeft w:val="0"/>
      <w:marRight w:val="0"/>
      <w:marTop w:val="0"/>
      <w:marBottom w:val="0"/>
      <w:divBdr>
        <w:top w:val="none" w:sz="0" w:space="0" w:color="auto"/>
        <w:left w:val="none" w:sz="0" w:space="0" w:color="auto"/>
        <w:bottom w:val="none" w:sz="0" w:space="0" w:color="auto"/>
        <w:right w:val="none" w:sz="0" w:space="0" w:color="auto"/>
      </w:divBdr>
    </w:div>
    <w:div w:id="1920627721">
      <w:bodyDiv w:val="1"/>
      <w:marLeft w:val="0"/>
      <w:marRight w:val="0"/>
      <w:marTop w:val="0"/>
      <w:marBottom w:val="0"/>
      <w:divBdr>
        <w:top w:val="none" w:sz="0" w:space="0" w:color="auto"/>
        <w:left w:val="none" w:sz="0" w:space="0" w:color="auto"/>
        <w:bottom w:val="none" w:sz="0" w:space="0" w:color="auto"/>
        <w:right w:val="none" w:sz="0" w:space="0" w:color="auto"/>
      </w:divBdr>
    </w:div>
    <w:div w:id="1924532970">
      <w:bodyDiv w:val="1"/>
      <w:marLeft w:val="0"/>
      <w:marRight w:val="0"/>
      <w:marTop w:val="0"/>
      <w:marBottom w:val="0"/>
      <w:divBdr>
        <w:top w:val="none" w:sz="0" w:space="0" w:color="auto"/>
        <w:left w:val="none" w:sz="0" w:space="0" w:color="auto"/>
        <w:bottom w:val="none" w:sz="0" w:space="0" w:color="auto"/>
        <w:right w:val="none" w:sz="0" w:space="0" w:color="auto"/>
      </w:divBdr>
    </w:div>
    <w:div w:id="1958289422">
      <w:bodyDiv w:val="1"/>
      <w:marLeft w:val="0"/>
      <w:marRight w:val="0"/>
      <w:marTop w:val="0"/>
      <w:marBottom w:val="0"/>
      <w:divBdr>
        <w:top w:val="none" w:sz="0" w:space="0" w:color="auto"/>
        <w:left w:val="none" w:sz="0" w:space="0" w:color="auto"/>
        <w:bottom w:val="none" w:sz="0" w:space="0" w:color="auto"/>
        <w:right w:val="none" w:sz="0" w:space="0" w:color="auto"/>
      </w:divBdr>
    </w:div>
    <w:div w:id="2020228660">
      <w:bodyDiv w:val="1"/>
      <w:marLeft w:val="0"/>
      <w:marRight w:val="0"/>
      <w:marTop w:val="0"/>
      <w:marBottom w:val="0"/>
      <w:divBdr>
        <w:top w:val="none" w:sz="0" w:space="0" w:color="auto"/>
        <w:left w:val="none" w:sz="0" w:space="0" w:color="auto"/>
        <w:bottom w:val="none" w:sz="0" w:space="0" w:color="auto"/>
        <w:right w:val="none" w:sz="0" w:space="0" w:color="auto"/>
      </w:divBdr>
    </w:div>
    <w:div w:id="2052800598">
      <w:bodyDiv w:val="1"/>
      <w:marLeft w:val="0"/>
      <w:marRight w:val="0"/>
      <w:marTop w:val="0"/>
      <w:marBottom w:val="0"/>
      <w:divBdr>
        <w:top w:val="none" w:sz="0" w:space="0" w:color="auto"/>
        <w:left w:val="none" w:sz="0" w:space="0" w:color="auto"/>
        <w:bottom w:val="none" w:sz="0" w:space="0" w:color="auto"/>
        <w:right w:val="none" w:sz="0" w:space="0" w:color="auto"/>
      </w:divBdr>
    </w:div>
    <w:div w:id="2098551253">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36983/pb13987-zoonoses-report-201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olicies/reducing-the-impact-of-regulation-on-business/supporting-pages/operating-a-one-in-two-out-rule-for-business-regulation" TargetMode="External"/><Relationship Id="rId1" Type="http://schemas.openxmlformats.org/officeDocument/2006/relationships/hyperlink" Target="http://eur-lex.europa.eu/LexUriServ/LexUriServ.do?uri=CELEX:31964L0432:en: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6623\AppData\Local\Microsoft\Windows\Temporary%20Internet%20Files\Low\Content.IE5\GIFSCDJB\impact-assessment-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4972-60A2-45BB-A419-A5D9C2F1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impact-assessment-template[1]</Template>
  <TotalTime>1</TotalTime>
  <Pages>10</Pages>
  <Words>7565</Words>
  <Characters>43125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Impact Assessment</vt:lpstr>
    </vt:vector>
  </TitlesOfParts>
  <Company>Defra</Company>
  <LinksUpToDate>false</LinksUpToDate>
  <CharactersWithSpaces>50589</CharactersWithSpaces>
  <SharedDoc>false</SharedDoc>
  <HLinks>
    <vt:vector size="6" baseType="variant">
      <vt:variant>
        <vt:i4>7471140</vt:i4>
      </vt:variant>
      <vt:variant>
        <vt:i4>314</vt:i4>
      </vt:variant>
      <vt:variant>
        <vt:i4>0</vt:i4>
      </vt:variant>
      <vt:variant>
        <vt:i4>5</vt:i4>
      </vt:variant>
      <vt:variant>
        <vt:lpwstr>http://www.defra.gov.uk/publications/files/pb13627-zoonoses-report2010.pdf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m176623</dc:creator>
  <cp:lastModifiedBy>m176623</cp:lastModifiedBy>
  <cp:revision>2</cp:revision>
  <cp:lastPrinted>2013-05-07T13:20:00Z</cp:lastPrinted>
  <dcterms:created xsi:type="dcterms:W3CDTF">2014-05-15T15:01:00Z</dcterms:created>
  <dcterms:modified xsi:type="dcterms:W3CDTF">2014-05-15T15:01:00Z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